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32"/>
          <w:szCs w:val="32"/>
        </w:rPr>
      </w:pPr>
      <w:r>
        <w:rPr>
          <w:b/>
          <w:bCs/>
          <w:sz w:val="32"/>
          <w:szCs w:val="32"/>
        </w:rPr>
        <w:t>Soft law или международен договор? Правни измерения на Охридските договорености от 2023 г.</w:t>
      </w:r>
    </w:p>
    <w:p>
      <w:pPr>
        <w:pStyle w:val="Normal"/>
        <w:jc w:val="center"/>
        <w:rPr>
          <w:szCs w:val="28"/>
        </w:rPr>
      </w:pPr>
      <w:r>
        <w:rPr>
          <w:szCs w:val="28"/>
        </w:rPr>
      </w:r>
    </w:p>
    <w:p>
      <w:pPr>
        <w:pStyle w:val="Normal"/>
        <w:jc w:val="center"/>
        <w:rPr>
          <w:b/>
          <w:bCs/>
          <w:sz w:val="32"/>
          <w:szCs w:val="32"/>
        </w:rPr>
      </w:pPr>
      <w:r>
        <w:rPr>
          <w:b/>
          <w:bCs/>
          <w:sz w:val="32"/>
          <w:szCs w:val="32"/>
        </w:rPr>
        <w:t>Станислав Станев</w:t>
      </w:r>
    </w:p>
    <w:p>
      <w:pPr>
        <w:pStyle w:val="Normal"/>
        <w:jc w:val="center"/>
        <w:rPr>
          <w:szCs w:val="28"/>
        </w:rPr>
      </w:pPr>
      <w:r>
        <w:rPr>
          <w:szCs w:val="28"/>
        </w:rPr>
      </w:r>
    </w:p>
    <w:p>
      <w:pPr>
        <w:pStyle w:val="Normal"/>
        <w:jc w:val="center"/>
        <w:rPr>
          <w:szCs w:val="28"/>
        </w:rPr>
      </w:pPr>
      <w:r>
        <w:rPr>
          <w:szCs w:val="28"/>
        </w:rPr>
      </w:r>
    </w:p>
    <w:p>
      <w:pPr>
        <w:pStyle w:val="Normal"/>
        <w:jc w:val="center"/>
        <w:rPr>
          <w:b/>
          <w:bCs/>
          <w:sz w:val="32"/>
          <w:szCs w:val="32"/>
          <w:lang w:val="en-US"/>
        </w:rPr>
      </w:pPr>
      <w:r>
        <w:rPr>
          <w:b/>
          <w:bCs/>
          <w:sz w:val="32"/>
          <w:szCs w:val="32"/>
          <w:lang w:val="en-US"/>
        </w:rPr>
        <w:t>SOFT LAW OR AN INTERNATIONAL TREATY? LEGAL DIMENSIONS OF THE 2023 OHRID AGREEMENT</w:t>
      </w:r>
    </w:p>
    <w:p>
      <w:pPr>
        <w:pStyle w:val="Normal"/>
        <w:jc w:val="center"/>
        <w:rPr>
          <w:szCs w:val="28"/>
          <w:lang w:val="en-US"/>
        </w:rPr>
      </w:pPr>
      <w:r>
        <w:rPr>
          <w:szCs w:val="28"/>
          <w:lang w:val="en-US"/>
        </w:rPr>
      </w:r>
    </w:p>
    <w:p>
      <w:pPr>
        <w:pStyle w:val="Normal"/>
        <w:jc w:val="center"/>
        <w:rPr>
          <w:lang w:val="en-GB"/>
        </w:rPr>
      </w:pPr>
      <w:r>
        <w:rPr>
          <w:b/>
          <w:bCs/>
          <w:sz w:val="32"/>
          <w:szCs w:val="32"/>
          <w:lang w:val="en-GB"/>
        </w:rPr>
        <w:t>Stanislav Stanev</w:t>
      </w:r>
    </w:p>
    <w:p>
      <w:pPr>
        <w:pStyle w:val="Normal"/>
        <w:jc w:val="center"/>
        <w:rPr>
          <w:szCs w:val="28"/>
          <w:lang w:val="en-US"/>
        </w:rPr>
      </w:pPr>
      <w:r>
        <w:rPr>
          <w:szCs w:val="28"/>
          <w:lang w:val="en-US"/>
        </w:rPr>
      </w:r>
    </w:p>
    <w:p>
      <w:pPr>
        <w:pStyle w:val="Normal"/>
        <w:jc w:val="center"/>
        <w:rPr>
          <w:szCs w:val="28"/>
          <w:lang w:val="en-US"/>
        </w:rPr>
      </w:pPr>
      <w:r>
        <w:rPr>
          <w:szCs w:val="28"/>
          <w:lang w:val="en-US"/>
        </w:rPr>
      </w:r>
    </w:p>
    <w:p>
      <w:pPr>
        <w:pStyle w:val="Normal"/>
        <w:ind w:firstLine="567"/>
        <w:jc w:val="both"/>
        <w:rPr>
          <w:i/>
          <w:iCs/>
          <w:sz w:val="24"/>
        </w:rPr>
      </w:pPr>
      <w:r>
        <w:rPr>
          <w:b/>
          <w:bCs/>
          <w:i/>
          <w:iCs/>
          <w:sz w:val="24"/>
        </w:rPr>
        <w:t>Резюме:</w:t>
      </w:r>
      <w:r>
        <w:rPr>
          <w:i/>
          <w:iCs/>
          <w:sz w:val="24"/>
        </w:rPr>
        <w:t xml:space="preserve"> Докладът разглежда правната природа на Охридските договорености от 2023 г. и поставя въпроса дали т</w:t>
      </w:r>
      <w:r>
        <w:rPr>
          <w:i/>
          <w:iCs/>
          <w:sz w:val="24"/>
        </w:rPr>
        <w:t>е</w:t>
      </w:r>
      <w:r>
        <w:rPr>
          <w:i/>
          <w:iCs/>
          <w:sz w:val="24"/>
        </w:rPr>
        <w:t xml:space="preserve"> представлява</w:t>
      </w:r>
      <w:r>
        <w:rPr>
          <w:i/>
          <w:iCs/>
          <w:sz w:val="24"/>
        </w:rPr>
        <w:t>т</w:t>
      </w:r>
      <w:r>
        <w:rPr>
          <w:i/>
          <w:iCs/>
          <w:sz w:val="24"/>
        </w:rPr>
        <w:t xml:space="preserve"> международен договор или форма на soft law. Анализът се съсредоточава върху начина на постигане на договореностите, намерението на страните да бъдат обвързани и ролята на Европейския съюз. Целта е да се установи какви правни последици поражда споразумението и къде се вписва то в съвременното международно право.</w:t>
      </w:r>
    </w:p>
    <w:p>
      <w:pPr>
        <w:pStyle w:val="Normal"/>
        <w:ind w:firstLine="567"/>
        <w:jc w:val="both"/>
        <w:rPr>
          <w:szCs w:val="28"/>
        </w:rPr>
      </w:pPr>
      <w:r>
        <w:rPr>
          <w:szCs w:val="28"/>
        </w:rPr>
      </w:r>
    </w:p>
    <w:p>
      <w:pPr>
        <w:pStyle w:val="Normal"/>
        <w:ind w:firstLine="567"/>
        <w:jc w:val="both"/>
        <w:rPr>
          <w:i/>
          <w:iCs/>
          <w:sz w:val="24"/>
        </w:rPr>
      </w:pPr>
      <w:r>
        <w:rPr>
          <w:b/>
          <w:bCs/>
          <w:i/>
          <w:iCs/>
          <w:sz w:val="24"/>
        </w:rPr>
        <w:t>Ключови думи:</w:t>
      </w:r>
      <w:r>
        <w:rPr>
          <w:i/>
          <w:iCs/>
          <w:sz w:val="24"/>
        </w:rPr>
        <w:t xml:space="preserve"> Охридско споразумение, soft law, международен договор, международно публично право, правно обвързваща сила, Косово, Сърбия, Европейски съюз, Виенска конвенция за правото на договорите.</w:t>
      </w:r>
    </w:p>
    <w:p>
      <w:pPr>
        <w:pStyle w:val="Normal"/>
        <w:ind w:firstLine="567"/>
        <w:jc w:val="both"/>
        <w:rPr>
          <w:szCs w:val="28"/>
        </w:rPr>
      </w:pPr>
      <w:r>
        <w:rPr>
          <w:szCs w:val="28"/>
        </w:rPr>
      </w:r>
    </w:p>
    <w:p>
      <w:pPr>
        <w:pStyle w:val="Normal"/>
        <w:ind w:firstLine="567"/>
        <w:jc w:val="both"/>
        <w:rPr>
          <w:i/>
          <w:iCs/>
          <w:sz w:val="24"/>
          <w:lang w:val="en-US"/>
        </w:rPr>
      </w:pPr>
      <w:r>
        <w:rPr>
          <w:b/>
          <w:bCs/>
          <w:i/>
          <w:iCs/>
          <w:sz w:val="24"/>
          <w:lang w:val="en-US"/>
        </w:rPr>
        <w:t>Abstract:</w:t>
      </w:r>
      <w:r>
        <w:rPr>
          <w:i/>
          <w:iCs/>
          <w:sz w:val="24"/>
          <w:lang w:val="en-US"/>
        </w:rPr>
        <w:t xml:space="preserve"> The paper examines the legal nature of the 2023 Ohrid Agreement and raises the question of whether it constitutes an international treaty or a form of soft law. The analysis focuses on how the agreement was reached, the parties’ intention to be bound, and the role of the European Union. Its aim is to determine the legal effects of the agreement and its place within contemporary international law.</w:t>
      </w:r>
    </w:p>
    <w:p>
      <w:pPr>
        <w:pStyle w:val="Normal"/>
        <w:ind w:firstLine="567"/>
        <w:jc w:val="both"/>
        <w:rPr>
          <w:szCs w:val="28"/>
          <w:lang w:val="en-US"/>
        </w:rPr>
      </w:pPr>
      <w:r>
        <w:rPr>
          <w:szCs w:val="28"/>
          <w:lang w:val="en-US"/>
        </w:rPr>
      </w:r>
    </w:p>
    <w:p>
      <w:pPr>
        <w:pStyle w:val="Normal"/>
        <w:ind w:firstLine="567"/>
        <w:jc w:val="both"/>
        <w:rPr>
          <w:i/>
          <w:iCs/>
          <w:sz w:val="24"/>
          <w:lang w:val="ru-RU"/>
        </w:rPr>
      </w:pPr>
      <w:r>
        <w:rPr>
          <w:b/>
          <w:bCs/>
          <w:i/>
          <w:iCs/>
          <w:sz w:val="24"/>
          <w:lang w:val="en-US"/>
        </w:rPr>
        <w:t>Keywords</w:t>
      </w:r>
      <w:r>
        <w:rPr>
          <w:b/>
          <w:bCs/>
          <w:i/>
          <w:iCs/>
          <w:sz w:val="24"/>
          <w:lang w:val="ru-RU"/>
        </w:rPr>
        <w:t>:</w:t>
      </w:r>
      <w:r>
        <w:rPr>
          <w:i/>
          <w:iCs/>
          <w:sz w:val="24"/>
          <w:lang w:val="ru-RU"/>
        </w:rPr>
        <w:t xml:space="preserve"> Ohrid Agreement, soft law, international treaty, public international law, legally binding force, Kosovo, Serbia, European Union, Vienna Convention on the Law of Treaties.</w:t>
      </w:r>
    </w:p>
    <w:p>
      <w:pPr>
        <w:pStyle w:val="Normal"/>
        <w:ind w:firstLine="567"/>
        <w:rPr>
          <w:szCs w:val="28"/>
          <w:lang w:val="ru-RU"/>
        </w:rPr>
      </w:pPr>
      <w:r>
        <w:rPr>
          <w:szCs w:val="28"/>
          <w:lang w:val="ru-RU"/>
        </w:rPr>
      </w:r>
    </w:p>
    <w:p>
      <w:pPr>
        <w:pStyle w:val="Heading1"/>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Увод</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Международните отношения невинаги се развиват чрез актове, които могат лесно да бъдат поставени в традиционните категории на международното право. Наред с международните договори все по-често се използват политически договорености и други инструменти, чието съдържание наподобява правно обвързващ акт, но чийто статут остава спорен. Именно на границата между правото и политическия ангажимент се поставя въпросът за </w:t>
      </w:r>
      <w:r>
        <w:rPr>
          <w:rFonts w:cs="Times New Roman"/>
          <w:i/>
          <w:iCs/>
          <w:sz w:val="28"/>
          <w:szCs w:val="28"/>
          <w:lang w:eastAsia="bg-BG"/>
        </w:rPr>
        <w:t>soft law</w:t>
      </w:r>
      <w:r>
        <w:rPr>
          <w:rFonts w:cs="Times New Roman"/>
          <w:sz w:val="28"/>
          <w:szCs w:val="28"/>
          <w:lang w:eastAsia="bg-BG"/>
        </w:rPr>
        <w:t xml:space="preserve"> – категория, която няма задължителната сила на международния договор, но може да влияе върху поведението на международните субекти и върху последващото формиране и прилагане на правни задължения.</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Особено показателен в това отношение е процесът на нормализиране на отношенията между Сърбия и Косово. На 27 февруари 2023 г. в рамките на диалога с посредничеството на Европейския съюз страните постигат съгласие по Споразумението за пътя към нормализиране на отношенията, а на 18 март същата година в Охрид е договорено </w:t>
      </w:r>
      <w:r>
        <w:rPr>
          <w:rFonts w:cs="Times New Roman"/>
          <w:sz w:val="28"/>
          <w:szCs w:val="28"/>
          <w:lang w:eastAsia="bg-BG"/>
        </w:rPr>
        <w:t>п</w:t>
      </w:r>
      <w:r>
        <w:rPr>
          <w:rFonts w:cs="Times New Roman"/>
          <w:sz w:val="28"/>
          <w:szCs w:val="28"/>
          <w:lang w:eastAsia="bg-BG"/>
        </w:rPr>
        <w:t>риложението за неговото изпълнение. Последното е определено като неразделна част от споразумението и предвижда ангажимент за изпълнение на договорените задължения добросъвестно. Въпреки това документите не са подписани по традиционния за международните договори начин. Именно тази особеност поражда въпроса дали е налице международноправно обвързване, или договореното следва да бъде разглеждано преди всичко като политически ангажимент.</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Проблемът не може да бъде разрешен единствено чрез наличието или липсата на подпис. Международното право поставя по-широк въпрос – дали страните са постигнали съгласие, което възнамеряват да бъде регулирано от международното право. Виенската конвенция за правото на договорите от 1969 г. определя международния договор като писмено споразумение между държави, регулирано от международното право, независимо от конкретното му наименование. Поради това правната квалификация на Охридските договорености изисква анализ както на тяхната форма, така и на съдържанието, начина на приемане и намерението на участниците.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Целта на настоящия доклад е да изследва именно тази гранична правна природа. Чрез съпоставка между характеристиките на soft law и международния договор ще бъде потърсен отговор на основния въпрос: представлява ли Охридск</w:t>
      </w:r>
      <w:r>
        <w:rPr>
          <w:rFonts w:cs="Times New Roman"/>
          <w:sz w:val="28"/>
          <w:szCs w:val="28"/>
          <w:lang w:eastAsia="bg-BG"/>
        </w:rPr>
        <w:t>и</w:t>
      </w:r>
      <w:r>
        <w:rPr>
          <w:rFonts w:cs="Times New Roman"/>
          <w:sz w:val="28"/>
          <w:szCs w:val="28"/>
          <w:lang w:eastAsia="bg-BG"/>
        </w:rPr>
        <w:t>т</w:t>
      </w:r>
      <w:r>
        <w:rPr>
          <w:rFonts w:cs="Times New Roman"/>
          <w:sz w:val="28"/>
          <w:szCs w:val="28"/>
          <w:lang w:eastAsia="bg-BG"/>
        </w:rPr>
        <w:t>е</w:t>
      </w:r>
      <w:r>
        <w:rPr>
          <w:rFonts w:cs="Times New Roman"/>
          <w:sz w:val="28"/>
          <w:szCs w:val="28"/>
          <w:lang w:eastAsia="bg-BG"/>
        </w:rPr>
        <w:t xml:space="preserve"> </w:t>
      </w:r>
      <w:r>
        <w:rPr>
          <w:rFonts w:cs="Times New Roman"/>
          <w:sz w:val="28"/>
          <w:szCs w:val="28"/>
          <w:lang w:eastAsia="bg-BG"/>
        </w:rPr>
        <w:t>договорености</w:t>
      </w:r>
      <w:r>
        <w:rPr>
          <w:rFonts w:cs="Times New Roman"/>
          <w:sz w:val="28"/>
          <w:szCs w:val="28"/>
          <w:lang w:eastAsia="bg-BG"/>
        </w:rPr>
        <w:t xml:space="preserve"> международноправно обвързващ акт, или </w:t>
      </w:r>
      <w:r>
        <w:rPr>
          <w:rFonts w:cs="Times New Roman"/>
          <w:sz w:val="28"/>
          <w:szCs w:val="28"/>
          <w:lang w:eastAsia="bg-BG"/>
        </w:rPr>
        <w:t>тяхната</w:t>
      </w:r>
      <w:r>
        <w:rPr>
          <w:rFonts w:cs="Times New Roman"/>
          <w:sz w:val="28"/>
          <w:szCs w:val="28"/>
          <w:lang w:eastAsia="bg-BG"/>
        </w:rPr>
        <w:t xml:space="preserve"> сила произтича преди всичко от политическите ангажименти на страните и механизмите на Европейския съюз за тяхното изпълнение.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r>
    </w:p>
    <w:p>
      <w:pPr>
        <w:pStyle w:val="Heading1"/>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1. Soft law и международният договор – критерии за РАЗГРАНИЧЕНИЕ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Разграничението между международния договор и soft law невинаги е толкова ясно, колкото предполага класическото деление между правно обвързващи и политически актове. В международните отношения държавите използват различни форми на договаряне – договори, декларации, меморандуми, съвместни изявления, политически ангажименти и други инструменти. Наименованието на даден документ обаче само по себе си не определя неговата правна природа. От по-голямо значение са неговото съдържание, обстоятелствата около приемането му и най-вече намерението на участниците да поемат международноправни задължения.</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Понятието soft law обхваща актове, които формулират определени правила, принципи или стандарти за поведение, без непременно да създават юридически задължения, характерни за международния договор. Към тази категория обичайно се отнасят различни декларации, препоръки, насоки и политически договорености. Липсата на задължителна сила обаче не означава липса на значение. Подобни инструменти могат да насочват поведението на държавите, да служат при тълкуването на съществуващи задължения и да оказват влияние върху последващото развитие на международното право.</w:t>
      </w:r>
      <w:r>
        <w:rPr/>
        <w:t xml:space="preserve">[1]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Международният договор, от своя страна, предполага намерение на страните да бъдат правно обвързани. Съгласно чл. 2, § 1, б. „а“ от Виенската конвенция за правото на договорите от 1969 г. договорът представлява международно споразумение, сключено между държави в писмена форма и регулирано от международното право, независимо от конкретното му наименование. Следователно използването на понятия като „споразумение“, „протокол“ или „меморандум“ не е решаващо за неговата квалификация. </w:t>
      </w:r>
      <w:r>
        <w:rPr/>
        <w:t>Прилагането на тези критерии към разглеждания случай изисква обаче допълнителна уговорка предвид особеностите на международноправния статут на Косово и различните позиции относно неговата държавност.</w:t>
      </w:r>
      <w:r>
        <w:rPr>
          <w:szCs w:val="28"/>
          <w:lang w:val="ru-RU"/>
        </w:rPr>
        <w:t>[2]</w:t>
      </w:r>
      <w:r>
        <w:rPr/>
        <w:t xml:space="preserve"> Дори ако се приеме, че конкретната договореност не попада непосредствено в приложното поле на Виенската конвенция, това само по себе си не изключва възможността тя да поражда международноправни последици. В този контекст значение има и чл. 3 от Конвенцията, който запазва правната сила на международните споразумения, намиращи се извън нейното приложно поле, както и приложимостта към тях на съответните правила на международното право.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Съществено значение има и начинът, по който се изразява съгласието за обвързване. Виенската конвенция не свежда това съгласие единствено до подписването и ратификацията. Член 11 допуска то да бъде изразено чрез подпис, размяна на инструменти, ратификация, приемане, одобрение, присъединяване или по друг договорен между страните начин. </w:t>
      </w:r>
      <w:r>
        <w:rPr/>
        <w:t xml:space="preserve">Това е особено важно при оценката на споразумения, които не са подписани в традиционна форма. Липсата на подпис сама по себе си не изключва възможността за международноправно обвързване.[3] Необходимо е обаче да бъде установено дали страните са приели друг начин за изразяване на съгласието си да бъдат обвързани и дали от текста и обстоятелствата около постигането на договореността може достатъчно ясно да се установи подобно намерение.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Подобен подход се открива и в практиката на Международния съд. По делото Катар v. Бахрейн Съдът приема, че документ, озаглавен „</w:t>
      </w:r>
      <w:r>
        <w:rPr>
          <w:rFonts w:cs="Times New Roman"/>
          <w:i/>
          <w:iCs/>
          <w:sz w:val="28"/>
          <w:szCs w:val="28"/>
          <w:lang w:eastAsia="bg-BG"/>
        </w:rPr>
        <w:t>Minutes</w:t>
      </w:r>
      <w:r>
        <w:rPr>
          <w:rFonts w:cs="Times New Roman"/>
          <w:sz w:val="28"/>
          <w:szCs w:val="28"/>
          <w:lang w:eastAsia="bg-BG"/>
        </w:rPr>
        <w:t>“, представлява международно споразумение, тъй като неговото съдържание създава права и задължения за страните. Така практиката потвърждава, че формалното наименование на акта отстъпва пред неговото действително съдържание и намерението, което може да бъде установено от текста и обстоятелствата около неговото приемане. Същевременно аналогията с този случай не следва да бъде абсолютизирана, тъй като разглежданите от Международния съд</w:t>
      </w:r>
      <w:r>
        <w:rPr>
          <w:rFonts w:cs="Times New Roman"/>
          <w:i/>
          <w:iCs/>
          <w:sz w:val="28"/>
          <w:szCs w:val="28"/>
          <w:lang w:eastAsia="bg-BG"/>
        </w:rPr>
        <w:t xml:space="preserve"> Doha Minutes</w:t>
      </w:r>
      <w:r>
        <w:rPr>
          <w:rFonts w:cs="Times New Roman"/>
          <w:sz w:val="28"/>
          <w:szCs w:val="28"/>
          <w:lang w:eastAsia="bg-BG"/>
        </w:rPr>
        <w:t xml:space="preserve"> са били подписани от представителите на участващите държави. Решението следователно подкрепя тезата, че наименованието и формата на документа не са сами по себе си решаващи за неговата правна квалификация, но не разрешава непосредствено въпроса за правния характер на неподписана договореност.</w:t>
      </w:r>
      <w:r>
        <w:rPr>
          <w:rFonts w:cs="Times New Roman"/>
          <w:sz w:val="28"/>
          <w:szCs w:val="28"/>
          <w:lang w:eastAsia="bg-BG"/>
        </w:rPr>
        <w:t xml:space="preserve"> </w:t>
      </w:r>
      <w:r>
        <w:rPr/>
        <w:t xml:space="preserve">[4]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Следователно границата между soft law и международния договор трябва да се търси не толкова във формата на документа, колкото в характера на поетите ангажименти и волята на участниците те да породят правни последици. Именно тези критерии са определящи и при анализа на Охридските договорености, чиято необичайна форма поставя въпроса дали политическото съгласие между страните е достигнало степента на международноправно обвързване.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r>
    </w:p>
    <w:p>
      <w:pPr>
        <w:pStyle w:val="Heading1"/>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2. ОхридскИТЕ ДОГОВОРЕНОСТИ от 2023 г. – съдържание и особености</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Охридските договорености следва да бъд</w:t>
      </w:r>
      <w:r>
        <w:rPr>
          <w:rFonts w:cs="Times New Roman"/>
          <w:sz w:val="28"/>
          <w:szCs w:val="28"/>
          <w:lang w:eastAsia="bg-BG"/>
        </w:rPr>
        <w:t>ат</w:t>
      </w:r>
      <w:r>
        <w:rPr>
          <w:rFonts w:cs="Times New Roman"/>
          <w:sz w:val="28"/>
          <w:szCs w:val="28"/>
          <w:lang w:eastAsia="bg-BG"/>
        </w:rPr>
        <w:t xml:space="preserve"> разглеждани като част от продължителния диалог между Белград и Прищина, осъществяван с посредничеството на Европейския съюз. Тяхната непосредствена основа е Споразумението за пътя към нормализиране на отношенията между Косово и Сърбия, по чийто текст страните постигат съгласие на 27 февруари 2023 г. в Брюксел. На срещата в Охрид на 18 март 2023 г. е договорено Приложението за изпълнение, което е обявено за неразделна част от основното споразумение. Поради тази връзка двата документа следва да бъдат разглеждани съвместно при определянето на тяхната правна природа.</w:t>
      </w:r>
      <w:r>
        <w:rPr/>
        <w:t xml:space="preserve">[5]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Съдържанието на споразумението показва стремеж отношенията между страните да бъдат поставени върху по-устойчива основа, без да се разрешава пряко въпросът за статута на Косово. Предвидено е развитие на нормални добросъседски отношения, взаимно признаване на документи и национални символи и уреждане на споровете единствено с мирни средства. Сред по-съществените ангажименти е задължението Сърбия да не възразява срещу членството на Косово в международни организации. Страните се ангажират също да не възпрепятстват европейския път една на друга. Особено значение има и предвиденото създаване на конкретни механизми и гаранции за сръбската общност в Косово, както и защитата на Сръбската православна църква и сръбското религиозно и културно наследство.</w:t>
      </w:r>
      <w:r>
        <w:rPr/>
        <w:t xml:space="preserve">[6]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Самият език на документа заслужава внимание от международноправна гледна точка. В текста се използват формулировки с нормативно и императивно звучене, включително </w:t>
      </w:r>
      <w:r>
        <w:rPr>
          <w:rFonts w:cs="Times New Roman"/>
          <w:i/>
          <w:iCs/>
          <w:sz w:val="28"/>
          <w:szCs w:val="28"/>
          <w:lang w:eastAsia="bg-BG"/>
        </w:rPr>
        <w:t>agree, commit, shall</w:t>
      </w:r>
      <w:r>
        <w:rPr>
          <w:rFonts w:cs="Times New Roman"/>
          <w:sz w:val="28"/>
          <w:szCs w:val="28"/>
          <w:lang w:eastAsia="bg-BG"/>
        </w:rPr>
        <w:t xml:space="preserve"> и </w:t>
      </w:r>
      <w:r>
        <w:rPr>
          <w:rFonts w:cs="Times New Roman"/>
          <w:i/>
          <w:iCs/>
          <w:sz w:val="28"/>
          <w:szCs w:val="28"/>
          <w:lang w:eastAsia="bg-BG"/>
        </w:rPr>
        <w:t>will not</w:t>
      </w:r>
      <w:r>
        <w:rPr>
          <w:rFonts w:cs="Times New Roman"/>
          <w:sz w:val="28"/>
          <w:szCs w:val="28"/>
          <w:lang w:eastAsia="bg-BG"/>
        </w:rPr>
        <w:t>, които определят конкретно очаквано поведение на страните. Наред с това чл. 10 предвижда създаването на съвместен комитет под председателството на ЕС, който да наблюдава изпълнението, а страните потвърждават задължението си да изпълняват предходните договорености от диалога. Същевременно чл. 6 предвижда продължаване на диалога, който следва да доведе до „правно обвързващо споразумение за всеобхватна нормализация“. Тази формулировка поражда допълнителен въпрос дали самите страни са възприемали споразумението от 2023 г. като окончателен правно обвързващ договор.</w:t>
      </w:r>
      <w:r>
        <w:rPr/>
        <w:t xml:space="preserve">[7] </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Приложението, договорено в Охрид, допълнително усложнява тази картина. В него Косово и Сърбия поемат ангажимент да изпълняват всички разпоредби на споразумението и произтичащите от тях задължения добросъвестно. Предвиден е и конкретен механизъм за наблюдение чрез Съвместен комитет, председателстван от ЕС. Наред с това неизпълнението е свързано с възможни отрицателни последици за европейската интеграция и финансовата помощ за страните.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Специфичното при постигнатите договорености е, че въпреки подробно формулираните ангажименти и механизми за тяхното изпълнение, документите не са подписани от сръбския президент Александър Вучич и косовския министър-председател Албин Курти. Европейският съюз обаче приема, че на срещите през февруари и март е постигнато съгласие между страните и впоследствие последователно настоява за изпълнение на договореното. Още непосредствено след срещата в Охрид ЕС определя Приложението като част от европейския път на двете страни, а по-късно изрично заявява позицията си, че Споразумението е обвързващо в своята цялост съгласно международното право.</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Така особеността на Охридските договорености се състои в съчетаването на сравнително конкретни ангажименти и механизми за контрол с липсата на традиционната форма на подписан международен договор. Именно това противоречие между съдържание и форма поставя основния въпрос за </w:t>
      </w:r>
      <w:r>
        <w:rPr>
          <w:rFonts w:cs="Times New Roman"/>
          <w:sz w:val="28"/>
          <w:szCs w:val="28"/>
          <w:lang w:eastAsia="bg-BG"/>
        </w:rPr>
        <w:t>тяхната</w:t>
      </w:r>
      <w:r>
        <w:rPr>
          <w:rFonts w:cs="Times New Roman"/>
          <w:sz w:val="28"/>
          <w:szCs w:val="28"/>
          <w:lang w:eastAsia="bg-BG"/>
        </w:rPr>
        <w:t xml:space="preserve"> правна квалификация – дали е налице международен договор, независимо от липсата на подпис, или политическа договореност, чието действие се основава преди всичко на механизмите на европейската интеграция.</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r>
    </w:p>
    <w:p>
      <w:pPr>
        <w:pStyle w:val="Heading1"/>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3. Международен договор или soft law? Правна квалификация на Охридск</w:t>
      </w:r>
      <w:r>
        <w:rPr>
          <w:rFonts w:cs="Times New Roman"/>
          <w:sz w:val="28"/>
          <w:szCs w:val="28"/>
          <w:lang w:eastAsia="bg-BG"/>
        </w:rPr>
        <w:t>ИТЕ</w:t>
      </w:r>
      <w:r>
        <w:rPr>
          <w:rFonts w:cs="Times New Roman"/>
          <w:sz w:val="28"/>
          <w:szCs w:val="28"/>
          <w:lang w:eastAsia="bg-BG"/>
        </w:rPr>
        <w:t xml:space="preserve"> </w:t>
      </w:r>
      <w:r>
        <w:rPr>
          <w:rFonts w:cs="Times New Roman"/>
          <w:sz w:val="28"/>
          <w:szCs w:val="28"/>
          <w:lang w:eastAsia="bg-BG"/>
        </w:rPr>
        <w:t>ДОГОВОРЕНОСТИ</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Определянето на правната природа на Охридските договорености изисква да се излезе извън въпроса дали върху документа стоят подписите на страните. Както беше посочено, международното право не поставя знак за равенство между подписан документ и международен договор. Решаващо е дали страните са изразили съгласие да поемат задължения, които следва да бъдат регулирани от международното право. Именно тук Охридските договорености създават трудност, тъй като тяхната форма и съдържание дават основания за различни правни изводи.</w:t>
      </w:r>
    </w:p>
    <w:p>
      <w:pPr>
        <w:pStyle w:val="Heading2"/>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3.1. Аргументи в полза на международноправно обвързващия характер</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На първо място, езикът на Споразумението трудно може да бъде определен като изцяло политически или пожелателен. Формулировки като „страните се съгласяват“, „страните се задължават“ и „няма да възпрепятстват“ определят конкретно поведение, което се очаква от Сърбия и Косово. Особено показателни са ангажиментите за мирно разрешаване на споровете, взаимно признаване на документи и национални символи, невъзпрепятстване на европейската интеграция и отказ на Сърбия да се противопоставя на членството на Косово в международни организации. Това са достатъчно конкретни ангажименти, които по своето съдържание се доближават до договорни задължения.</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Съществен аргумент представлява и Приложението от Охрид. В него страните заявяват, че се ангажират изцяло да спазват всички членове на Споразумението и да изпълняват произтичащите от него задължения добросъвестно. Предвиден е и Съвместен комитет за наблюдение на изпълнението. Такъв комитет действително е създаден през април 2023 г. с участието на представители на Косово, Сърбия и ЕС. Последващото поведение на участниците следователно показва, че поне част от предвидения механизъм е приведен в действие.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Позицията на Европейския съюз също подкрепя разбирането за обвързващ характер. Още след срещата в Охрид върховният представител Жозеп Борел заявява, че страните са постигнали съгласие по Приложението и че Споразумението и неговото изпълнение ще бъдат включени в европейския им път. През 2024 г. ЕС отива по-далеч, като изрично посочва, че Споразумението е обвързващо в своята цялост съгласно международното право.</w:t>
      </w:r>
      <w:r>
        <w:rPr/>
        <w:t>[</w:t>
      </w:r>
      <w:r>
        <w:rPr/>
        <w:t>8</w:t>
      </w:r>
      <w:r>
        <w:rPr/>
        <w:t xml:space="preserve">] </w:t>
      </w:r>
    </w:p>
    <w:p>
      <w:pPr>
        <w:pStyle w:val="Heading2"/>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3.2. Аргументи в полза на квалификацията като soft law</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Срещу подобно разбиране стоят също сериозни аргументи. Най-видимият от тях е липсата на подпис. Тя не прави автоматично невъзможно възникването на международноправно задължение, но придобива особено значение, когато е свързана с изрично нежелание на една от страните да подпише документа. Самият Борел посочва след срещата в Охрид, че сръбската страна е заявила принципна позиция да не подписва, макар да е била готова да пристъпи към изпълнение.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Това обстоятелство поставя под съмнение наличието на достатъчно ясно намерение за международноправно обвързване. Готовността една държава да следва определена политическа договореност не е непременно равнозначна на съгласие да бъде юридически обвързана от нея. Именно намерението отличава международния договор от политическия ангажимент, поради което отказът от подписване не може просто да бъде пренебрегнат като формалност.</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Допълнителна неяснота произтича от самия текст на Споразумението. В чл. 6 страните предвиждат продължаване на диалога, който в бъдеще следва да доведе до „правно обвързващо споразумение за всеобхватна нормализация“. Тази формулировка допуска аргумента, че договореното през 2023 г. не е замислено като окончателния правно обвързващ акт, а като междинна стъпка към него. Тази формулировка обаче не е сама по себе си решаваща, тъй като предвиждането на бъдещо всеобхватно правно обвързващо споразумение не изключва възможността предходна договореност също да поражда международноправни задължения с по-ограничен предмет.</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Особен е и механизмът за гарантиране на изпълнението. Основните последици при неизпълнение са свързани с процеса на европейска интеграция и финансовата помощ от ЕС. Приложението изрично предвижда възможност неизпълнението да има отрицателно отражение върху европейския път на страните. Това доближава договореностите до инструмент на политическата условност на ЕС: страните са поставени под силен практически натиск да изпълняват поетото независимо от спора дали задължението произтича непосредствено от международното договорно право.</w:t>
      </w:r>
    </w:p>
    <w:p>
      <w:pPr>
        <w:pStyle w:val="Heading2"/>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3.3. Между правната задължителност и политическия ангажимент</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Двата подхода показват защо категоричното поставяне на Охридските договорености в една от двете категории е проблематично. Ако се изхожда основно от съдържанието, използвания задължителен език и създадените механизми за изпълнение, съществуват сериозни основания т</w:t>
      </w:r>
      <w:r>
        <w:rPr>
          <w:rFonts w:cs="Times New Roman"/>
          <w:sz w:val="28"/>
          <w:szCs w:val="28"/>
          <w:lang w:eastAsia="bg-BG"/>
        </w:rPr>
        <w:t>е</w:t>
      </w:r>
      <w:r>
        <w:rPr>
          <w:rFonts w:cs="Times New Roman"/>
          <w:sz w:val="28"/>
          <w:szCs w:val="28"/>
          <w:lang w:eastAsia="bg-BG"/>
        </w:rPr>
        <w:t xml:space="preserve"> да бъд</w:t>
      </w:r>
      <w:r>
        <w:rPr>
          <w:rFonts w:cs="Times New Roman"/>
          <w:sz w:val="28"/>
          <w:szCs w:val="28"/>
          <w:lang w:eastAsia="bg-BG"/>
        </w:rPr>
        <w:t>ат</w:t>
      </w:r>
      <w:r>
        <w:rPr>
          <w:rFonts w:cs="Times New Roman"/>
          <w:sz w:val="28"/>
          <w:szCs w:val="28"/>
          <w:lang w:eastAsia="bg-BG"/>
        </w:rPr>
        <w:t xml:space="preserve"> разглеждано като акт, който надхвърля обикновената политическа декларация. Ако обаче водещо значение се отдаде на намерението за правно обвързване и на отказа от подписване, квалификацията като международен договор става значително по-спорна.</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Направеният анализ показва, че международноправната обвързваща сила на договореностите от 2023 г. не може да бъде установена единствено чрез тяхната форма или чрез използвания в тях език. Съществуват значими индиции в полза на намерение за поемане на конкретни задължения, но липсата на подписи и противоположните изявления относно правния характер на договореното не позволяват въпросът за </w:t>
      </w:r>
      <w:r>
        <w:rPr>
          <w:rFonts w:cs="Times New Roman"/>
          <w:i/>
          <w:iCs/>
          <w:sz w:val="28"/>
          <w:szCs w:val="28"/>
          <w:lang w:eastAsia="bg-BG"/>
        </w:rPr>
        <w:t>consent to be bound</w:t>
      </w:r>
      <w:r>
        <w:rPr>
          <w:rFonts w:cs="Times New Roman"/>
          <w:sz w:val="28"/>
          <w:szCs w:val="28"/>
          <w:lang w:eastAsia="bg-BG"/>
        </w:rPr>
        <w:t xml:space="preserve"> да се разглежда като безспорно разрешен. Независимо от тази квалификация, договореностите пораждат ясно установими практически последици в рамките на посредничеството на ЕС, механизмите за наблюдение и процеса на европейска интеграция.</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r>
    </w:p>
    <w:p>
      <w:pPr>
        <w:pStyle w:val="Heading1"/>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Заключение</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Охридските договорености от 2023 г. показват колко трудно в съвременното международно право може да бъде прокарана ясна граница между политическия ангажимент и международноправното задължение. Тяхната форма не следва класическия модел на подписан и впоследствие ратифициран международен договор, но съдържанието </w:t>
      </w:r>
      <w:r>
        <w:rPr>
          <w:rFonts w:cs="Times New Roman"/>
          <w:sz w:val="28"/>
          <w:szCs w:val="28"/>
          <w:lang w:eastAsia="bg-BG"/>
        </w:rPr>
        <w:t>им</w:t>
      </w:r>
      <w:r>
        <w:rPr>
          <w:rFonts w:cs="Times New Roman"/>
          <w:sz w:val="28"/>
          <w:szCs w:val="28"/>
          <w:lang w:eastAsia="bg-BG"/>
        </w:rPr>
        <w:t xml:space="preserve"> също не позволява т</w:t>
      </w:r>
      <w:r>
        <w:rPr>
          <w:rFonts w:cs="Times New Roman"/>
          <w:sz w:val="28"/>
          <w:szCs w:val="28"/>
          <w:lang w:eastAsia="bg-BG"/>
        </w:rPr>
        <w:t>е</w:t>
      </w:r>
      <w:r>
        <w:rPr>
          <w:rFonts w:cs="Times New Roman"/>
          <w:sz w:val="28"/>
          <w:szCs w:val="28"/>
          <w:lang w:eastAsia="bg-BG"/>
        </w:rPr>
        <w:t xml:space="preserve"> да бъд</w:t>
      </w:r>
      <w:r>
        <w:rPr>
          <w:rFonts w:cs="Times New Roman"/>
          <w:sz w:val="28"/>
          <w:szCs w:val="28"/>
          <w:lang w:eastAsia="bg-BG"/>
        </w:rPr>
        <w:t>ат</w:t>
      </w:r>
      <w:r>
        <w:rPr>
          <w:rFonts w:cs="Times New Roman"/>
          <w:sz w:val="28"/>
          <w:szCs w:val="28"/>
          <w:lang w:eastAsia="bg-BG"/>
        </w:rPr>
        <w:t xml:space="preserve"> определен</w:t>
      </w:r>
      <w:r>
        <w:rPr>
          <w:rFonts w:cs="Times New Roman"/>
          <w:sz w:val="28"/>
          <w:szCs w:val="28"/>
          <w:lang w:eastAsia="bg-BG"/>
        </w:rPr>
        <w:t>и</w:t>
      </w:r>
      <w:r>
        <w:rPr>
          <w:rFonts w:cs="Times New Roman"/>
          <w:sz w:val="28"/>
          <w:szCs w:val="28"/>
          <w:lang w:eastAsia="bg-BG"/>
        </w:rPr>
        <w:t xml:space="preserve"> като обикновена политическа декларация.</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 xml:space="preserve">Анализът показва, че редица характеристики на договореностите подкрепят тезата за </w:t>
      </w:r>
      <w:r>
        <w:rPr>
          <w:rFonts w:cs="Times New Roman"/>
          <w:sz w:val="28"/>
          <w:szCs w:val="28"/>
          <w:lang w:eastAsia="bg-BG"/>
        </w:rPr>
        <w:t>тяхната</w:t>
      </w:r>
      <w:r>
        <w:rPr>
          <w:rFonts w:cs="Times New Roman"/>
          <w:sz w:val="28"/>
          <w:szCs w:val="28"/>
          <w:lang w:eastAsia="bg-BG"/>
        </w:rPr>
        <w:t xml:space="preserve"> обвързваща сила. Поетите ангажименти са конкретни, използваният език има задължаващ характер, а Приложението от Охрид изрично предвижда изпълнение на всички договорени задължения добросъвестно. Създаденият механизъм за наблюдение и включването на изпълнението в процеса на европейска интеграция допълнително засилват практическото значение на договореното.</w:t>
      </w:r>
    </w:p>
    <w:p>
      <w:pPr>
        <w:pStyle w:val="BodyText"/>
        <w:widowControl/>
        <w:bidi w:val="0"/>
        <w:spacing w:lineRule="auto" w:line="240"/>
        <w:jc w:val="both"/>
        <w:rPr>
          <w:rFonts w:ascii="Times New Roman" w:hAnsi="Times New Roman" w:cs="Times New Roman"/>
          <w:sz w:val="28"/>
          <w:szCs w:val="28"/>
          <w:lang w:eastAsia="bg-BG"/>
        </w:rPr>
      </w:pPr>
      <w:r>
        <w:rPr>
          <w:rFonts w:cs="Times New Roman"/>
          <w:sz w:val="28"/>
          <w:szCs w:val="28"/>
          <w:lang w:eastAsia="bg-BG"/>
        </w:rPr>
        <w:tab/>
        <w:t>Същевременно липсата на подписи и изразените резерви относно правния характер на договореното поставят въпроса дали е налице достатъчно ясно общо намерение за поемане на задължения именно по силата на международното право. Предвиденото бъдещо постигане на правно обвързващо споразумение за всеобхватна нормализация допълнително усложнява, но само по себе си не разрешава този въпрос.</w:t>
        <w:br/>
        <w:br/>
        <w:t>Поради това по-прецизно е да се заключи, че международноправната обвързваща сила на Споразумението и Приложението остава спорна, докато техните практически и политико-правни последици са значително по-ясно установими. Те се проявяват чрез конкретните ангажименти за поведение, механизма за наблюдение и обвързването на изпълнението с процеса на европейска интеграция и финансовата подкрепа на ЕС. Случаят по този начин илюстрира не толкова заличаване на границата между soft law и международния договор, колкото трудностите при установяването на намерение за международноправно обвързване при нетипични форми на международно договаряне.</w:t>
      </w:r>
    </w:p>
    <w:p>
      <w:pPr>
        <w:pStyle w:val="BodyText"/>
        <w:spacing w:lineRule="auto" w:line="240"/>
        <w:jc w:val="both"/>
        <w:rPr>
          <w:szCs w:val="28"/>
        </w:rPr>
      </w:pPr>
      <w:r>
        <w:rPr>
          <w:szCs w:val="28"/>
        </w:rPr>
      </w:r>
    </w:p>
    <w:p>
      <w:pPr>
        <w:pStyle w:val="Normal"/>
        <w:ind w:firstLine="567"/>
        <w:jc w:val="both"/>
        <w:rPr>
          <w:szCs w:val="28"/>
        </w:rPr>
      </w:pPr>
      <w:r>
        <w:rPr>
          <w:szCs w:val="28"/>
        </w:rPr>
      </w:r>
    </w:p>
    <w:p>
      <w:pPr>
        <w:pStyle w:val="Normal"/>
        <w:ind w:firstLine="567"/>
        <w:jc w:val="both"/>
        <w:rPr>
          <w:b/>
          <w:bCs/>
          <w:szCs w:val="28"/>
        </w:rPr>
      </w:pPr>
      <w:r>
        <w:rPr>
          <w:b/>
          <w:bCs/>
          <w:szCs w:val="28"/>
        </w:rPr>
        <w:t>БЕЛЕЖКИ:</w:t>
      </w:r>
    </w:p>
    <w:p>
      <w:pPr>
        <w:pStyle w:val="Normal"/>
        <w:ind w:firstLine="567"/>
        <w:jc w:val="both"/>
        <w:rPr>
          <w:szCs w:val="28"/>
          <w:lang w:val="ru-RU"/>
        </w:rPr>
      </w:pPr>
      <w:r>
        <w:rPr>
          <w:szCs w:val="28"/>
          <w:lang w:val="en-US"/>
        </w:rPr>
        <w:t xml:space="preserve">[1] </w:t>
      </w:r>
      <w:r>
        <w:rPr/>
        <w:t xml:space="preserve">Вж. Заключение на генералния адвокат Michal Bobek от 12 декември 2017 г. по дело C-16/16 P, Кралство Белгия срещу Европейска комисия, т. 81–91, където към „мекото законодателство“ са отнесени насоки, съобщения, кодекси за поведение, известия, препоръки, становища, заключения, изявления и резолюции, като е подчертано, че тези актове не са задължителни в традиционния смисъл, но могат да влияят върху поведението на адресатите и да имат значение при тълкуването на правото. Достъпно на: EUR-Lex, ECLI:EU:C:2017:959. </w:t>
      </w:r>
    </w:p>
    <w:p>
      <w:pPr>
        <w:pStyle w:val="Normal"/>
        <w:ind w:firstLine="567"/>
        <w:jc w:val="both"/>
        <w:rPr>
          <w:szCs w:val="28"/>
          <w:lang w:val="ru-RU"/>
        </w:rPr>
      </w:pPr>
      <w:r>
        <w:rPr>
          <w:szCs w:val="28"/>
          <w:lang w:val="ru-RU"/>
        </w:rPr>
        <w:t>[2] МЕМЦОВ, Стоян. Косово: проблемът за международноправния статус. Пловдив: Макрос, 2020, с. 64–65.</w:t>
      </w:r>
    </w:p>
    <w:p>
      <w:pPr>
        <w:pStyle w:val="Normal"/>
        <w:ind w:firstLine="567"/>
        <w:jc w:val="both"/>
        <w:rPr>
          <w:szCs w:val="28"/>
          <w:lang w:val="ru-RU"/>
        </w:rPr>
      </w:pPr>
      <w:r>
        <w:rPr>
          <w:szCs w:val="28"/>
          <w:lang w:val="ru-RU"/>
        </w:rPr>
        <w:t xml:space="preserve">[3] </w:t>
      </w:r>
      <w:r>
        <w:rPr/>
        <w:t xml:space="preserve">Виенска конвенция за правото на договорите от 23 май 1969 г., чл. 11: Съгласието на държавата да се обвърже с договор може да бъде изразено чрез подписване, размяна на документи, съставляващи договор, ратификация, приемане, утвърждаване, присъединяване или по всеки друг начин, за който е договорено. </w:t>
      </w:r>
    </w:p>
    <w:p>
      <w:pPr>
        <w:pStyle w:val="Normal"/>
        <w:ind w:firstLine="567"/>
        <w:jc w:val="both"/>
        <w:rPr>
          <w:szCs w:val="28"/>
          <w:lang w:val="ru-RU"/>
        </w:rPr>
      </w:pPr>
      <w:r>
        <w:rPr/>
        <w:t xml:space="preserve">[4] INTERNATIONAL COURT OF JUSTICE. Maritime Delimitation and Territorial Questions between Qatar and Bahrain (Qatar v. Bahrain), Jurisdiction and Admissibility, Judgment of 1 July 1994, I.C.J. Reports 1994, p. 112, paras. 23–30, 41. Съдът приема, че документът, озаглавен „Minutes“ и подписан в Доха на 25 декември 1990 г. от министрите на външните работи на Бахрейн, Катар и Саудитска Арабия, представлява международно споразумение, създаващо права и задължения за страните. </w:t>
      </w:r>
    </w:p>
    <w:p>
      <w:pPr>
        <w:pStyle w:val="BodyText"/>
        <w:ind w:firstLine="567"/>
        <w:jc w:val="both"/>
        <w:rPr>
          <w:szCs w:val="28"/>
          <w:lang w:val="ru-RU"/>
        </w:rPr>
      </w:pPr>
      <w:r>
        <w:rPr/>
        <w:t>[5] EUROPEAN EXTERNAL ACTION SERVICE. Belgrade-Pristina Dialogue: Statement by High Representative Josep Borrell, Brussels, 27 February 2023; EUROPEAN EXTERNAL ACTION SERVICE. Belgrade-Pristina Dialogue: Implementation Annex to the Agreement on the Path to Normalisation of Relations between Kosovo and Serbia, Ohrid, 18 March 2023. В Приложението изрично е посочено, че то представлява неразделна част от Споразумението.</w:t>
      </w:r>
    </w:p>
    <w:p>
      <w:pPr>
        <w:pStyle w:val="BodyText"/>
        <w:ind w:firstLine="567"/>
        <w:jc w:val="both"/>
        <w:rPr>
          <w:szCs w:val="28"/>
          <w:lang w:val="ru-RU"/>
        </w:rPr>
      </w:pPr>
      <w:r>
        <w:rPr/>
        <w:t>[6] EUROPEAN EXTERNAL ACTION SERVICE. Belgrade-Pristina Dialogue: Agreement on the Path to Normalisation between Kosovo and Serbia, Brussels, 27 February 2023, arts. 1, 3–5 and 7. Споразумението предвижда развитие на нормални добросъседски отношения, взаимно признаване на документи и национални символи, разрешаване на споровете с мирни средства, невъзразяване от страна на Сърбия срещу членството на Косово в международни организации, невъзпрепятстване на европейския път на страните, както и специални гаранции за сръбската общност в Косово и защита на Сръбската православна църква и сръбското религиозно и културно наследство.</w:t>
      </w:r>
    </w:p>
    <w:p>
      <w:pPr>
        <w:pStyle w:val="BodyText"/>
        <w:ind w:firstLine="567"/>
        <w:jc w:val="both"/>
        <w:rPr>
          <w:szCs w:val="28"/>
          <w:lang w:val="ru-RU"/>
        </w:rPr>
      </w:pPr>
      <w:r>
        <w:rPr/>
        <w:t>[7] EUROPEAN EXTERNAL ACTION SERVICE. Belgrade-Pristina Dialogue: Agreement on the Path to Normalisation between Kosovo and Serbia, Brussels, 27 February 2023, arts. 6 and 10; EUROPEAN EXTERNAL ACTION SERVICE. Belgrade-Pristina Dialogue: Implementation Annex to the Agreement on the Path to Normalisation of Relations between Kosovo and Serbia, Ohrid, 18 March 2023. Член 6 предвижда продължаване на диалога, който следва да доведе до „legally binding agreement on comprehensive normalization“, а чл. 10 предвижда създаването на съвместен комитет, председателстван от ЕС, за наблюдение на изпълнението и потвърждава задължението на страните да изпълняват предходните договорености от диалога.</w:t>
      </w:r>
    </w:p>
    <w:p>
      <w:pPr>
        <w:pStyle w:val="BodyText"/>
        <w:ind w:firstLine="567"/>
        <w:jc w:val="both"/>
        <w:rPr>
          <w:szCs w:val="28"/>
          <w:lang w:val="ru-RU"/>
        </w:rPr>
      </w:pPr>
      <w:r>
        <w:rPr/>
        <w:t>[</w:t>
      </w:r>
      <w:r>
        <w:rPr/>
        <w:t>8</w:t>
      </w:r>
      <w:r>
        <w:rPr/>
        <w:t>] EUROPEAN EXTERNAL ACTION SERVICE. Belgrade-Pristina Dialogue: Press remarks by High Representative Josep Borrell after the Ohrid Meeting with President Vučić and Prime Minister Kurti, Ohrid, 18 March 2023; EUROPEAN EXTERNAL ACTION SERVICE. Belgrade-Pristina Dialogue: Statement by the High Representative on the anniversary of the Agreement on the Path to Normalisation and its Implementation Annex, 17 March 2024. След срещата в Охрид Жозеп Борел заявява, че Косово и Сърбия са постигнали съгласие по Приложението и че Споразумението и неговото изпълнение ще станат неразделна част от европейския път на двете страни. В изявлението от март 2024 г. ЕС изрично подчертава, че Споразумението е обвързващо в своята цялост съгласно международното право.</w:t>
      </w:r>
    </w:p>
    <w:p>
      <w:pPr>
        <w:pStyle w:val="BodyText"/>
        <w:ind w:firstLine="567"/>
        <w:jc w:val="both"/>
        <w:rPr>
          <w:szCs w:val="28"/>
          <w:lang w:val="ru-RU"/>
        </w:rPr>
      </w:pPr>
      <w:r>
        <w:rPr/>
      </w:r>
    </w:p>
    <w:p>
      <w:pPr>
        <w:pStyle w:val="Normal"/>
        <w:ind w:firstLine="567"/>
        <w:jc w:val="both"/>
        <w:rPr>
          <w:b/>
          <w:szCs w:val="28"/>
        </w:rPr>
      </w:pPr>
      <w:r>
        <w:rPr>
          <w:b/>
          <w:szCs w:val="28"/>
        </w:rPr>
        <w:t>ЛИТЕРАТУРА:</w:t>
      </w:r>
    </w:p>
    <w:p>
      <w:pPr>
        <w:pStyle w:val="BodyText"/>
        <w:numPr>
          <w:ilvl w:val="0"/>
          <w:numId w:val="1"/>
        </w:numPr>
        <w:tabs>
          <w:tab w:val="clear" w:pos="708"/>
          <w:tab w:val="left" w:pos="0" w:leader="none"/>
        </w:tabs>
        <w:spacing w:lineRule="auto" w:line="240"/>
        <w:ind w:hanging="283" w:start="709"/>
        <w:jc w:val="both"/>
        <w:rPr>
          <w:szCs w:val="28"/>
          <w:lang w:val="ru-RU"/>
        </w:rPr>
      </w:pPr>
      <w:r>
        <w:rPr>
          <w:szCs w:val="28"/>
          <w:lang w:val="ru-RU"/>
        </w:rPr>
        <w:t>ВИЕНСКА КОНВЕНЦИЯ за правото на договорите от 23 май 1969 г. Ратифицирана с Указ № 503 на Държавния съвет от 12 февруари 1987 г. – ДВ, бр. 14 от 1987 г.; обн., ДВ, бр. 87 от 10 ноември 1987 г.; в сила за Република България от 21 май 1987 г.</w:t>
      </w:r>
    </w:p>
    <w:p>
      <w:pPr>
        <w:pStyle w:val="BodyText"/>
        <w:numPr>
          <w:ilvl w:val="0"/>
          <w:numId w:val="1"/>
        </w:numPr>
        <w:tabs>
          <w:tab w:val="clear" w:pos="708"/>
          <w:tab w:val="left" w:pos="0" w:leader="none"/>
        </w:tabs>
        <w:spacing w:lineRule="auto" w:line="240"/>
        <w:ind w:hanging="283" w:start="709"/>
        <w:jc w:val="both"/>
        <w:rPr>
          <w:szCs w:val="28"/>
          <w:lang w:val="ru-RU"/>
        </w:rPr>
      </w:pPr>
      <w:r>
        <w:rPr>
          <w:szCs w:val="28"/>
          <w:lang w:val="ru-RU"/>
        </w:rPr>
        <w:t>МЕМЦОВ, Стоян. Косово: проблемът за международноправния статус. Пловдив: Макрос, 2019. 413 с. ISBN 978-954-561-479-8.</w:t>
      </w:r>
    </w:p>
    <w:p>
      <w:pPr>
        <w:pStyle w:val="BodyText"/>
        <w:numPr>
          <w:ilvl w:val="0"/>
          <w:numId w:val="1"/>
        </w:numPr>
        <w:tabs>
          <w:tab w:val="clear" w:pos="708"/>
          <w:tab w:val="left" w:pos="0" w:leader="none"/>
        </w:tabs>
        <w:spacing w:lineRule="auto" w:line="240"/>
        <w:ind w:hanging="283" w:start="709"/>
        <w:jc w:val="both"/>
        <w:rPr>
          <w:szCs w:val="28"/>
          <w:lang w:val="ru-RU"/>
        </w:rPr>
      </w:pPr>
      <w:r>
        <w:rPr>
          <w:szCs w:val="28"/>
          <w:lang w:val="ru-RU"/>
        </w:rPr>
        <w:t>BOBEK, Michal. Заключение на генералния адвокат M. Bobek, представено на 12 декември 2017 г. по дело C-16/16 P, Кралство Белгия срещу Европейска комисия. Съд на Европейския съюз. ECLI:EU:C:2017:959. Online. EUR-Lex. [прегледан 2026-09-16].</w:t>
      </w:r>
    </w:p>
    <w:p>
      <w:pPr>
        <w:pStyle w:val="BodyText"/>
        <w:numPr>
          <w:ilvl w:val="0"/>
          <w:numId w:val="1"/>
        </w:numPr>
        <w:tabs>
          <w:tab w:val="clear" w:pos="708"/>
          <w:tab w:val="left" w:pos="0" w:leader="none"/>
        </w:tabs>
        <w:spacing w:lineRule="auto" w:line="240"/>
        <w:ind w:hanging="283" w:start="709"/>
        <w:jc w:val="both"/>
        <w:rPr>
          <w:szCs w:val="28"/>
          <w:lang w:val="ru-RU"/>
        </w:rPr>
      </w:pPr>
      <w:r>
        <w:rPr>
          <w:szCs w:val="28"/>
          <w:lang w:val="ru-RU"/>
        </w:rPr>
        <w:t>EUROPEAN EXTERNAL ACTION SERVICE. Belgrade-Pristina Dialogue. Официални документи относно Споразумението за пътя към нормализиране на отношенията между Косово и Сърбия: Agreement on the Path to Normalisation between Kosovo and Serbia, Brussels, 27 February 2023; Statement by High Representative Josep Borrell, Brussels, 27 February 2023; Implementation Annex to the Agreement on the Path to Normalisation of Relations between Kosovo and Serbia, Ohrid, 18 March 2023; Press remarks by High Representative Josep Borrell after the Ohrid Meeting with President Vučić and Prime Minister Kurti, Ohrid, 19 March 2023; Statement by the High Representative on the Anniversary of the Agreement on the Path to Normalisation and its Implementation Annex, 17 March 2024. Online. European External Action Service. [прегледани 2026-09-16].</w:t>
      </w:r>
    </w:p>
    <w:p>
      <w:pPr>
        <w:pStyle w:val="BodyText"/>
        <w:numPr>
          <w:ilvl w:val="0"/>
          <w:numId w:val="1"/>
        </w:numPr>
        <w:tabs>
          <w:tab w:val="clear" w:pos="708"/>
          <w:tab w:val="left" w:pos="0" w:leader="none"/>
        </w:tabs>
        <w:spacing w:lineRule="auto" w:line="240"/>
        <w:ind w:hanging="283" w:start="709"/>
        <w:jc w:val="both"/>
        <w:rPr>
          <w:szCs w:val="28"/>
          <w:lang w:val="ru-RU"/>
        </w:rPr>
      </w:pPr>
      <w:r>
        <w:rPr>
          <w:szCs w:val="28"/>
          <w:lang w:val="ru-RU"/>
        </w:rPr>
        <w:t>INTERNATIONAL COURT OF JUSTICE. Maritime Delimitation and Territorial Questions between Qatar and Bahrain (Qatar v. Bahrain). Jurisdiction and Admissibility. Judgment of 1 July 1994. I.C.J. Reports 1994, p. 112 et seq. The Hague: International Court of Justice, 1994.</w:t>
      </w:r>
    </w:p>
    <w:p>
      <w:pPr>
        <w:pStyle w:val="Normal"/>
        <w:ind w:firstLine="567"/>
        <w:jc w:val="both"/>
        <w:rPr>
          <w:szCs w:val="28"/>
        </w:rPr>
      </w:pPr>
      <w:r>
        <w:rPr>
          <w:szCs w:val="28"/>
          <w:lang w:val="ru-RU"/>
        </w:rPr>
      </w:r>
    </w:p>
    <w:p>
      <w:pPr>
        <w:pStyle w:val="Normal"/>
        <w:ind w:firstLine="567"/>
        <w:jc w:val="both"/>
        <w:rPr>
          <w:i/>
          <w:iCs/>
          <w:sz w:val="24"/>
        </w:rPr>
      </w:pPr>
      <w:r>
        <w:rPr>
          <w:i/>
          <w:iCs/>
          <w:sz w:val="24"/>
        </w:rPr>
        <w:t>Станислав Васков Станев</w:t>
      </w:r>
    </w:p>
    <w:p>
      <w:pPr>
        <w:pStyle w:val="Normal"/>
        <w:ind w:firstLine="567"/>
        <w:jc w:val="both"/>
        <w:rPr>
          <w:i/>
          <w:iCs/>
          <w:sz w:val="24"/>
        </w:rPr>
      </w:pPr>
      <w:r>
        <w:rPr>
          <w:i/>
          <w:iCs/>
          <w:sz w:val="24"/>
        </w:rPr>
        <w:t xml:space="preserve">гр. Пловдив, бул. „Цар Борис </w:t>
      </w:r>
      <w:r>
        <w:rPr>
          <w:i/>
          <w:iCs/>
          <w:sz w:val="24"/>
          <w:lang w:val="en-GB"/>
        </w:rPr>
        <w:t xml:space="preserve">III </w:t>
      </w:r>
      <w:r>
        <w:rPr>
          <w:i/>
          <w:iCs/>
          <w:sz w:val="24"/>
          <w:lang w:val="bg-BG"/>
        </w:rPr>
        <w:t>Обединител</w:t>
      </w:r>
      <w:r>
        <w:rPr>
          <w:i/>
          <w:iCs/>
          <w:sz w:val="24"/>
        </w:rPr>
        <w:t>“ 54, лява секция, ет, 4, ап. 25</w:t>
      </w:r>
    </w:p>
    <w:p>
      <w:pPr>
        <w:pStyle w:val="Normal"/>
        <w:ind w:firstLine="567"/>
        <w:jc w:val="both"/>
        <w:rPr>
          <w:i/>
          <w:iCs/>
          <w:sz w:val="24"/>
          <w:lang w:val="en-GB"/>
        </w:rPr>
      </w:pPr>
      <w:r>
        <w:rPr>
          <w:i/>
          <w:iCs/>
          <w:sz w:val="24"/>
          <w:lang w:val="en-GB"/>
        </w:rPr>
        <w:t xml:space="preserve">e-mail: </w:t>
      </w:r>
      <w:hyperlink r:id="rId2">
        <w:r>
          <w:rPr>
            <w:rStyle w:val="Hyperlink"/>
            <w:i/>
            <w:iCs/>
            <w:sz w:val="24"/>
            <w:lang w:val="en-GB"/>
          </w:rPr>
          <w:t>st.stanev@advokat.bz</w:t>
        </w:r>
      </w:hyperlink>
      <w:r>
        <w:rPr>
          <w:i/>
          <w:iCs/>
          <w:sz w:val="24"/>
          <w:lang w:val="en-GB"/>
        </w:rPr>
        <w:t xml:space="preserve">, </w:t>
      </w:r>
      <w:r>
        <w:rPr>
          <w:i/>
          <w:iCs/>
          <w:sz w:val="24"/>
          <w:lang w:val="bg-BG"/>
        </w:rPr>
        <w:t>телефон: 0886824394</w:t>
      </w:r>
    </w:p>
    <w:p>
      <w:pPr>
        <w:pStyle w:val="Normal"/>
        <w:ind w:firstLine="567"/>
        <w:jc w:val="both"/>
        <w:rPr>
          <w:szCs w:val="28"/>
        </w:rPr>
      </w:pPr>
      <w:r>
        <w:rPr>
          <w:szCs w:val="28"/>
        </w:rPr>
      </w:r>
    </w:p>
    <w:sectPr>
      <w:type w:val="nextPage"/>
      <w:pgSz w:w="11906" w:h="16838"/>
      <w:pgMar w:left="1701" w:right="1134" w:gutter="0" w:header="0" w:top="1134"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mirrorMargins/>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 w:asciiTheme="minorHAnsi" w:cstheme="minorBid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04bd"/>
    <w:pPr>
      <w:widowControl/>
      <w:suppressAutoHyphens w:val="true"/>
      <w:bidi w:val="0"/>
      <w:spacing w:lineRule="auto" w:line="240" w:before="0" w:after="0"/>
      <w:jc w:val="start"/>
    </w:pPr>
    <w:rPr>
      <w:rFonts w:ascii="Times New Roman" w:hAnsi="Times New Roman" w:eastAsia="Times New Roman" w:cs="Times New Roman"/>
      <w:color w:val="auto"/>
      <w:kern w:val="0"/>
      <w:sz w:val="28"/>
      <w:szCs w:val="24"/>
      <w:lang w:val="bg-BG" w:eastAsia="bg-BG" w:bidi="ar-SA"/>
    </w:rPr>
  </w:style>
  <w:style w:type="paragraph" w:styleId="Heading1">
    <w:name w:val="heading 1"/>
    <w:next w:val="Normal"/>
    <w:link w:val="1"/>
    <w:autoRedefine/>
    <w:uiPriority w:val="9"/>
    <w:qFormat/>
    <w:rsid w:val="001e6585"/>
    <w:pPr>
      <w:keepNext w:val="true"/>
      <w:widowControl/>
      <w:suppressAutoHyphens w:val="true"/>
      <w:bidi w:val="0"/>
      <w:spacing w:lineRule="auto" w:line="240" w:before="0" w:after="0"/>
      <w:ind w:firstLine="567"/>
      <w:jc w:val="center"/>
      <w:outlineLvl w:val="0"/>
    </w:pPr>
    <w:rPr>
      <w:rFonts w:ascii="Times New Roman" w:hAnsi="Times New Roman" w:eastAsia="Times New Roman" w:cs="Times New Roman"/>
      <w:b/>
      <w:bCs/>
      <w:caps/>
      <w:color w:val="auto"/>
      <w:kern w:val="0"/>
      <w:sz w:val="32"/>
      <w:szCs w:val="32"/>
      <w:lang w:val="bg-BG" w:eastAsia="en-US" w:bidi="ar-SA"/>
    </w:rPr>
  </w:style>
  <w:style w:type="paragraph" w:styleId="Heading2">
    <w:name w:val="heading 2"/>
    <w:next w:val="Normal"/>
    <w:link w:val="2"/>
    <w:uiPriority w:val="9"/>
    <w:unhideWhenUsed/>
    <w:qFormat/>
    <w:rsid w:val="008129c2"/>
    <w:pPr>
      <w:keepNext w:val="true"/>
      <w:keepLines/>
      <w:widowControl/>
      <w:suppressAutoHyphens w:val="true"/>
      <w:bidi w:val="0"/>
      <w:spacing w:lineRule="auto" w:line="259" w:before="40" w:after="160"/>
      <w:jc w:val="center"/>
      <w:outlineLvl w:val="1"/>
    </w:pPr>
    <w:rPr>
      <w:rFonts w:ascii="Times New Roman" w:hAnsi="Times New Roman" w:eastAsia="" w:cs="" w:cstheme="majorBidi" w:eastAsiaTheme="majorEastAsia"/>
      <w:b/>
      <w:color w:val="auto"/>
      <w:kern w:val="0"/>
      <w:sz w:val="32"/>
      <w:szCs w:val="26"/>
      <w:lang w:val="bg-BG" w:eastAsia="bg-BG" w:bidi="ar-SA"/>
    </w:rPr>
  </w:style>
  <w:style w:type="paragraph" w:styleId="Heading3">
    <w:name w:val="heading 3"/>
    <w:basedOn w:val="Normal"/>
    <w:next w:val="Normal"/>
    <w:link w:val="3"/>
    <w:uiPriority w:val="9"/>
    <w:unhideWhenUsed/>
    <w:qFormat/>
    <w:rsid w:val="003004bd"/>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rPr>
  </w:style>
  <w:style w:type="paragraph" w:styleId="Heading4">
    <w:name w:val="heading 4"/>
    <w:basedOn w:val="Normal"/>
    <w:next w:val="Normal"/>
    <w:link w:val="4"/>
    <w:uiPriority w:val="9"/>
    <w:unhideWhenUsed/>
    <w:qFormat/>
    <w:rsid w:val="003004bd"/>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F5496"/>
    </w:rPr>
  </w:style>
  <w:style w:type="paragraph" w:styleId="Heading5">
    <w:name w:val="heading 5"/>
    <w:basedOn w:val="Normal"/>
    <w:next w:val="Normal"/>
    <w:link w:val="5"/>
    <w:uiPriority w:val="9"/>
    <w:unhideWhenUsed/>
    <w:qFormat/>
    <w:rsid w:val="003004bd"/>
    <w:pPr>
      <w:keepNext w:val="true"/>
      <w:keepLines/>
      <w:spacing w:before="40" w:after="0"/>
      <w:outlineLvl w:val="4"/>
    </w:pPr>
    <w:rPr>
      <w:rFonts w:ascii="Calibri Light" w:hAnsi="Calibri Light" w:eastAsia="" w:cs="" w:asciiTheme="majorHAnsi" w:cstheme="majorBidi" w:eastAsiaTheme="majorEastAsia" w:hAnsiTheme="majorHAnsi"/>
      <w:color w:themeColor="accent1" w:themeShade="bf" w:val="2F5496"/>
    </w:rPr>
  </w:style>
  <w:style w:type="paragraph" w:styleId="Heading6">
    <w:name w:val="heading 6"/>
    <w:basedOn w:val="Normal"/>
    <w:next w:val="Normal"/>
    <w:link w:val="6"/>
    <w:uiPriority w:val="9"/>
    <w:unhideWhenUsed/>
    <w:qFormat/>
    <w:rsid w:val="003004bd"/>
    <w:pPr>
      <w:keepNext w:val="true"/>
      <w:keepLines/>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paragraph" w:styleId="Heading7">
    <w:name w:val="heading 7"/>
    <w:basedOn w:val="Normal"/>
    <w:next w:val="Normal"/>
    <w:link w:val="7"/>
    <w:uiPriority w:val="9"/>
    <w:unhideWhenUsed/>
    <w:qFormat/>
    <w:rsid w:val="003004bd"/>
    <w:pPr>
      <w:keepNext w:val="true"/>
      <w:keepLines/>
      <w:spacing w:before="40" w:after="0"/>
      <w:outlineLvl w:val="6"/>
    </w:pPr>
    <w:rPr>
      <w:rFonts w:ascii="Calibri Light" w:hAnsi="Calibri Light" w:eastAsia="" w:cs="" w:asciiTheme="majorHAnsi" w:cstheme="majorBidi" w:eastAsiaTheme="majorEastAsia" w:hAnsiTheme="majorHAnsi"/>
      <w:i/>
      <w:iCs/>
      <w:color w:themeColor="accent1" w:themeShade="7f" w:val="1F3763"/>
    </w:rPr>
  </w:style>
  <w:style w:type="character" w:styleId="DefaultParagraphFont" w:default="1">
    <w:name w:val="Default Paragraph Font"/>
    <w:uiPriority w:val="1"/>
    <w:semiHidden/>
    <w:unhideWhenUsed/>
    <w:qFormat/>
    <w:rPr/>
  </w:style>
  <w:style w:type="character" w:styleId="1" w:customStyle="1">
    <w:name w:val="Заглавие 1 Знак"/>
    <w:link w:val="Heading1"/>
    <w:uiPriority w:val="9"/>
    <w:qFormat/>
    <w:rsid w:val="001e6585"/>
    <w:rPr>
      <w:rFonts w:ascii="Times New Roman" w:hAnsi="Times New Roman" w:eastAsia="Times New Roman" w:cs="Times New Roman"/>
      <w:b/>
      <w:bCs/>
      <w:caps/>
      <w:sz w:val="32"/>
      <w:szCs w:val="32"/>
    </w:rPr>
  </w:style>
  <w:style w:type="character" w:styleId="2" w:customStyle="1">
    <w:name w:val="Заглавие 2 Знак"/>
    <w:basedOn w:val="DefaultParagraphFont"/>
    <w:link w:val="Heading2"/>
    <w:uiPriority w:val="9"/>
    <w:qFormat/>
    <w:rsid w:val="008129c2"/>
    <w:rPr>
      <w:rFonts w:ascii="Times New Roman" w:hAnsi="Times New Roman" w:eastAsia="" w:cs="" w:cstheme="majorBidi" w:eastAsiaTheme="majorEastAsia"/>
      <w:b/>
      <w:sz w:val="32"/>
      <w:szCs w:val="26"/>
      <w:lang w:eastAsia="bg-BG"/>
    </w:rPr>
  </w:style>
  <w:style w:type="character" w:styleId="Style7" w:customStyle="1">
    <w:name w:val="Текст под линия Знак"/>
    <w:basedOn w:val="DefaultParagraphFont"/>
    <w:link w:val="FootnoteText"/>
    <w:uiPriority w:val="99"/>
    <w:semiHidden/>
    <w:qFormat/>
    <w:rsid w:val="00a0193a"/>
    <w:rPr>
      <w:rFonts w:ascii="Times New Roman" w:hAnsi="Times New Roman" w:cs="Times New Roman"/>
      <w:sz w:val="20"/>
      <w:szCs w:val="20"/>
      <w:lang w:eastAsia="bg-BG"/>
    </w:rPr>
  </w:style>
  <w:style w:type="character" w:styleId="FootnoteCharacters">
    <w:name w:val="Footnote Characters"/>
    <w:uiPriority w:val="99"/>
    <w:semiHidden/>
    <w:unhideWhenUsed/>
    <w:qFormat/>
    <w:rsid w:val="00a0193a"/>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3" w:customStyle="1">
    <w:name w:val="Заглавие 3 Знак"/>
    <w:basedOn w:val="DefaultParagraphFont"/>
    <w:link w:val="Heading3"/>
    <w:uiPriority w:val="9"/>
    <w:qFormat/>
    <w:rsid w:val="003004bd"/>
    <w:rPr>
      <w:rFonts w:ascii="Calibri Light" w:hAnsi="Calibri Light" w:eastAsia="" w:cs="" w:asciiTheme="majorHAnsi" w:cstheme="majorBidi" w:eastAsiaTheme="majorEastAsia" w:hAnsiTheme="majorHAnsi"/>
      <w:color w:themeColor="accent1" w:themeShade="7f" w:val="1F3763"/>
      <w:sz w:val="24"/>
      <w:szCs w:val="24"/>
      <w:lang w:eastAsia="bg-BG"/>
    </w:rPr>
  </w:style>
  <w:style w:type="character" w:styleId="4" w:customStyle="1">
    <w:name w:val="Заглавие 4 Знак"/>
    <w:basedOn w:val="DefaultParagraphFont"/>
    <w:link w:val="Heading4"/>
    <w:uiPriority w:val="9"/>
    <w:qFormat/>
    <w:rsid w:val="003004bd"/>
    <w:rPr>
      <w:rFonts w:ascii="Calibri Light" w:hAnsi="Calibri Light" w:eastAsia="" w:cs="" w:asciiTheme="majorHAnsi" w:cstheme="majorBidi" w:eastAsiaTheme="majorEastAsia" w:hAnsiTheme="majorHAnsi"/>
      <w:i/>
      <w:iCs/>
      <w:color w:themeColor="accent1" w:themeShade="bf" w:val="2F5496"/>
      <w:sz w:val="28"/>
      <w:szCs w:val="24"/>
      <w:lang w:eastAsia="bg-BG"/>
    </w:rPr>
  </w:style>
  <w:style w:type="character" w:styleId="5" w:customStyle="1">
    <w:name w:val="Заглавие 5 Знак"/>
    <w:basedOn w:val="DefaultParagraphFont"/>
    <w:link w:val="Heading5"/>
    <w:uiPriority w:val="9"/>
    <w:qFormat/>
    <w:rsid w:val="003004bd"/>
    <w:rPr>
      <w:rFonts w:ascii="Calibri Light" w:hAnsi="Calibri Light" w:eastAsia="" w:cs="" w:asciiTheme="majorHAnsi" w:cstheme="majorBidi" w:eastAsiaTheme="majorEastAsia" w:hAnsiTheme="majorHAnsi"/>
      <w:color w:themeColor="accent1" w:themeShade="bf" w:val="2F5496"/>
      <w:sz w:val="28"/>
      <w:szCs w:val="24"/>
      <w:lang w:eastAsia="bg-BG"/>
    </w:rPr>
  </w:style>
  <w:style w:type="character" w:styleId="6" w:customStyle="1">
    <w:name w:val="Заглавие 6 Знак"/>
    <w:basedOn w:val="DefaultParagraphFont"/>
    <w:link w:val="Heading6"/>
    <w:uiPriority w:val="9"/>
    <w:qFormat/>
    <w:rsid w:val="003004bd"/>
    <w:rPr>
      <w:rFonts w:ascii="Calibri Light" w:hAnsi="Calibri Light" w:eastAsia="" w:cs="" w:asciiTheme="majorHAnsi" w:cstheme="majorBidi" w:eastAsiaTheme="majorEastAsia" w:hAnsiTheme="majorHAnsi"/>
      <w:color w:themeColor="accent1" w:themeShade="7f" w:val="1F3763"/>
      <w:sz w:val="28"/>
      <w:szCs w:val="24"/>
      <w:lang w:eastAsia="bg-BG"/>
    </w:rPr>
  </w:style>
  <w:style w:type="character" w:styleId="7" w:customStyle="1">
    <w:name w:val="Заглавие 7 Знак"/>
    <w:basedOn w:val="DefaultParagraphFont"/>
    <w:link w:val="Heading7"/>
    <w:uiPriority w:val="9"/>
    <w:qFormat/>
    <w:rsid w:val="003004bd"/>
    <w:rPr>
      <w:rFonts w:ascii="Calibri Light" w:hAnsi="Calibri Light" w:eastAsia="" w:cs="" w:asciiTheme="majorHAnsi" w:cstheme="majorBidi" w:eastAsiaTheme="majorEastAsia" w:hAnsiTheme="majorHAnsi"/>
      <w:i/>
      <w:iCs/>
      <w:color w:themeColor="accent1" w:themeShade="7f" w:val="1F3763"/>
      <w:sz w:val="28"/>
      <w:szCs w:val="24"/>
      <w:lang w:eastAsia="bg-BG"/>
    </w:rPr>
  </w:style>
  <w:style w:type="character" w:styleId="Style8" w:customStyle="1">
    <w:name w:val="Подзаглавие Знак"/>
    <w:basedOn w:val="DefaultParagraphFont"/>
    <w:link w:val="Subtitle"/>
    <w:uiPriority w:val="11"/>
    <w:qFormat/>
    <w:rsid w:val="003004bd"/>
    <w:rPr>
      <w:rFonts w:eastAsia="" w:eastAsiaTheme="minorEastAsia"/>
      <w:color w:themeColor="text1" w:themeTint="a5" w:val="5A5A5A"/>
      <w:spacing w:val="15"/>
      <w:lang w:eastAsia="bg-BG"/>
    </w:rPr>
  </w:style>
  <w:style w:type="character" w:styleId="Style9" w:customStyle="1">
    <w:name w:val="Текст на бележка в края Знак"/>
    <w:basedOn w:val="DefaultParagraphFont"/>
    <w:link w:val="EndnoteText"/>
    <w:uiPriority w:val="99"/>
    <w:semiHidden/>
    <w:qFormat/>
    <w:rsid w:val="002a7c9b"/>
    <w:rPr>
      <w:rFonts w:ascii="Times New Roman" w:hAnsi="Times New Roman" w:cs="Times New Roman"/>
      <w:sz w:val="20"/>
      <w:szCs w:val="20"/>
      <w:lang w:eastAsia="bg-BG"/>
    </w:rPr>
  </w:style>
  <w:style w:type="character" w:styleId="EndnoteCharacters">
    <w:name w:val="Endnote Characters"/>
    <w:uiPriority w:val="99"/>
    <w:semiHidden/>
    <w:unhideWhenUsed/>
    <w:qFormat/>
    <w:rsid w:val="002a7c9b"/>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rsid w:val="00f64d1c"/>
    <w:rPr>
      <w:color w:themeColor="hyperlink" w:val="0563C1"/>
      <w:u w:val="single"/>
    </w:rPr>
  </w:style>
  <w:style w:type="character" w:styleId="Strong">
    <w:name w:val="Strong"/>
    <w:qFormat/>
    <w:rPr>
      <w:b/>
      <w:bCs/>
    </w:rPr>
  </w:style>
  <w:style w:type="character" w:styleId="Emphasis">
    <w:name w:val="Emphasis"/>
    <w:qFormat/>
    <w:rPr>
      <w:i/>
      <w:iCs/>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unhideWhenUsed/>
    <w:qFormat/>
    <w:rsid w:val="00261dcd"/>
    <w:pPr>
      <w:spacing w:before="0" w:after="200"/>
    </w:pPr>
    <w:rPr>
      <w:i/>
      <w:iCs/>
      <w:color w:themeColor="text2" w:val="44546A"/>
      <w:sz w:val="18"/>
      <w:szCs w:val="18"/>
    </w:rPr>
  </w:style>
  <w:style w:type="paragraph" w:styleId="Index">
    <w:name w:val="Index"/>
    <w:basedOn w:val="Normal"/>
    <w:qFormat/>
    <w:pPr>
      <w:suppressLineNumbers/>
    </w:pPr>
    <w:rPr>
      <w:rFonts w:cs="Lucida Sans"/>
    </w:rPr>
  </w:style>
  <w:style w:type="paragraph" w:styleId="TOC1">
    <w:name w:val="toc 1"/>
    <w:next w:val="Normal"/>
    <w:autoRedefine/>
    <w:uiPriority w:val="39"/>
    <w:unhideWhenUsed/>
    <w:rsid w:val="00534842"/>
    <w:pPr>
      <w:widowControl/>
      <w:suppressAutoHyphens w:val="true"/>
      <w:bidi w:val="0"/>
      <w:spacing w:lineRule="auto" w:line="240" w:before="0" w:after="0"/>
      <w:jc w:val="start"/>
    </w:pPr>
    <w:rPr>
      <w:rFonts w:ascii="Times New Roman" w:hAnsi="Times New Roman" w:eastAsia="Times New Roman" w:cs="" w:cstheme="minorBidi"/>
      <w:b/>
      <w:color w:val="auto"/>
      <w:kern w:val="0"/>
      <w:sz w:val="28"/>
      <w:szCs w:val="22"/>
      <w:lang w:val="bg-BG" w:eastAsia="en-US" w:bidi="ar-SA"/>
    </w:rPr>
  </w:style>
  <w:style w:type="paragraph" w:styleId="TOC2">
    <w:name w:val="toc 2"/>
    <w:basedOn w:val="Normal"/>
    <w:next w:val="Normal"/>
    <w:autoRedefine/>
    <w:uiPriority w:val="39"/>
    <w:unhideWhenUsed/>
    <w:rsid w:val="00534842"/>
    <w:pPr>
      <w:spacing w:before="0" w:after="100"/>
      <w:ind w:start="221"/>
    </w:pPr>
    <w:rPr/>
  </w:style>
  <w:style w:type="paragraph" w:styleId="ListParagraph">
    <w:name w:val="List Paragraph"/>
    <w:basedOn w:val="Normal"/>
    <w:uiPriority w:val="34"/>
    <w:qFormat/>
    <w:rsid w:val="007e2105"/>
    <w:pPr>
      <w:spacing w:before="0" w:after="0"/>
      <w:ind w:start="720"/>
      <w:contextualSpacing/>
    </w:pPr>
    <w:rPr/>
  </w:style>
  <w:style w:type="paragraph" w:styleId="FootnoteText">
    <w:name w:val="footnote text"/>
    <w:basedOn w:val="Normal"/>
    <w:link w:val="Style7"/>
    <w:uiPriority w:val="99"/>
    <w:semiHidden/>
    <w:unhideWhenUsed/>
    <w:rsid w:val="00a0193a"/>
    <w:pPr/>
    <w:rPr>
      <w:sz w:val="20"/>
      <w:szCs w:val="20"/>
    </w:rPr>
  </w:style>
  <w:style w:type="paragraph" w:styleId="NoSpacing">
    <w:name w:val="No Spacing"/>
    <w:uiPriority w:val="1"/>
    <w:qFormat/>
    <w:rsid w:val="003004bd"/>
    <w:pPr>
      <w:widowControl/>
      <w:suppressAutoHyphens w:val="true"/>
      <w:bidi w:val="0"/>
      <w:spacing w:lineRule="auto" w:line="240" w:before="0" w:after="0"/>
      <w:ind w:firstLine="567"/>
      <w:jc w:val="start"/>
    </w:pPr>
    <w:rPr>
      <w:rFonts w:ascii="Times New Roman" w:hAnsi="Times New Roman" w:eastAsia="Times New Roman" w:cs="Times New Roman"/>
      <w:color w:val="auto"/>
      <w:kern w:val="0"/>
      <w:sz w:val="28"/>
      <w:szCs w:val="24"/>
      <w:lang w:val="bg-BG" w:eastAsia="bg-BG" w:bidi="ar-SA"/>
    </w:rPr>
  </w:style>
  <w:style w:type="paragraph" w:styleId="Subtitle">
    <w:name w:val="Subtitle"/>
    <w:basedOn w:val="Normal"/>
    <w:next w:val="Normal"/>
    <w:link w:val="Style8"/>
    <w:uiPriority w:val="11"/>
    <w:qFormat/>
    <w:rsid w:val="003004bd"/>
    <w:pPr>
      <w:spacing w:before="0" w:after="160"/>
      <w:ind w:firstLine="567"/>
    </w:pPr>
    <w:rPr>
      <w:rFonts w:ascii="Calibri" w:hAnsi="Calibri" w:eastAsia="" w:cs="" w:asciiTheme="minorHAnsi" w:cstheme="minorBidi" w:eastAsiaTheme="minorEastAsia" w:hAnsiTheme="minorHAnsi"/>
      <w:color w:themeColor="text1" w:themeTint="a5" w:val="5A5A5A"/>
      <w:spacing w:val="15"/>
      <w:sz w:val="22"/>
      <w:szCs w:val="22"/>
    </w:rPr>
  </w:style>
  <w:style w:type="paragraph" w:styleId="EndnoteText">
    <w:name w:val="endnote text"/>
    <w:basedOn w:val="Normal"/>
    <w:link w:val="Style9"/>
    <w:uiPriority w:val="99"/>
    <w:semiHidden/>
    <w:unhideWhenUsed/>
    <w:rsid w:val="002a7c9b"/>
    <w:pPr/>
    <w:rPr>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uiPriority w:val="39"/>
    <w:rsid w:val="00155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t.stanev@advokat.bz"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Application>LibreOffice/26.2.5.2$Windows_X86_64 LibreOffice_project/cd7284b4cbbfeb507e630c1aac019f4157393acb</Application>
  <AppVersion>15.0000</AppVersion>
  <Pages>10</Pages>
  <Words>3458</Words>
  <Characters>21806</Characters>
  <CharactersWithSpaces>25243</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2022-08-11T05:55:00Z</dcterms:created>
  <dc:creator>Ана Христова</dc:creator>
  <dc:description/>
  <dc:language>en-GB</dc:language>
  <cp:lastModifiedBy/>
  <dcterms:modified xsi:type="dcterms:W3CDTF">2026-09-16T17:56:23Z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