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sz w:val="32"/>
          <w:szCs w:val="32"/>
        </w:rPr>
      </w:pPr>
      <w:r>
        <w:rPr>
          <w:b/>
          <w:bCs/>
          <w:sz w:val="32"/>
          <w:szCs w:val="32"/>
        </w:rPr>
        <w:t>ДЕ ФАКТО ИМУНИТЕТ НА ПОСТОЯННИТЕ ЧЛЕНОВЕ НА СЪВЕТА ЗА СИГУРНОСТ НА ООН</w:t>
      </w:r>
    </w:p>
    <w:p>
      <w:pPr>
        <w:pStyle w:val="Normal"/>
        <w:jc w:val="center"/>
        <w:rPr>
          <w:szCs w:val="28"/>
        </w:rPr>
      </w:pPr>
      <w:r>
        <w:rPr>
          <w:szCs w:val="28"/>
        </w:rPr>
      </w:r>
    </w:p>
    <w:p>
      <w:pPr>
        <w:pStyle w:val="Normal"/>
        <w:jc w:val="center"/>
        <w:rPr>
          <w:b/>
          <w:bCs/>
          <w:sz w:val="32"/>
          <w:szCs w:val="32"/>
        </w:rPr>
      </w:pPr>
      <w:r>
        <w:rPr>
          <w:b/>
          <w:bCs/>
          <w:sz w:val="32"/>
          <w:szCs w:val="32"/>
        </w:rPr>
        <w:t>Станислав Станев</w:t>
      </w:r>
    </w:p>
    <w:p>
      <w:pPr>
        <w:pStyle w:val="Normal"/>
        <w:jc w:val="center"/>
        <w:rPr>
          <w:szCs w:val="28"/>
        </w:rPr>
      </w:pPr>
      <w:r>
        <w:rPr>
          <w:szCs w:val="28"/>
        </w:rPr>
      </w:r>
    </w:p>
    <w:p>
      <w:pPr>
        <w:pStyle w:val="Normal"/>
        <w:jc w:val="center"/>
        <w:rPr>
          <w:szCs w:val="28"/>
        </w:rPr>
      </w:pPr>
      <w:r>
        <w:rPr>
          <w:szCs w:val="28"/>
        </w:rPr>
      </w:r>
    </w:p>
    <w:p>
      <w:pPr>
        <w:pStyle w:val="Normal"/>
        <w:jc w:val="center"/>
        <w:rPr>
          <w:b/>
          <w:bCs/>
          <w:sz w:val="32"/>
          <w:szCs w:val="32"/>
          <w:lang w:val="en-US"/>
        </w:rPr>
      </w:pPr>
      <w:r>
        <w:rPr>
          <w:b/>
          <w:bCs/>
          <w:sz w:val="32"/>
          <w:szCs w:val="32"/>
          <w:lang w:val="en-US"/>
        </w:rPr>
        <w:t>DE FACTO IMMUNITY OF THE PERMANENT MEMBERS OF THE UNITED NATIONS SECURITY COUNCIL</w:t>
      </w:r>
    </w:p>
    <w:p>
      <w:pPr>
        <w:pStyle w:val="Normal"/>
        <w:jc w:val="center"/>
        <w:rPr>
          <w:szCs w:val="28"/>
          <w:lang w:val="en-US"/>
        </w:rPr>
      </w:pPr>
      <w:r>
        <w:rPr>
          <w:szCs w:val="28"/>
          <w:lang w:val="en-US"/>
        </w:rPr>
      </w:r>
    </w:p>
    <w:p>
      <w:pPr>
        <w:pStyle w:val="Normal"/>
        <w:jc w:val="center"/>
        <w:rPr>
          <w:lang w:val="en-GB"/>
        </w:rPr>
      </w:pPr>
      <w:r>
        <w:rPr>
          <w:b/>
          <w:bCs/>
          <w:sz w:val="32"/>
          <w:szCs w:val="32"/>
          <w:lang w:val="en-GB"/>
        </w:rPr>
        <w:t>Stanislav Stanev</w:t>
      </w:r>
    </w:p>
    <w:p>
      <w:pPr>
        <w:pStyle w:val="Normal"/>
        <w:jc w:val="center"/>
        <w:rPr>
          <w:szCs w:val="28"/>
          <w:lang w:val="en-US"/>
        </w:rPr>
      </w:pPr>
      <w:r>
        <w:rPr>
          <w:szCs w:val="28"/>
          <w:lang w:val="en-US"/>
        </w:rPr>
      </w:r>
    </w:p>
    <w:p>
      <w:pPr>
        <w:pStyle w:val="Normal"/>
        <w:jc w:val="center"/>
        <w:rPr>
          <w:szCs w:val="28"/>
          <w:lang w:val="en-US"/>
        </w:rPr>
      </w:pPr>
      <w:r>
        <w:rPr>
          <w:szCs w:val="28"/>
          <w:lang w:val="en-US"/>
        </w:rPr>
      </w:r>
    </w:p>
    <w:p>
      <w:pPr>
        <w:pStyle w:val="Normal"/>
        <w:ind w:firstLine="567"/>
        <w:jc w:val="both"/>
        <w:rPr>
          <w:i/>
          <w:iCs/>
          <w:sz w:val="24"/>
        </w:rPr>
      </w:pPr>
      <w:r>
        <w:rPr>
          <w:b/>
          <w:bCs/>
          <w:i/>
          <w:iCs/>
          <w:sz w:val="24"/>
        </w:rPr>
        <w:t>Резюме:</w:t>
      </w:r>
      <w:r>
        <w:rPr>
          <w:i/>
          <w:iCs/>
          <w:sz w:val="24"/>
        </w:rPr>
        <w:t xml:space="preserve"> Настоящият доклад изследва наличието на де факто имунитет на постоянните членове на Съвета за сигурност на ООН, произтичащ от правото им на вето и привилегированото им институционално положение. Анализира се противоречието между принципа на суверенното равенство на държавите и фактическите ограничения пред реализирането на международноправна отговорност спрямо постоянните членове.</w:t>
      </w:r>
    </w:p>
    <w:p>
      <w:pPr>
        <w:pStyle w:val="Normal"/>
        <w:ind w:firstLine="567"/>
        <w:jc w:val="both"/>
        <w:rPr>
          <w:szCs w:val="28"/>
        </w:rPr>
      </w:pPr>
      <w:r>
        <w:rPr>
          <w:szCs w:val="28"/>
        </w:rPr>
      </w:r>
    </w:p>
    <w:p>
      <w:pPr>
        <w:pStyle w:val="Normal"/>
        <w:ind w:firstLine="567"/>
        <w:jc w:val="both"/>
        <w:rPr>
          <w:i/>
          <w:iCs/>
          <w:sz w:val="24"/>
        </w:rPr>
      </w:pPr>
      <w:r>
        <w:rPr>
          <w:b/>
          <w:bCs/>
          <w:i/>
          <w:iCs/>
          <w:sz w:val="24"/>
        </w:rPr>
        <w:t>Ключови думи:</w:t>
      </w:r>
      <w:r>
        <w:rPr>
          <w:i/>
          <w:iCs/>
          <w:sz w:val="24"/>
        </w:rPr>
        <w:t xml:space="preserve"> Съвет за сигурност на ООН, постоянни членове, право на вето, де факто имунитет, суверенно равенство, международноправна отговорност, международно публично право.</w:t>
      </w:r>
    </w:p>
    <w:p>
      <w:pPr>
        <w:pStyle w:val="Normal"/>
        <w:ind w:firstLine="567"/>
        <w:jc w:val="both"/>
        <w:rPr>
          <w:szCs w:val="28"/>
        </w:rPr>
      </w:pPr>
      <w:r>
        <w:rPr>
          <w:szCs w:val="28"/>
        </w:rPr>
      </w:r>
    </w:p>
    <w:p>
      <w:pPr>
        <w:pStyle w:val="Normal"/>
        <w:ind w:firstLine="567"/>
        <w:jc w:val="both"/>
        <w:rPr>
          <w:i/>
          <w:iCs/>
          <w:sz w:val="24"/>
          <w:lang w:val="en-US"/>
        </w:rPr>
      </w:pPr>
      <w:r>
        <w:rPr>
          <w:b/>
          <w:bCs/>
          <w:i/>
          <w:iCs/>
          <w:sz w:val="24"/>
          <w:lang w:val="en-US"/>
        </w:rPr>
        <w:t>Abstract:</w:t>
      </w:r>
      <w:r>
        <w:rPr>
          <w:i/>
          <w:iCs/>
          <w:sz w:val="24"/>
          <w:lang w:val="en-US"/>
        </w:rPr>
        <w:t xml:space="preserve"> This paper examines the existence of de facto immunity of the permanent members of the UN Security Council, arising from their veto power and privileged institutional position. It analyses the tension between the principle of sovereign equality of states and the practical limitations on holding permanent members accountable under international law.</w:t>
      </w:r>
    </w:p>
    <w:p>
      <w:pPr>
        <w:pStyle w:val="Normal"/>
        <w:ind w:firstLine="567"/>
        <w:jc w:val="both"/>
        <w:rPr>
          <w:szCs w:val="28"/>
          <w:lang w:val="en-US"/>
        </w:rPr>
      </w:pPr>
      <w:r>
        <w:rPr>
          <w:szCs w:val="28"/>
          <w:lang w:val="en-US"/>
        </w:rPr>
      </w:r>
    </w:p>
    <w:p>
      <w:pPr>
        <w:pStyle w:val="Normal"/>
        <w:ind w:firstLine="567"/>
        <w:jc w:val="both"/>
        <w:rPr>
          <w:i/>
          <w:iCs/>
          <w:sz w:val="24"/>
          <w:lang w:val="ru-RU"/>
        </w:rPr>
      </w:pPr>
      <w:r>
        <w:rPr>
          <w:b/>
          <w:bCs/>
          <w:i/>
          <w:iCs/>
          <w:sz w:val="24"/>
          <w:lang w:val="en-US"/>
        </w:rPr>
        <w:t>Keywords</w:t>
      </w:r>
      <w:r>
        <w:rPr>
          <w:b/>
          <w:bCs/>
          <w:i/>
          <w:iCs/>
          <w:sz w:val="24"/>
          <w:lang w:val="ru-RU"/>
        </w:rPr>
        <w:t>:</w:t>
      </w:r>
      <w:r>
        <w:rPr>
          <w:i/>
          <w:iCs/>
          <w:sz w:val="24"/>
          <w:lang w:val="ru-RU"/>
        </w:rPr>
        <w:t xml:space="preserve"> UN Security Council, permanent members, veto power, de facto immunity, sovereign equality, international legal responsibility, public international law.</w:t>
      </w:r>
    </w:p>
    <w:p>
      <w:pPr>
        <w:pStyle w:val="Normal"/>
        <w:ind w:firstLine="567"/>
        <w:rPr>
          <w:szCs w:val="28"/>
          <w:lang w:val="ru-RU"/>
        </w:rPr>
      </w:pPr>
      <w:r>
        <w:rPr>
          <w:szCs w:val="28"/>
          <w:lang w:val="ru-RU"/>
        </w:rPr>
      </w:r>
    </w:p>
    <w:p>
      <w:pPr>
        <w:pStyle w:val="Heading1"/>
        <w:ind w:firstLine="567"/>
        <w:jc w:val="both"/>
        <w:rPr>
          <w:sz w:val="28"/>
          <w:szCs w:val="28"/>
          <w:lang w:val="ru-RU" w:eastAsia="bg-BG"/>
        </w:rPr>
      </w:pPr>
      <w:r>
        <w:rPr>
          <w:sz w:val="28"/>
          <w:szCs w:val="28"/>
          <w:lang w:val="ru-RU" w:eastAsia="bg-BG"/>
        </w:rPr>
        <w:t>Увод</w:t>
      </w:r>
    </w:p>
    <w:p>
      <w:pPr>
        <w:pStyle w:val="BodyText"/>
        <w:spacing w:lineRule="auto" w:line="240"/>
        <w:jc w:val="both"/>
        <w:rPr>
          <w:szCs w:val="28"/>
        </w:rPr>
      </w:pPr>
      <w:r>
        <w:rPr>
          <w:szCs w:val="28"/>
        </w:rPr>
        <w:tab/>
        <w:t>Създаването на Организацията на обединените нации поставя поддържането на международния мир и сигурност в рамките на институционална система, основана едновременно на принципа на суверенното равенство на държавите и на особеното положение на петте постоянни членове на Съвета за сигурност. Съгласно чл. 24 от Устава на ООН именно на Съвета за сигурност е възложена главната отговорност за поддържането на международния мир и сигурност, а чл. 27 предоставя на постоянните му членове решаващо участие при приемането на решения по въпроси, които нямат процедурен характер. На практика отрицателният вот на един от тях е достатъчен, за да възпрепятства приемането на такова решение.</w:t>
      </w:r>
      <w:r>
        <w:rPr/>
        <w:t xml:space="preserve">[1] </w:t>
      </w:r>
    </w:p>
    <w:p>
      <w:pPr>
        <w:pStyle w:val="BodyText"/>
        <w:spacing w:lineRule="auto" w:line="240"/>
        <w:jc w:val="both"/>
        <w:rPr>
          <w:szCs w:val="28"/>
        </w:rPr>
      </w:pPr>
      <w:r>
        <w:rPr>
          <w:szCs w:val="28"/>
        </w:rPr>
        <w:tab/>
        <w:t>Тази особеност на системата поражда въпрос, който надхвърля политическото значение на правото на вето. Когато постоянен член е непосредствено засегнат от разглеждан въпрос, възможността му да блокира действия на Съвета може да ограничи прилагането на механизми, които при сходни обстоятелства биха били приложими спрямо друга държава. Така възниква напрежение между прокламираното в чл. 2, пар. 1 от Устава суверенно равенство на членовете на ООН и институционално установеното привилегировано положение на петте постоянни членове [2].</w:t>
      </w:r>
    </w:p>
    <w:p>
      <w:pPr>
        <w:pStyle w:val="BodyText"/>
        <w:spacing w:lineRule="auto" w:line="240"/>
        <w:jc w:val="both"/>
        <w:rPr>
          <w:szCs w:val="28"/>
        </w:rPr>
      </w:pPr>
      <w:r>
        <w:rPr>
          <w:szCs w:val="28"/>
        </w:rPr>
        <w:tab/>
        <w:t>В този контекст настоящият доклад изследва доколко положението на постоянните членове на Съвета за сигурност може да бъде определено като форма на **де факто имунитет**. Понятието се използва не като самостоятелно установен институт на международното право, а като аналитична категория, чрез която да се оцени фактическата защитеност, произтичаща от правото на вето и мястото на постоянните членове в системата за колективна сигурност. Целта е да се установи дали тази защитеност остава в границите на предвидена от Устава институционална привилегия, или при определени обстоятелства води до практически ограничения пред реализирането на международноправна отговорност.</w:t>
      </w:r>
    </w:p>
    <w:p>
      <w:pPr>
        <w:pStyle w:val="BodyText"/>
        <w:spacing w:lineRule="auto" w:line="240"/>
        <w:jc w:val="both"/>
        <w:rPr>
          <w:szCs w:val="28"/>
        </w:rPr>
      </w:pPr>
      <w:r>
        <w:rPr>
          <w:szCs w:val="28"/>
        </w:rPr>
      </w:r>
    </w:p>
    <w:p>
      <w:pPr>
        <w:pStyle w:val="Heading2"/>
        <w:spacing w:lineRule="auto" w:line="240"/>
        <w:jc w:val="both"/>
        <w:rPr>
          <w:rFonts w:cs="Times New Roman"/>
          <w:sz w:val="28"/>
          <w:szCs w:val="28"/>
        </w:rPr>
      </w:pPr>
      <w:r>
        <w:rPr>
          <w:rFonts w:cs="Times New Roman"/>
          <w:sz w:val="28"/>
          <w:szCs w:val="28"/>
        </w:rPr>
        <w:tab/>
        <w:t>1. Правен статут на постоянните членове на Съвета за сигурност и правото на вето</w:t>
      </w:r>
    </w:p>
    <w:p>
      <w:pPr>
        <w:pStyle w:val="BodyText"/>
        <w:spacing w:lineRule="auto" w:line="240"/>
        <w:jc w:val="both"/>
        <w:rPr>
          <w:szCs w:val="28"/>
        </w:rPr>
      </w:pPr>
      <w:r>
        <w:rPr>
          <w:szCs w:val="28"/>
        </w:rPr>
        <w:tab/>
        <w:t>Правното положение на постоянните членове на Съвета за сигурност представлява изключение от общата идея за равнопоставеност на държавите в рамките на ООН. От една страна, чл. 2, пар. 1 от Устава постановява, че Организацията се основава на принципа на суверенното равенство на всички нейни членове. От друга, самият Устав установява различен институционален статут за пет държави – Китай, Франция, Руската федерация, Обединеното кралство и Съединените американски щати – които разполагат с постоянно представителство в Съвета за сигурност и с особено положение при вземането на решения.</w:t>
      </w:r>
    </w:p>
    <w:p>
      <w:pPr>
        <w:pStyle w:val="BodyText"/>
        <w:spacing w:lineRule="auto" w:line="240"/>
        <w:jc w:val="both"/>
        <w:rPr>
          <w:szCs w:val="28"/>
        </w:rPr>
      </w:pPr>
      <w:r>
        <w:rPr>
          <w:szCs w:val="28"/>
        </w:rPr>
        <w:tab/>
        <w:t>Това разграничение е особено значимо предвид функциите на Съвета. Съгласно чл. 24 от Устава държавите членки му възлагат главната отговорност за поддържането на международния мир и сигурност, като при изпълнението на тази функция той действа от тяхно име. Наред с това членовете на ООН се задължават по силата на чл. 25 да приемат и изпълняват решенията на Съвета в съответствие с Устава. Следователно привилегированото положение на постоянните членове не се проявява в периферен орган на Организацията, а именно в органа, натоварен с основната отговорност за международния мир и сигурност [3].</w:t>
      </w:r>
    </w:p>
    <w:p>
      <w:pPr>
        <w:pStyle w:val="BodyText"/>
        <w:spacing w:lineRule="auto" w:line="240"/>
        <w:jc w:val="both"/>
        <w:rPr>
          <w:szCs w:val="28"/>
        </w:rPr>
      </w:pPr>
      <w:r>
        <w:rPr>
          <w:szCs w:val="28"/>
        </w:rPr>
        <w:tab/>
        <w:t>Най-същественото проявление на този статут се съдържа в чл. 27. Всеки член на Съвета разполага с един глас, но решенията по въпроси, които нямат процедурен характер, изискват девет гласа „за“, включително съвпадащите гласове на постоянните членове. Установената практика приема отрицателния вот на постоянен член като вето, което препятства приемането на съответното решение. Въздържането от гласуване, обратно, не се третира като вето и не препятства приемането на решение, ако е налице необходимото мнозинство[4].</w:t>
      </w:r>
    </w:p>
    <w:p>
      <w:pPr>
        <w:pStyle w:val="BodyText"/>
        <w:spacing w:lineRule="auto" w:line="240"/>
        <w:jc w:val="both"/>
        <w:rPr>
          <w:szCs w:val="28"/>
        </w:rPr>
      </w:pPr>
      <w:r>
        <w:rPr>
          <w:szCs w:val="28"/>
        </w:rPr>
        <w:tab/>
        <w:t>Правото на вето следва да бъде разграничено от имунитета в неговия юридически смисъл. Уставът не освобождава постоянните членове от задълженията, произтичащи от международното право, нито установява обща забрана за ангажиране на тяхната международноправна отговорност. Привилегията е институционална и се отнася до процеса на вземане на решения в Съвета за сигурност. Нейното практическо значение обаче нараства, когато Съветът трябва да предприеме действия във връзка с поведение на самия постоянен член. Тогава държавата може да участва в механизма, чрез който се решава дали и как Организацията да реагира на нейното собствено поведение.</w:t>
      </w:r>
    </w:p>
    <w:p>
      <w:pPr>
        <w:pStyle w:val="BodyText"/>
        <w:spacing w:lineRule="auto" w:line="240"/>
        <w:jc w:val="both"/>
        <w:rPr>
          <w:szCs w:val="28"/>
        </w:rPr>
      </w:pPr>
      <w:r>
        <w:rPr>
          <w:szCs w:val="28"/>
        </w:rPr>
        <w:tab/>
        <w:t>Особен интерес в това отношение представлява последната част на чл. 27, пар. 3. При решения по глава VI от Устава и по чл. 52, пар. 3 държава, която е страна по спор, следва да се въздържа от гласуване.[5] Самото наличие на тази разпоредба показва, че създателите на Устава са отчели проблема, който възниква при участие на заинтересована държава във вземането на решение по спор, в който тя самата участва. Същевременно правилото е ограничено до посочените хипотези и не представлява обща забрана постоянен член да гласува по въпрос, който засяга негови интереси.</w:t>
      </w:r>
    </w:p>
    <w:p>
      <w:pPr>
        <w:pStyle w:val="BodyText"/>
        <w:spacing w:lineRule="auto" w:line="240"/>
        <w:jc w:val="both"/>
        <w:rPr>
          <w:szCs w:val="28"/>
        </w:rPr>
      </w:pPr>
      <w:r>
        <w:rPr>
          <w:szCs w:val="28"/>
        </w:rPr>
        <w:tab/>
        <w:t>Следователно още на нормативно равнище се открива съществено разграничение между формалното равенство на държавите като членове на ООН и неравенството в техните възможности да влияят върху упражняването на правомощията на Съвета за сигурност. Това не означава само по себе си наличие на имунитет. То обаче създава правната предпоставка, върху която при определени обстоятелства може да възникне фактическа защитеност на постоянния член. Именно преминаването от институционална привилегия към възможен де факто имунитет изисква отделен анализ.</w:t>
      </w:r>
    </w:p>
    <w:p>
      <w:pPr>
        <w:pStyle w:val="BodyText"/>
        <w:spacing w:lineRule="auto" w:line="240"/>
        <w:jc w:val="both"/>
        <w:rPr>
          <w:szCs w:val="28"/>
        </w:rPr>
      </w:pPr>
      <w:r>
        <w:rPr>
          <w:szCs w:val="28"/>
        </w:rPr>
      </w:r>
    </w:p>
    <w:p>
      <w:pPr>
        <w:pStyle w:val="Heading2"/>
        <w:spacing w:lineRule="auto" w:line="240"/>
        <w:jc w:val="both"/>
        <w:rPr>
          <w:rFonts w:cs="Times New Roman"/>
          <w:sz w:val="28"/>
          <w:szCs w:val="28"/>
        </w:rPr>
      </w:pPr>
      <w:r>
        <w:rPr>
          <w:rFonts w:cs="Times New Roman"/>
          <w:sz w:val="28"/>
          <w:szCs w:val="28"/>
        </w:rPr>
        <w:tab/>
        <w:t>2. От институционална привилегия към де факто имунитет</w:t>
      </w:r>
    </w:p>
    <w:p>
      <w:pPr>
        <w:pStyle w:val="BodyText"/>
        <w:spacing w:lineRule="auto" w:line="240"/>
        <w:jc w:val="both"/>
        <w:rPr>
          <w:szCs w:val="28"/>
        </w:rPr>
      </w:pPr>
      <w:r>
        <w:rPr>
          <w:szCs w:val="28"/>
        </w:rPr>
        <w:tab/>
        <w:t>Понятието „де факто имунитет“ не следва да се отъждествява с имунитета като самостоятелен институт на международното право. Постоянните членове на Съвета за сигурност остават обвързани от международноправните си задължения и правото на вето само по себе си не ги освобождава от отговорност при тяхното нарушение. Проблемът възниква на друго равнище – при възможността международната общност да използва институционалните механизми на ООН за реакция срещу поведение на държава, която едновременно с това разполага със способността да блокира съответното решение.</w:t>
      </w:r>
    </w:p>
    <w:p>
      <w:pPr>
        <w:pStyle w:val="BodyText"/>
        <w:spacing w:lineRule="auto" w:line="240"/>
        <w:jc w:val="both"/>
        <w:rPr>
          <w:szCs w:val="28"/>
        </w:rPr>
      </w:pPr>
      <w:r>
        <w:rPr>
          <w:szCs w:val="28"/>
        </w:rPr>
        <w:tab/>
        <w:t xml:space="preserve">В този смисъл де факто имунитетът може да бъде разглеждан като </w:t>
      </w:r>
      <w:r>
        <w:rPr>
          <w:rStyle w:val="Strong"/>
          <w:b w:val="false"/>
          <w:bCs w:val="false"/>
          <w:szCs w:val="28"/>
        </w:rPr>
        <w:t>фактическа защитеност, произтичаща не от освобождаване от действието на правната норма, а от ограничаването на възможностите за нейното институционално прилагане</w:t>
      </w:r>
      <w:r>
        <w:rPr>
          <w:b w:val="false"/>
          <w:bCs w:val="false"/>
          <w:szCs w:val="28"/>
        </w:rPr>
        <w:t>.</w:t>
      </w:r>
      <w:r>
        <w:rPr>
          <w:szCs w:val="28"/>
        </w:rPr>
        <w:t xml:space="preserve"> Разликата е съществена. При юридическия имунитет правото изрично препятства упражняването на определена юрисдикция или предприемането на определени действия. При разглежданата хипотеза материалноправното задължение продължава да съществува, но един от основните механизми за колективна реакция може да се окаже блокиран.</w:t>
      </w:r>
    </w:p>
    <w:p>
      <w:pPr>
        <w:pStyle w:val="BodyText"/>
        <w:spacing w:lineRule="auto" w:line="240"/>
        <w:jc w:val="both"/>
        <w:rPr>
          <w:szCs w:val="28"/>
        </w:rPr>
      </w:pPr>
      <w:r>
        <w:rPr>
          <w:szCs w:val="28"/>
        </w:rPr>
        <w:tab/>
        <w:t>Тази особеност придобива най-ясно изражение, когато постоянен член на Съвета е страна в конфликт или когато се обсъждат действия, засягащи пряко неговата международноправна отговорност. Отрицателният му вот може да възпрепятства приемането на резолюция независимо от подкрепата на останалите членове. В международноправната литература именно възможността ветото да бъде използвано за защита на самия постоянен член или на негов съюзник се посочва като един от проблемите, засягащи легитимността и ефективността на Съвета за сигурност.[6]</w:t>
      </w:r>
    </w:p>
    <w:p>
      <w:pPr>
        <w:pStyle w:val="BodyText"/>
        <w:spacing w:lineRule="auto" w:line="240"/>
        <w:jc w:val="both"/>
        <w:rPr>
          <w:szCs w:val="28"/>
        </w:rPr>
      </w:pPr>
      <w:r>
        <w:rPr>
          <w:szCs w:val="28"/>
        </w:rPr>
        <w:tab/>
        <w:t>Това обаче не означава, че правото на вето следва да се приема като абсолютно и юридически неограничено. Съществуват аргументи, че неговото упражняване трябва да бъде съобразено с други международноправни задължения на държавата, включително принципа на добросъвестност и императивните норми на международното право. Особено показателен е спорът относно приложението на чл. 27, пар. 3 от Устава, който предвижда задължение за въздържане от гласуване на държава – страна по спор, при решения по глава VI и чл. 52, пар. 3. В съвременната доктрина се застъпва позицията, че тази разпоредба запазва правното си значение и спрямо постоянните членове, макар практическото ѝ приложение да е ограничено.</w:t>
      </w:r>
    </w:p>
    <w:p>
      <w:pPr>
        <w:pStyle w:val="BodyText"/>
        <w:spacing w:lineRule="auto" w:line="240"/>
        <w:jc w:val="both"/>
        <w:rPr>
          <w:szCs w:val="28"/>
        </w:rPr>
      </w:pPr>
      <w:r>
        <w:rPr>
          <w:szCs w:val="28"/>
        </w:rPr>
        <w:tab/>
        <w:t>Следователно „де факто имунитетът“ не е абсолютна безнаказаност, нито правно признато освобождаване от отговорност. По-скоро той описва структурно предимство, при което постоянният член може да затрудни или блокира институционална реакция на Съвета за сигурност спрямо собственото си поведение. Дали това предимство действително поражда фактическа защитеност може най-ясно да се установи чрез практиката на Съвета за сигурност.</w:t>
      </w:r>
    </w:p>
    <w:p>
      <w:pPr>
        <w:pStyle w:val="BodyText"/>
        <w:spacing w:lineRule="auto" w:line="240"/>
        <w:jc w:val="both"/>
        <w:rPr>
          <w:szCs w:val="28"/>
        </w:rPr>
      </w:pPr>
      <w:r>
        <w:rPr>
          <w:szCs w:val="28"/>
        </w:rPr>
      </w:r>
    </w:p>
    <w:p>
      <w:pPr>
        <w:pStyle w:val="Heading2"/>
        <w:spacing w:lineRule="auto" w:line="240"/>
        <w:jc w:val="both"/>
        <w:rPr>
          <w:rFonts w:cs="Times New Roman"/>
          <w:sz w:val="28"/>
          <w:szCs w:val="28"/>
        </w:rPr>
      </w:pPr>
      <w:r>
        <w:rPr>
          <w:rFonts w:cs="Times New Roman"/>
          <w:sz w:val="28"/>
          <w:szCs w:val="28"/>
        </w:rPr>
        <w:tab/>
        <w:t>3. Практически проявления на де факто имунитета</w:t>
      </w:r>
    </w:p>
    <w:p>
      <w:pPr>
        <w:pStyle w:val="BodyText"/>
        <w:spacing w:lineRule="auto" w:line="240"/>
        <w:jc w:val="both"/>
        <w:rPr>
          <w:szCs w:val="28"/>
        </w:rPr>
      </w:pPr>
      <w:r>
        <w:rPr>
          <w:szCs w:val="28"/>
        </w:rPr>
        <w:tab/>
        <w:t>Възможността институционалната привилегия да придобие характеристиките на де факто имунитет се проявява най-отчетливо, когато постоянен член на Съвета за сигурност използва правото на вето по въпрос, свързан непосредствено със собствените му действия. Показателен в това отношение е конфликтът в Украйна. На 25 февруари 2022 г. Руската федерация гласува против проекторезолюция S/2022/155, с което възпрепятства нейното приемане, въпреки че единадесет от членовете на Съвета гласуват „за“, а три се въздържат.[7] Проектът предвижда осъждане на действията на Русия и настоява тя незабавно да прекрати употребата на сила срещу Украйна и да изтегли своите въоръжени сили.</w:t>
      </w:r>
    </w:p>
    <w:p>
      <w:pPr>
        <w:pStyle w:val="BodyText"/>
        <w:spacing w:lineRule="auto" w:line="240"/>
        <w:jc w:val="both"/>
        <w:rPr>
          <w:szCs w:val="28"/>
        </w:rPr>
      </w:pPr>
      <w:r>
        <w:rPr>
          <w:szCs w:val="28"/>
        </w:rPr>
        <w:tab/>
        <w:t>Този случай ясно разкрива особеността на разглеждания механизъм. Държава, чието собствено поведение е предмет на проекторезолюцията, е в състояние чрез предоставеното ѝ от Устава привилегировано положение да предотврати приемането ѝ. Ветото не премахва приложимите международноправни норми и не заличава евентуалното им нарушение. То обаче възпрепятства конкретна форма на институционална реакция на органа, който носи главната отговорност за международния мир и сигурност. Именно тук разграничението между юридически и де факто имунитет придобива практическо значение.</w:t>
      </w:r>
    </w:p>
    <w:p>
      <w:pPr>
        <w:pStyle w:val="BodyText"/>
        <w:spacing w:lineRule="auto" w:line="240"/>
        <w:jc w:val="both"/>
        <w:rPr>
          <w:szCs w:val="28"/>
        </w:rPr>
      </w:pPr>
      <w:r>
        <w:rPr>
          <w:szCs w:val="28"/>
        </w:rPr>
        <w:tab/>
        <w:t>Блокирането на Съвета не означава и пълна невъзможност за реакция в рамките на ООН. На 27 февруари 2022 г. Съветът приема резолюция 2623 (2022), с която свиква извънредна специална сесия на Общото събрание.[8] Това е възможно, тъй като решението е процедурно и следователно не може да бъде блокирано чрез вето. Последвалите действия на Общото събрание показват, че привилегията на постоянния член не води до институционална недосегаемост във всички органи на ООН. Същевременно Общото събрание не разполага с правомощията, предоставени на Съвета за сигурност по глава VII от Устава, поради което тази алтернатива не премахва последиците от блокирането на Съвета.</w:t>
      </w:r>
    </w:p>
    <w:p>
      <w:pPr>
        <w:pStyle w:val="BodyText"/>
        <w:spacing w:lineRule="auto" w:line="240"/>
        <w:jc w:val="both"/>
        <w:rPr>
          <w:szCs w:val="28"/>
        </w:rPr>
      </w:pPr>
      <w:r>
        <w:rPr>
          <w:szCs w:val="28"/>
        </w:rPr>
        <w:tab/>
        <w:t>Различно проявление на същия структурен проблем може да бъде открито в сирийския конфликт. На 22 май 2014 г. проекторезолюция, предвиждаща отнасяне на ситуацията в Сирия до Международния наказателен съд, получава подкрепата на тринадесет членове на Съвета, но не е приета поради отрицателните гласове на Китай и Руската федерация.[9]. За разлика от случая с Украйна, тук постоянните членове не използват ветото във връзка със собствена международноправна отговорност. Последицата обаче отново е ограничаване на конкретен институционален път за търсене на отговорност.</w:t>
      </w:r>
    </w:p>
    <w:p>
      <w:pPr>
        <w:pStyle w:val="BodyText"/>
        <w:spacing w:lineRule="auto" w:line="240"/>
        <w:jc w:val="both"/>
        <w:rPr>
          <w:szCs w:val="28"/>
        </w:rPr>
      </w:pPr>
      <w:r>
        <w:rPr>
          <w:szCs w:val="28"/>
        </w:rPr>
        <w:tab/>
        <w:t xml:space="preserve">Двата примера очертават и необходимата граница на понятието „де факто имунитет“. Не всяко използване на вето може да бъде квалифицирано по този начин. Особено силно основание за подобна квалификация е налице, когато постоянният член чрез своето привилегировано положение непосредствено блокира реакция спрямо собственото си поведение. Когато ветото защитава трета държава, по-точно е да се говори за </w:t>
      </w:r>
      <w:r>
        <w:rPr>
          <w:rStyle w:val="Strong"/>
          <w:szCs w:val="28"/>
        </w:rPr>
        <w:t>ефект на фактическа защитеност</w:t>
      </w:r>
      <w:r>
        <w:rPr>
          <w:szCs w:val="28"/>
        </w:rPr>
        <w:t>, произтичащ от структурата на Съвета. Това разграничение позволява понятието да бъде използвано аналитично, без неоправдано разширяване на неговото съдържание.</w:t>
      </w:r>
    </w:p>
    <w:p>
      <w:pPr>
        <w:pStyle w:val="BodyText"/>
        <w:spacing w:lineRule="auto" w:line="240"/>
        <w:jc w:val="both"/>
        <w:rPr>
          <w:szCs w:val="28"/>
        </w:rPr>
      </w:pPr>
      <w:r>
        <w:rPr>
          <w:szCs w:val="28"/>
        </w:rPr>
      </w:r>
    </w:p>
    <w:p>
      <w:pPr>
        <w:pStyle w:val="Heading2"/>
        <w:spacing w:lineRule="auto" w:line="240"/>
        <w:jc w:val="both"/>
        <w:rPr>
          <w:rFonts w:cs="Times New Roman"/>
          <w:sz w:val="28"/>
          <w:szCs w:val="28"/>
        </w:rPr>
      </w:pPr>
      <w:r>
        <w:rPr>
          <w:rFonts w:cs="Times New Roman"/>
          <w:sz w:val="28"/>
          <w:szCs w:val="28"/>
        </w:rPr>
        <w:tab/>
        <w:t>4. Граници на де факто имунитета и механизми за ограничаването му</w:t>
      </w:r>
    </w:p>
    <w:p>
      <w:pPr>
        <w:pStyle w:val="BodyText"/>
        <w:spacing w:lineRule="auto" w:line="240"/>
        <w:jc w:val="both"/>
        <w:rPr>
          <w:szCs w:val="28"/>
        </w:rPr>
      </w:pPr>
      <w:r>
        <w:rPr>
          <w:szCs w:val="28"/>
        </w:rPr>
        <w:tab/>
        <w:t>Възможността на постоянен член да блокира решение на Съвета за сигурност не означава пълна международноправна недосегаемост. Правото на вето е ограничено до процеса на вземане на определени решения в рамките на Съвета и не освобождава държавата от задълженията ѝ по международното право. Следователно де факто имунитетът има преди всичко институционално измерение – той затруднява използването на механизмите, зависещи от решение на Съвета, но не премахва останалите възможности за международна реакция.</w:t>
      </w:r>
    </w:p>
    <w:p>
      <w:pPr>
        <w:pStyle w:val="BodyText"/>
        <w:spacing w:lineRule="auto" w:line="240"/>
        <w:jc w:val="both"/>
        <w:rPr>
          <w:szCs w:val="28"/>
        </w:rPr>
      </w:pPr>
      <w:r>
        <w:rPr>
          <w:szCs w:val="28"/>
        </w:rPr>
        <w:tab/>
        <w:t>Една от тях е свързана с Общото събрание на ООН. Макар то да не може да замести правомощията на Съвета по глава VII от Устава, неговите резолюции позволяват да бъде изразена позицията на по-широк кръг държави и да се преодолее политическата изолация на даден въпрос вследствие на вето. Особено значение в това отношение има приетата през 2022 г. Резолюция 76/262 на Общото събрание. Тя установява постоянен мандат за свикване на заседание на Общото събрание в срок от десет работни дни след упражняване на вето в Съвета за сигурност. По този начин ветото не се отменя, но използването му се поставя под по-голяма публичност и политическа отчетност.[10].</w:t>
      </w:r>
    </w:p>
    <w:p>
      <w:pPr>
        <w:pStyle w:val="BodyText"/>
        <w:spacing w:lineRule="auto" w:line="240"/>
        <w:jc w:val="both"/>
        <w:rPr>
          <w:szCs w:val="28"/>
        </w:rPr>
      </w:pPr>
      <w:r>
        <w:rPr>
          <w:szCs w:val="28"/>
        </w:rPr>
        <w:tab/>
        <w:t>Съществуват и ограничения, заложени в самия Устав. Правото на вето не се прилага спрямо процедурните решения на Съвета, за които чл. 27, пар. 2 изисква девет положителни гласа. Освен това чл. 27, пар. 3 предвижда, че при решения по глава VI и чл. 52, пар. 3 държава, която е страна по спор, следва да се въздържи от гласуване. Тези ограничения не отстраняват структурното преимущество на постоянните членове, но показват, че Уставът не им предоставя неограничена власт върху всяко решение на Съвета.</w:t>
      </w:r>
    </w:p>
    <w:p>
      <w:pPr>
        <w:pStyle w:val="BodyText"/>
        <w:spacing w:lineRule="auto" w:line="240"/>
        <w:jc w:val="both"/>
        <w:rPr>
          <w:szCs w:val="28"/>
        </w:rPr>
      </w:pPr>
      <w:r>
        <w:rPr>
          <w:szCs w:val="28"/>
        </w:rPr>
        <w:tab/>
        <w:t>Наред с формалните механизми съществуват и инициативи за доброволно ограничаване на ветото, особено при масови нарушения на международното хуманитарно право и правата на човека. Тяхното значение е предимно политическо, тъй като не изменят правомощието, предоставено с чл. 27 от Устава. Те обаче отразяват нарастващото разбиране, че упражняването на вето не може да бъде разглеждано единствено като привилегия, откъсната от отговорността, която постоянните членове носят за поддържането на международния мир и сигурност.</w:t>
      </w:r>
    </w:p>
    <w:p>
      <w:pPr>
        <w:pStyle w:val="BodyText"/>
        <w:spacing w:lineRule="auto" w:line="240"/>
        <w:jc w:val="both"/>
        <w:rPr>
          <w:szCs w:val="28"/>
        </w:rPr>
      </w:pPr>
      <w:r>
        <w:rPr>
          <w:szCs w:val="28"/>
        </w:rPr>
        <w:tab/>
        <w:t>Следователно де факто имунитетът на постоянните членове е относителен, а не абсолютен. Той не изключва международноправната отговорност и не възпрепятства всяка форма на международна реакция. Неговото значение се проявява преди всичко в способността на постоянния член да блокира най-силните институционални механизми, поставени в компетентността на Съвета за сигурност. Именно това различава разглежданото явление както от юридическия имунитет, така и от абсолютната безнаказаност.</w:t>
      </w:r>
    </w:p>
    <w:p>
      <w:pPr>
        <w:pStyle w:val="Heading2"/>
        <w:spacing w:lineRule="auto" w:line="240"/>
        <w:jc w:val="both"/>
        <w:rPr>
          <w:rFonts w:cs="Times New Roman"/>
          <w:sz w:val="28"/>
          <w:szCs w:val="28"/>
        </w:rPr>
      </w:pPr>
      <w:r>
        <w:rPr>
          <w:rFonts w:cs="Times New Roman"/>
          <w:sz w:val="28"/>
          <w:szCs w:val="28"/>
        </w:rPr>
        <w:tab/>
        <w:t>5. Де факто имунитетът като проблем на легитимността и реформата на Съвета за сигурност</w:t>
      </w:r>
    </w:p>
    <w:p>
      <w:pPr>
        <w:pStyle w:val="BodyText"/>
        <w:spacing w:lineRule="auto" w:line="240"/>
        <w:jc w:val="both"/>
        <w:rPr>
          <w:szCs w:val="28"/>
        </w:rPr>
      </w:pPr>
      <w:r>
        <w:rPr>
          <w:szCs w:val="28"/>
        </w:rPr>
        <w:tab/>
        <w:t>Привилегированото положение на постоянните членове поставя въпрос не само за ефективността, но и за легитимността на Съвета за сигурност. Правото на вето е част от първоначалния институционален компромис, върху който е изградена системата на ООН, и отразява особената отговорност, предоставена на великите сили за поддържането на международния мир и сигурност. Когато обаче същото правомощие се използва за блокиране на действия по въпрос, в който постоянният член е непосредствено заинтересован, възниква противоречие между възложената му отговорност и възможността да защити собственото си положение.</w:t>
      </w:r>
    </w:p>
    <w:p>
      <w:pPr>
        <w:pStyle w:val="BodyText"/>
        <w:spacing w:lineRule="auto" w:line="240"/>
        <w:jc w:val="both"/>
        <w:rPr>
          <w:szCs w:val="28"/>
        </w:rPr>
      </w:pPr>
      <w:r>
        <w:rPr>
          <w:szCs w:val="28"/>
        </w:rPr>
        <w:tab/>
        <w:t>Проблемът е особено видим, когато ветото препятства реакция при тежки нарушения на международното право. Именно поради това през последните години се развиват инициативи за ограничаване на употребата му в ситуации на масови престъпления. Сред тях са френско-мексиканската инициатива за доброволно въздържане от вето при масови зверства и Кодексът за поведение на групата „</w:t>
      </w:r>
      <w:r>
        <w:rPr/>
        <w:t xml:space="preserve">Отчетност, съгласуваност и прозрачност“ </w:t>
      </w:r>
      <w:r>
        <w:rPr>
          <w:szCs w:val="28"/>
        </w:rPr>
        <w:t>(</w:t>
      </w:r>
      <w:r>
        <w:rPr>
          <w:i/>
          <w:iCs/>
          <w:szCs w:val="28"/>
        </w:rPr>
        <w:t>Accountability, Coherence and Transparency - ACT)</w:t>
      </w:r>
      <w:r>
        <w:rPr>
          <w:szCs w:val="28"/>
        </w:rPr>
        <w:t>. [11]. Тези предложения не целят премахване на правото на вето, а ограничаване на употребата му в случаи, при които бездействието на Съвета би противоречало на основната му функция.</w:t>
      </w:r>
    </w:p>
    <w:p>
      <w:pPr>
        <w:pStyle w:val="BodyText"/>
        <w:spacing w:lineRule="auto" w:line="240"/>
        <w:jc w:val="both"/>
        <w:rPr>
          <w:szCs w:val="28"/>
        </w:rPr>
      </w:pPr>
      <w:r>
        <w:rPr>
          <w:szCs w:val="28"/>
        </w:rPr>
        <w:tab/>
        <w:t>Друга стъпка е Резолюция 76/262 на Общото събрание от 2022 г., която предвижда провеждане на дебат в Общото събрание в срок от десет работни дни след упражняване на вето от постоянен член. Резолюцията не засяга юридическата валидност на ветото и не позволява то да бъде отменено, но създава допълнителен механизъм за политическа отчетност.</w:t>
      </w:r>
    </w:p>
    <w:p>
      <w:pPr>
        <w:pStyle w:val="BodyText"/>
        <w:spacing w:lineRule="auto" w:line="240"/>
        <w:jc w:val="both"/>
        <w:rPr>
          <w:szCs w:val="28"/>
        </w:rPr>
      </w:pPr>
      <w:r>
        <w:rPr>
          <w:szCs w:val="28"/>
        </w:rPr>
        <w:tab/>
        <w:t>По-радикална промяна на самото право на вето среща значително правно препятствие. Изменението на разпоредбите на Устава изисква процедурата по чл. 108, при която е необходима ратификация от две трети от членовете на ООН, включително всички постоянни членове на Съвета за сигурност.[12] Така държавите, чието привилегировано положение би било засегнато от евентуална реформа, разполагат и със способността да възпрепятстват влизането ѝ в сила.</w:t>
      </w:r>
    </w:p>
    <w:p>
      <w:pPr>
        <w:pStyle w:val="BodyText"/>
        <w:spacing w:lineRule="auto" w:line="240"/>
        <w:jc w:val="both"/>
        <w:rPr>
          <w:szCs w:val="28"/>
        </w:rPr>
      </w:pPr>
      <w:r>
        <w:rPr>
          <w:szCs w:val="28"/>
        </w:rPr>
        <w:tab/>
        <w:t>Това обстоятелство разкрива по-дълбокото измерение на разглеждания проблем. Де факто имунитетът не произтича единствено от отделни случаи на упражняване на вето, а от институционална конструкция, при която постоянните членове разполагат със значителна възможност да запазят собственото си привилегировано положение. Поради това реалистичната посока за ограничаване на фактическата защитеност на постоянните членове поне в краткосрочен план изглежда не премахването на ветото, а засилването на политическата отчетност и доброволното ограничаване на неговата употреба.</w:t>
      </w:r>
    </w:p>
    <w:p>
      <w:pPr>
        <w:pStyle w:val="Heading2"/>
        <w:spacing w:lineRule="auto" w:line="240"/>
        <w:jc w:val="both"/>
        <w:rPr>
          <w:rFonts w:cs="Times New Roman"/>
          <w:sz w:val="28"/>
          <w:szCs w:val="28"/>
        </w:rPr>
      </w:pPr>
      <w:r>
        <w:rPr>
          <w:rFonts w:cs="Times New Roman"/>
          <w:sz w:val="28"/>
          <w:szCs w:val="28"/>
        </w:rPr>
        <w:tab/>
        <w:t>Заключение</w:t>
      </w:r>
    </w:p>
    <w:p>
      <w:pPr>
        <w:pStyle w:val="BodyText"/>
        <w:spacing w:lineRule="auto" w:line="240"/>
        <w:jc w:val="both"/>
        <w:rPr>
          <w:szCs w:val="28"/>
        </w:rPr>
      </w:pPr>
      <w:r>
        <w:rPr>
          <w:szCs w:val="28"/>
        </w:rPr>
        <w:tab/>
        <w:t xml:space="preserve">Проведеният анализ показва, че определянето на положението на постоянните членове на Съвета за сигурност като „де факто имунитет“ е възможно, но само при ясно разграничение от имунитета като юридически институт. Уставът на ООН не освобождава петте постоянни членове от задълженията им по международното право, нито изключва възможността за ангажиране на тяхната международноправна отговорност. Особеният им статут се проявява на друго равнище – във възможността чрез правото на вето да бъде блокирана институционална реакция на Съвета за сигурност, включително когато тя е насочена към поведението на самия постоянен </w:t>
        <w:tab/>
        <w:t>член.</w:t>
      </w:r>
    </w:p>
    <w:p>
      <w:pPr>
        <w:pStyle w:val="BodyText"/>
        <w:spacing w:lineRule="auto" w:line="240"/>
        <w:jc w:val="both"/>
        <w:rPr>
          <w:szCs w:val="28"/>
        </w:rPr>
      </w:pPr>
      <w:r>
        <w:rPr>
          <w:szCs w:val="28"/>
        </w:rPr>
        <w:t>Именно тук се проявява основното противоречие. Държавите, на които е възложена главната отговорност за поддържането на международния мир и сигурност, разполагат едновременно с механизъм, позволяващ им при определени обстоятелства да възпрепятстват действията на Съвета спрямо самите тях. Практиката показва, че това не е единствено теоретична възможност. Същевременно ветото не осигурява пълна недосегаемост – остават други международноправни и институционални механизми, макар те невинаги да разполагат със същата правна и политическа тежест.</w:t>
      </w:r>
    </w:p>
    <w:p>
      <w:pPr>
        <w:pStyle w:val="BodyText"/>
        <w:spacing w:lineRule="auto" w:line="240"/>
        <w:jc w:val="both"/>
        <w:rPr>
          <w:szCs w:val="28"/>
        </w:rPr>
      </w:pPr>
      <w:r>
        <w:rPr>
          <w:szCs w:val="28"/>
        </w:rPr>
        <w:t xml:space="preserve">Поради това де факто имунитетът следва да се разбира не като липса на международноправна отговорност, а като </w:t>
      </w:r>
      <w:r>
        <w:rPr>
          <w:rStyle w:val="Strong"/>
          <w:b w:val="false"/>
          <w:bCs w:val="false"/>
          <w:szCs w:val="28"/>
        </w:rPr>
        <w:t>ограничена възможност за нейното ефективно реализиране чрез системата за колективна сигурност</w:t>
      </w:r>
      <w:r>
        <w:rPr>
          <w:szCs w:val="28"/>
        </w:rPr>
        <w:t>. В този смисъл проблемът не е само в съществуването на правото на вето, а в употребата му в ситуации, в които постоянният член е непосредствено заинтересован.</w:t>
      </w:r>
    </w:p>
    <w:p>
      <w:pPr>
        <w:pStyle w:val="BodyText"/>
        <w:spacing w:lineRule="auto" w:line="240"/>
        <w:jc w:val="both"/>
        <w:rPr>
          <w:szCs w:val="28"/>
        </w:rPr>
      </w:pPr>
      <w:r>
        <w:rPr>
          <w:szCs w:val="28"/>
        </w:rPr>
        <w:t>Пълното премахване или същественото ограничаване на ветото остава трудно постижимо при действащия механизъм за изменение на Устава. Това обаче не обезсмисля усилията за по-голяма прозрачност, политическа отчетност и въздържане от неговото използване при най-тежките нарушения на международното право. Подобни механизми не премахват структурното неравенство в Съвета за сигурност, но могат да ограничат превръщането на една институционална привилегия във фактическа защита от последиците на собственото поведение.</w:t>
      </w:r>
    </w:p>
    <w:p>
      <w:pPr>
        <w:pStyle w:val="BodyText"/>
        <w:spacing w:lineRule="auto" w:line="240"/>
        <w:jc w:val="both"/>
        <w:rPr>
          <w:szCs w:val="28"/>
        </w:rPr>
      </w:pPr>
      <w:r>
        <w:rPr>
          <w:szCs w:val="28"/>
        </w:rPr>
      </w:r>
    </w:p>
    <w:p>
      <w:pPr>
        <w:pStyle w:val="Normal"/>
        <w:ind w:firstLine="567"/>
        <w:jc w:val="both"/>
        <w:rPr>
          <w:b/>
          <w:bCs/>
          <w:szCs w:val="28"/>
        </w:rPr>
      </w:pPr>
      <w:r>
        <w:rPr>
          <w:b/>
          <w:bCs/>
          <w:szCs w:val="28"/>
        </w:rPr>
        <w:t>БЕЛЕЖКИ:</w:t>
      </w:r>
    </w:p>
    <w:p>
      <w:pPr>
        <w:pStyle w:val="BodyText"/>
        <w:ind w:firstLine="567"/>
        <w:jc w:val="both"/>
        <w:rPr>
          <w:szCs w:val="28"/>
          <w:lang w:val="ru-RU"/>
        </w:rPr>
      </w:pPr>
      <w:r>
        <w:rPr/>
        <w:t>[1] Устав на Организацията на обединените нации, чл. 24 и чл. 27. Обн., ДВ, бр. 45 от 23.05.2023 г., в сила за България от 14.12.1955 г.</w:t>
      </w:r>
    </w:p>
    <w:p>
      <w:pPr>
        <w:pStyle w:val="BodyText"/>
        <w:spacing w:lineRule="auto" w:line="240"/>
        <w:jc w:val="both"/>
        <w:rPr/>
      </w:pPr>
      <w:r>
        <w:rPr/>
        <w:tab/>
        <w:t xml:space="preserve">[2] ВИДИН, Благой. </w:t>
      </w:r>
      <w:r>
        <w:rPr>
          <w:rStyle w:val="Emphasis"/>
        </w:rPr>
        <w:t>Международно право</w:t>
      </w:r>
      <w:r>
        <w:rPr/>
        <w:t>. София: Сиела, 2020. ISBN 978-954-28-3133-4.</w:t>
      </w:r>
    </w:p>
    <w:p>
      <w:pPr>
        <w:pStyle w:val="BodyText"/>
        <w:spacing w:lineRule="auto" w:line="240"/>
        <w:jc w:val="both"/>
        <w:rPr/>
      </w:pPr>
      <w:r>
        <w:rPr/>
        <w:t xml:space="preserve">[3] ВИДИН, Благой. Система на ООН за поддържане на международния мир, мироопазващи операции и употреба на сила. </w:t>
      </w:r>
      <w:r>
        <w:rPr>
          <w:rStyle w:val="Emphasis"/>
        </w:rPr>
        <w:t>Съвременно право</w:t>
      </w:r>
      <w:r>
        <w:rPr/>
        <w:t>, 2000, № 6, с. 44–56.</w:t>
      </w:r>
    </w:p>
    <w:p>
      <w:pPr>
        <w:pStyle w:val="BodyText"/>
        <w:spacing w:lineRule="auto" w:line="240"/>
        <w:jc w:val="both"/>
        <w:rPr/>
      </w:pPr>
      <w:r>
        <w:rPr/>
        <w:t xml:space="preserve">[4] UNITED NATIONS SECURITY COUNCIL. </w:t>
      </w:r>
      <w:r>
        <w:rPr>
          <w:rStyle w:val="Emphasis"/>
        </w:rPr>
        <w:t>Voting System</w:t>
      </w:r>
      <w:r>
        <w:rPr/>
        <w:t>. United Nations.</w:t>
      </w:r>
    </w:p>
    <w:p>
      <w:pPr>
        <w:pStyle w:val="BodyText"/>
        <w:spacing w:lineRule="auto" w:line="240"/>
        <w:jc w:val="both"/>
        <w:rPr/>
      </w:pPr>
      <w:r>
        <w:rPr/>
        <w:t>[5] Устав на Организацията на обединените нации, чл. 27, пар. 3. Обн., ДВ, бр. 45 от 23.05.2023 г.</w:t>
      </w:r>
    </w:p>
    <w:p>
      <w:pPr>
        <w:pStyle w:val="BodyText"/>
        <w:spacing w:lineRule="auto" w:line="240"/>
        <w:jc w:val="both"/>
        <w:rPr/>
      </w:pPr>
      <w:r>
        <w:rPr/>
        <w:t xml:space="preserve">[6] ПАНТЕВ, Пламен. Съветът за сигурност на ООН днес – управленски възможности и ограничения. </w:t>
      </w:r>
      <w:r>
        <w:rPr>
          <w:rStyle w:val="Emphasis"/>
        </w:rPr>
        <w:t>Международни отношения</w:t>
      </w:r>
      <w:r>
        <w:rPr/>
        <w:t>, год. 44, бр. 4, 2015, с. 81–88. ISSN 0324-1092.</w:t>
      </w:r>
    </w:p>
    <w:p>
      <w:pPr>
        <w:pStyle w:val="BodyText"/>
        <w:spacing w:lineRule="auto" w:line="240"/>
        <w:jc w:val="both"/>
        <w:rPr/>
      </w:pPr>
      <w:r>
        <w:rPr/>
        <w:t xml:space="preserve">[7] UNITED NATIONS SECURITY COUNCIL. </w:t>
      </w:r>
      <w:r>
        <w:rPr>
          <w:rStyle w:val="Emphasis"/>
        </w:rPr>
        <w:t>Draft Resolution S/2022/155</w:t>
      </w:r>
      <w:r>
        <w:rPr/>
        <w:t>. 25 February 2022.</w:t>
      </w:r>
    </w:p>
    <w:p>
      <w:pPr>
        <w:pStyle w:val="BodyText"/>
        <w:spacing w:lineRule="auto" w:line="240"/>
        <w:jc w:val="both"/>
        <w:rPr/>
      </w:pPr>
      <w:r>
        <w:rPr/>
        <w:t xml:space="preserve">[8] UNITED NATIONS SECURITY COUNCIL. </w:t>
      </w:r>
      <w:r>
        <w:rPr>
          <w:rStyle w:val="Emphasis"/>
        </w:rPr>
        <w:t>Resolution 2623 (2022)</w:t>
      </w:r>
      <w:r>
        <w:rPr/>
        <w:t>. S/RES/2623 (2022), 27 February 2022.</w:t>
      </w:r>
    </w:p>
    <w:p>
      <w:pPr>
        <w:pStyle w:val="BodyText"/>
        <w:spacing w:lineRule="auto" w:line="240"/>
        <w:jc w:val="both"/>
        <w:rPr/>
      </w:pPr>
      <w:r>
        <w:rPr/>
        <w:t xml:space="preserve">[9] UNITED NATIONS SECURITY COUNCIL. </w:t>
      </w:r>
      <w:r>
        <w:rPr>
          <w:rStyle w:val="Emphasis"/>
        </w:rPr>
        <w:t>Draft Resolution S/2014/348</w:t>
      </w:r>
      <w:r>
        <w:rPr/>
        <w:t>. 22 May 2014.</w:t>
      </w:r>
    </w:p>
    <w:p>
      <w:pPr>
        <w:pStyle w:val="BodyText"/>
        <w:spacing w:lineRule="auto" w:line="240"/>
        <w:jc w:val="both"/>
        <w:rPr/>
      </w:pPr>
      <w:r>
        <w:rPr/>
        <w:t xml:space="preserve">[10] UNITED NATIONS GENERAL ASSEMBLY. </w:t>
      </w:r>
      <w:r>
        <w:rPr>
          <w:rStyle w:val="Emphasis"/>
        </w:rPr>
        <w:t>Standing mandate for a General Assembly debate when a veto is cast in the Security Council</w:t>
      </w:r>
      <w:r>
        <w:rPr/>
        <w:t>. Resolution 76/262, A/RES/76/262, 26 April 2022.</w:t>
      </w:r>
    </w:p>
    <w:p>
      <w:pPr>
        <w:pStyle w:val="BodyText"/>
        <w:spacing w:lineRule="auto" w:line="240"/>
        <w:jc w:val="both"/>
        <w:rPr/>
      </w:pPr>
      <w:r>
        <w:rPr/>
        <w:t xml:space="preserve">[11] UNITED NATIONS. </w:t>
      </w:r>
      <w:r>
        <w:rPr>
          <w:rStyle w:val="Emphasis"/>
        </w:rPr>
        <w:t>Letter dated 14 December 2015 from the Permanent Representative of Liechtenstein to the United Nations addressed to the Secretary-General</w:t>
      </w:r>
      <w:r>
        <w:rPr/>
        <w:t>. A/70/621–S/2015/978, 14 December 2015.</w:t>
      </w:r>
    </w:p>
    <w:p>
      <w:pPr>
        <w:pStyle w:val="BodyText"/>
        <w:spacing w:lineRule="auto" w:line="240"/>
        <w:jc w:val="both"/>
        <w:rPr/>
      </w:pPr>
      <w:r>
        <w:rPr/>
        <w:t>[12] Устав на Организацията на обединените нации, чл. 108. Обн., ДВ, бр. 45 от 23.05.2023 г.</w:t>
      </w:r>
    </w:p>
    <w:p>
      <w:pPr>
        <w:pStyle w:val="Normal"/>
        <w:ind w:firstLine="567"/>
        <w:jc w:val="both"/>
        <w:rPr>
          <w:szCs w:val="28"/>
          <w:lang w:val="ru-RU"/>
        </w:rPr>
      </w:pPr>
      <w:r>
        <w:rPr/>
      </w:r>
    </w:p>
    <w:p>
      <w:pPr>
        <w:pStyle w:val="Normal"/>
        <w:ind w:firstLine="567"/>
        <w:jc w:val="both"/>
        <w:rPr>
          <w:szCs w:val="28"/>
        </w:rPr>
      </w:pPr>
      <w:r>
        <w:rPr>
          <w:szCs w:val="28"/>
        </w:rPr>
      </w:r>
    </w:p>
    <w:p>
      <w:pPr>
        <w:pStyle w:val="Normal"/>
        <w:ind w:firstLine="567"/>
        <w:jc w:val="both"/>
        <w:rPr>
          <w:b/>
          <w:szCs w:val="28"/>
        </w:rPr>
      </w:pPr>
      <w:r>
        <w:rPr>
          <w:b/>
          <w:szCs w:val="28"/>
        </w:rPr>
        <w:t>ЛИТЕРАТУРА:</w:t>
      </w:r>
    </w:p>
    <w:p>
      <w:pPr>
        <w:pStyle w:val="BodyText"/>
        <w:numPr>
          <w:ilvl w:val="0"/>
          <w:numId w:val="1"/>
        </w:numPr>
        <w:jc w:val="both"/>
        <w:rPr/>
      </w:pPr>
      <w:r>
        <w:rPr/>
        <w:t xml:space="preserve">ВИДИН, Благой. </w:t>
      </w:r>
      <w:r>
        <w:rPr>
          <w:rStyle w:val="Emphasis"/>
        </w:rPr>
        <w:t>Международно право</w:t>
      </w:r>
      <w:r>
        <w:rPr/>
        <w:t xml:space="preserve">. София: Сиела, 2020. 368 с. ISBN 978-954-28-3133-4. </w:t>
      </w:r>
    </w:p>
    <w:p>
      <w:pPr>
        <w:pStyle w:val="BodyText"/>
        <w:numPr>
          <w:ilvl w:val="0"/>
          <w:numId w:val="1"/>
        </w:numPr>
        <w:spacing w:lineRule="auto" w:line="240" w:before="0" w:after="0"/>
        <w:jc w:val="both"/>
        <w:rPr/>
      </w:pPr>
      <w:r>
        <w:rPr/>
        <w:t xml:space="preserve">ВИДИН, Благой. Система на ООН за поддържане на международния мир, мироопазващи операции и употреба на сила. </w:t>
      </w:r>
      <w:r>
        <w:rPr>
          <w:rStyle w:val="Emphasis"/>
        </w:rPr>
        <w:t>Съвременно право</w:t>
      </w:r>
      <w:r>
        <w:rPr/>
        <w:t xml:space="preserve">, 2000, № 6, с. 44–56. ISSN 0861-1815. </w:t>
      </w:r>
    </w:p>
    <w:p>
      <w:pPr>
        <w:pStyle w:val="BodyText"/>
        <w:numPr>
          <w:ilvl w:val="0"/>
          <w:numId w:val="1"/>
        </w:numPr>
        <w:spacing w:lineRule="auto" w:line="240" w:before="0" w:after="0"/>
        <w:jc w:val="both"/>
        <w:rPr/>
      </w:pPr>
      <w:r>
        <w:rPr/>
        <w:t xml:space="preserve">ПАНТЕВ, Пламен. Съветът за сигурност на ООН днес – управленски възможности и ограничения. </w:t>
      </w:r>
      <w:r>
        <w:rPr>
          <w:rStyle w:val="Emphasis"/>
        </w:rPr>
        <w:t>Международни отношения</w:t>
      </w:r>
      <w:r>
        <w:rPr/>
        <w:t xml:space="preserve">, год. 44, бр. 4, 2015, с. 81–88. ISSN 0324-1092. </w:t>
      </w:r>
    </w:p>
    <w:p>
      <w:pPr>
        <w:pStyle w:val="BodyText"/>
        <w:numPr>
          <w:ilvl w:val="0"/>
          <w:numId w:val="1"/>
        </w:numPr>
        <w:spacing w:lineRule="auto" w:line="240" w:before="0" w:after="0"/>
        <w:jc w:val="both"/>
        <w:rPr/>
      </w:pPr>
      <w:r>
        <w:rPr/>
        <w:t xml:space="preserve">Устав на Организацията на обединените нации. Обн., ДВ, бр. 45 от 23.05.2023 г., в сила за България от 14.12.1955 г. </w:t>
      </w:r>
    </w:p>
    <w:p>
      <w:pPr>
        <w:pStyle w:val="BodyText"/>
        <w:numPr>
          <w:ilvl w:val="0"/>
          <w:numId w:val="1"/>
        </w:numPr>
        <w:spacing w:lineRule="auto" w:line="240" w:before="0" w:after="0"/>
        <w:jc w:val="both"/>
        <w:rPr/>
      </w:pPr>
      <w:r>
        <w:rPr/>
        <w:t xml:space="preserve">UNITED NATIONS. </w:t>
      </w:r>
      <w:r>
        <w:rPr>
          <w:rStyle w:val="Emphasis"/>
        </w:rPr>
        <w:t>Code of Conduct regarding Security Council action against genocide, crimes against humanity and war crimes</w:t>
      </w:r>
      <w:r>
        <w:rPr/>
        <w:t xml:space="preserve">. A/70/621–S/2015/978, 14 December 2015. </w:t>
      </w:r>
    </w:p>
    <w:p>
      <w:pPr>
        <w:pStyle w:val="BodyText"/>
        <w:numPr>
          <w:ilvl w:val="0"/>
          <w:numId w:val="1"/>
        </w:numPr>
        <w:spacing w:lineRule="auto" w:line="240" w:before="0" w:after="0"/>
        <w:jc w:val="both"/>
        <w:rPr/>
      </w:pPr>
      <w:r>
        <w:rPr/>
        <w:t xml:space="preserve">UNITED NATIONS GENERAL ASSEMBLY. </w:t>
      </w:r>
      <w:r>
        <w:rPr>
          <w:rStyle w:val="Emphasis"/>
        </w:rPr>
        <w:t>Standing mandate for a General Assembly debate when a veto is cast in the Security Council</w:t>
      </w:r>
      <w:r>
        <w:rPr/>
        <w:t xml:space="preserve">. A/RES/76/262, 26 April 2022. </w:t>
      </w:r>
    </w:p>
    <w:p>
      <w:pPr>
        <w:pStyle w:val="BodyText"/>
        <w:numPr>
          <w:ilvl w:val="0"/>
          <w:numId w:val="1"/>
        </w:numPr>
        <w:spacing w:lineRule="auto" w:line="240" w:before="0" w:after="0"/>
        <w:jc w:val="both"/>
        <w:rPr/>
      </w:pPr>
      <w:r>
        <w:rPr/>
        <w:t xml:space="preserve">UNITED NATIONS SECURITY COUNCIL. </w:t>
      </w:r>
      <w:r>
        <w:rPr>
          <w:rStyle w:val="Emphasis"/>
        </w:rPr>
        <w:t>Draft Resolution S/2014/348</w:t>
      </w:r>
      <w:r>
        <w:rPr/>
        <w:t xml:space="preserve">. 22 May 2014. </w:t>
      </w:r>
    </w:p>
    <w:p>
      <w:pPr>
        <w:pStyle w:val="BodyText"/>
        <w:numPr>
          <w:ilvl w:val="0"/>
          <w:numId w:val="1"/>
        </w:numPr>
        <w:spacing w:lineRule="auto" w:line="240" w:before="0" w:after="0"/>
        <w:jc w:val="both"/>
        <w:rPr/>
      </w:pPr>
      <w:r>
        <w:rPr/>
        <w:t xml:space="preserve">UNITED NATIONS SECURITY COUNCIL. </w:t>
      </w:r>
      <w:r>
        <w:rPr>
          <w:rStyle w:val="Emphasis"/>
        </w:rPr>
        <w:t>Draft Resolution S/2022/155</w:t>
      </w:r>
      <w:r>
        <w:rPr/>
        <w:t xml:space="preserve">. 25 February 2022. </w:t>
      </w:r>
    </w:p>
    <w:p>
      <w:pPr>
        <w:pStyle w:val="BodyText"/>
        <w:numPr>
          <w:ilvl w:val="0"/>
          <w:numId w:val="1"/>
        </w:numPr>
        <w:spacing w:lineRule="auto" w:line="240" w:before="0" w:after="0"/>
        <w:jc w:val="both"/>
        <w:rPr/>
      </w:pPr>
      <w:r>
        <w:rPr/>
        <w:t xml:space="preserve">UNITED NATIONS SECURITY COUNCIL. </w:t>
      </w:r>
      <w:r>
        <w:rPr>
          <w:rStyle w:val="Emphasis"/>
        </w:rPr>
        <w:t>Resolution 2623 (2022)</w:t>
      </w:r>
      <w:r>
        <w:rPr/>
        <w:t xml:space="preserve">. S/RES/2623 (2022), 27 February 2022. </w:t>
      </w:r>
    </w:p>
    <w:p>
      <w:pPr>
        <w:pStyle w:val="BodyText"/>
        <w:numPr>
          <w:ilvl w:val="0"/>
          <w:numId w:val="1"/>
        </w:numPr>
        <w:spacing w:lineRule="auto" w:line="240" w:before="0" w:after="0"/>
        <w:jc w:val="both"/>
        <w:rPr/>
      </w:pPr>
      <w:r>
        <w:rPr/>
        <w:t xml:space="preserve">UNITED NATIONS SECURITY COUNCIL. </w:t>
      </w:r>
      <w:r>
        <w:rPr>
          <w:rStyle w:val="Emphasis"/>
        </w:rPr>
        <w:t>Voting System</w:t>
      </w:r>
      <w:r>
        <w:rPr/>
        <w:t xml:space="preserve">. United Nations. </w:t>
      </w:r>
    </w:p>
    <w:p>
      <w:pPr>
        <w:pStyle w:val="BodyText"/>
        <w:numPr>
          <w:ilvl w:val="0"/>
          <w:numId w:val="1"/>
        </w:numPr>
        <w:spacing w:lineRule="auto" w:line="240" w:before="0" w:after="0"/>
        <w:jc w:val="both"/>
        <w:rPr/>
      </w:pPr>
      <w:r>
        <w:rPr/>
        <w:t xml:space="preserve">FRANCE AND MEXICO. </w:t>
      </w:r>
      <w:r>
        <w:rPr>
          <w:rStyle w:val="Emphasis"/>
        </w:rPr>
        <w:t>Joint Statement on the French-Mexican Initiative on the Use of the Veto in Cases of Mass Atrocities</w:t>
      </w:r>
      <w:r>
        <w:rPr/>
        <w:t xml:space="preserve">. United Nations. </w:t>
      </w:r>
    </w:p>
    <w:p>
      <w:pPr>
        <w:pStyle w:val="Normal"/>
        <w:ind w:firstLine="567"/>
        <w:jc w:val="both"/>
        <w:rPr>
          <w:szCs w:val="28"/>
        </w:rPr>
      </w:pPr>
      <w:r>
        <w:rPr>
          <w:szCs w:val="28"/>
        </w:rPr>
      </w:r>
    </w:p>
    <w:p>
      <w:pPr>
        <w:pStyle w:val="Normal"/>
        <w:ind w:firstLine="567"/>
        <w:jc w:val="both"/>
        <w:rPr>
          <w:i/>
          <w:iCs/>
          <w:sz w:val="24"/>
        </w:rPr>
      </w:pPr>
      <w:r>
        <w:rPr>
          <w:i/>
          <w:iCs/>
          <w:sz w:val="24"/>
        </w:rPr>
        <w:t>Станислав Васков Станев</w:t>
      </w:r>
    </w:p>
    <w:p>
      <w:pPr>
        <w:pStyle w:val="Normal"/>
        <w:ind w:firstLine="567"/>
        <w:jc w:val="both"/>
        <w:rPr>
          <w:i/>
          <w:iCs/>
          <w:sz w:val="24"/>
        </w:rPr>
      </w:pPr>
      <w:r>
        <w:rPr>
          <w:i/>
          <w:iCs/>
          <w:sz w:val="24"/>
        </w:rPr>
        <w:t xml:space="preserve">гр. Пловдив, бул. „Цар Борис </w:t>
      </w:r>
      <w:r>
        <w:rPr>
          <w:i/>
          <w:iCs/>
          <w:sz w:val="24"/>
          <w:lang w:val="en-GB"/>
        </w:rPr>
        <w:t xml:space="preserve">III </w:t>
      </w:r>
      <w:r>
        <w:rPr>
          <w:i/>
          <w:iCs/>
          <w:sz w:val="24"/>
          <w:lang w:val="bg-BG"/>
        </w:rPr>
        <w:t>Обединител</w:t>
      </w:r>
      <w:r>
        <w:rPr>
          <w:i/>
          <w:iCs/>
          <w:sz w:val="24"/>
        </w:rPr>
        <w:t>“ 54, лява секция, ет, 4, ап. 25</w:t>
      </w:r>
    </w:p>
    <w:p>
      <w:pPr>
        <w:pStyle w:val="Normal"/>
        <w:ind w:firstLine="567"/>
        <w:jc w:val="both"/>
        <w:rPr>
          <w:i/>
          <w:iCs/>
          <w:sz w:val="24"/>
          <w:lang w:val="en-GB"/>
        </w:rPr>
      </w:pPr>
      <w:r>
        <w:rPr>
          <w:i/>
          <w:iCs/>
          <w:sz w:val="24"/>
          <w:lang w:val="en-GB"/>
        </w:rPr>
        <w:t xml:space="preserve">e-mail: </w:t>
      </w:r>
      <w:hyperlink r:id="rId2">
        <w:r>
          <w:rPr>
            <w:rStyle w:val="Hyperlink"/>
            <w:i/>
            <w:iCs/>
            <w:sz w:val="24"/>
            <w:lang w:val="en-GB"/>
          </w:rPr>
          <w:t>st.stanev@advokat.bz</w:t>
        </w:r>
      </w:hyperlink>
      <w:r>
        <w:rPr>
          <w:i/>
          <w:iCs/>
          <w:sz w:val="24"/>
          <w:lang w:val="en-GB"/>
        </w:rPr>
        <w:t xml:space="preserve">, </w:t>
      </w:r>
      <w:r>
        <w:rPr>
          <w:i/>
          <w:iCs/>
          <w:sz w:val="24"/>
          <w:lang w:val="bg-BG"/>
        </w:rPr>
        <w:t>телефон: 0886824394</w:t>
      </w:r>
    </w:p>
    <w:p>
      <w:pPr>
        <w:pStyle w:val="Normal"/>
        <w:ind w:firstLine="567"/>
        <w:jc w:val="both"/>
        <w:rPr>
          <w:szCs w:val="28"/>
        </w:rPr>
      </w:pPr>
      <w:r>
        <w:rPr>
          <w:szCs w:val="28"/>
        </w:rPr>
      </w:r>
    </w:p>
    <w:sectPr>
      <w:type w:val="nextPage"/>
      <w:pgSz w:w="11906" w:h="16838"/>
      <w:pgMar w:left="1701" w:right="1134" w:gutter="0" w:header="0" w:top="1134" w:footer="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90"/>
  <w:mirrorMargins/>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 w:asciiTheme="minorHAnsi" w:cstheme="minorBidi" w:hAnsiTheme="minorHAnsi"/>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04bd"/>
    <w:pPr>
      <w:widowControl/>
      <w:suppressAutoHyphens w:val="true"/>
      <w:bidi w:val="0"/>
      <w:spacing w:lineRule="auto" w:line="240" w:before="0" w:after="0"/>
      <w:jc w:val="start"/>
    </w:pPr>
    <w:rPr>
      <w:rFonts w:ascii="Times New Roman" w:hAnsi="Times New Roman" w:eastAsia="Times New Roman" w:cs="Times New Roman"/>
      <w:color w:val="auto"/>
      <w:kern w:val="0"/>
      <w:sz w:val="28"/>
      <w:szCs w:val="24"/>
      <w:lang w:val="bg-BG" w:eastAsia="bg-BG" w:bidi="ar-SA"/>
    </w:rPr>
  </w:style>
  <w:style w:type="paragraph" w:styleId="Heading1">
    <w:name w:val="heading 1"/>
    <w:next w:val="Normal"/>
    <w:link w:val="1"/>
    <w:autoRedefine/>
    <w:uiPriority w:val="9"/>
    <w:qFormat/>
    <w:rsid w:val="001e6585"/>
    <w:pPr>
      <w:keepNext w:val="true"/>
      <w:widowControl/>
      <w:suppressAutoHyphens w:val="true"/>
      <w:bidi w:val="0"/>
      <w:spacing w:lineRule="auto" w:line="240" w:before="0" w:after="0"/>
      <w:ind w:firstLine="567"/>
      <w:jc w:val="center"/>
      <w:outlineLvl w:val="0"/>
    </w:pPr>
    <w:rPr>
      <w:rFonts w:ascii="Times New Roman" w:hAnsi="Times New Roman" w:eastAsia="Times New Roman" w:cs="Times New Roman"/>
      <w:b/>
      <w:bCs/>
      <w:caps/>
      <w:color w:val="auto"/>
      <w:kern w:val="0"/>
      <w:sz w:val="32"/>
      <w:szCs w:val="32"/>
      <w:lang w:val="bg-BG" w:eastAsia="en-US" w:bidi="ar-SA"/>
    </w:rPr>
  </w:style>
  <w:style w:type="paragraph" w:styleId="Heading2">
    <w:name w:val="heading 2"/>
    <w:next w:val="Normal"/>
    <w:link w:val="2"/>
    <w:uiPriority w:val="9"/>
    <w:unhideWhenUsed/>
    <w:qFormat/>
    <w:rsid w:val="008129c2"/>
    <w:pPr>
      <w:keepNext w:val="true"/>
      <w:keepLines/>
      <w:widowControl/>
      <w:suppressAutoHyphens w:val="true"/>
      <w:bidi w:val="0"/>
      <w:spacing w:lineRule="auto" w:line="259" w:before="40" w:after="160"/>
      <w:jc w:val="center"/>
      <w:outlineLvl w:val="1"/>
    </w:pPr>
    <w:rPr>
      <w:rFonts w:ascii="Times New Roman" w:hAnsi="Times New Roman" w:eastAsia="" w:cs="" w:cstheme="majorBidi" w:eastAsiaTheme="majorEastAsia"/>
      <w:b/>
      <w:color w:val="auto"/>
      <w:kern w:val="0"/>
      <w:sz w:val="32"/>
      <w:szCs w:val="26"/>
      <w:lang w:val="bg-BG" w:eastAsia="bg-BG" w:bidi="ar-SA"/>
    </w:rPr>
  </w:style>
  <w:style w:type="paragraph" w:styleId="Heading3">
    <w:name w:val="heading 3"/>
    <w:basedOn w:val="Normal"/>
    <w:next w:val="Normal"/>
    <w:link w:val="3"/>
    <w:uiPriority w:val="9"/>
    <w:unhideWhenUsed/>
    <w:qFormat/>
    <w:rsid w:val="003004bd"/>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3763"/>
      <w:sz w:val="24"/>
    </w:rPr>
  </w:style>
  <w:style w:type="paragraph" w:styleId="Heading4">
    <w:name w:val="heading 4"/>
    <w:basedOn w:val="Normal"/>
    <w:next w:val="Normal"/>
    <w:link w:val="4"/>
    <w:uiPriority w:val="9"/>
    <w:unhideWhenUsed/>
    <w:qFormat/>
    <w:rsid w:val="003004bd"/>
    <w:pPr>
      <w:keepNext w:val="true"/>
      <w:keepLines/>
      <w:spacing w:before="40" w:after="0"/>
      <w:outlineLvl w:val="3"/>
    </w:pPr>
    <w:rPr>
      <w:rFonts w:ascii="Calibri Light" w:hAnsi="Calibri Light" w:eastAsia="" w:cs="" w:asciiTheme="majorHAnsi" w:cstheme="majorBidi" w:eastAsiaTheme="majorEastAsia" w:hAnsiTheme="majorHAnsi"/>
      <w:i/>
      <w:iCs/>
      <w:color w:themeColor="accent1" w:themeShade="bf" w:val="2F5496"/>
    </w:rPr>
  </w:style>
  <w:style w:type="paragraph" w:styleId="Heading5">
    <w:name w:val="heading 5"/>
    <w:basedOn w:val="Normal"/>
    <w:next w:val="Normal"/>
    <w:link w:val="5"/>
    <w:uiPriority w:val="9"/>
    <w:unhideWhenUsed/>
    <w:qFormat/>
    <w:rsid w:val="003004bd"/>
    <w:pPr>
      <w:keepNext w:val="true"/>
      <w:keepLines/>
      <w:spacing w:before="40" w:after="0"/>
      <w:outlineLvl w:val="4"/>
    </w:pPr>
    <w:rPr>
      <w:rFonts w:ascii="Calibri Light" w:hAnsi="Calibri Light" w:eastAsia="" w:cs="" w:asciiTheme="majorHAnsi" w:cstheme="majorBidi" w:eastAsiaTheme="majorEastAsia" w:hAnsiTheme="majorHAnsi"/>
      <w:color w:themeColor="accent1" w:themeShade="bf" w:val="2F5496"/>
    </w:rPr>
  </w:style>
  <w:style w:type="paragraph" w:styleId="Heading6">
    <w:name w:val="heading 6"/>
    <w:basedOn w:val="Normal"/>
    <w:next w:val="Normal"/>
    <w:link w:val="6"/>
    <w:uiPriority w:val="9"/>
    <w:unhideWhenUsed/>
    <w:qFormat/>
    <w:rsid w:val="003004bd"/>
    <w:pPr>
      <w:keepNext w:val="true"/>
      <w:keepLines/>
      <w:spacing w:before="40" w:after="0"/>
      <w:outlineLvl w:val="5"/>
    </w:pPr>
    <w:rPr>
      <w:rFonts w:ascii="Calibri Light" w:hAnsi="Calibri Light" w:eastAsia="" w:cs="" w:asciiTheme="majorHAnsi" w:cstheme="majorBidi" w:eastAsiaTheme="majorEastAsia" w:hAnsiTheme="majorHAnsi"/>
      <w:color w:themeColor="accent1" w:themeShade="7f" w:val="1F3763"/>
    </w:rPr>
  </w:style>
  <w:style w:type="paragraph" w:styleId="Heading7">
    <w:name w:val="heading 7"/>
    <w:basedOn w:val="Normal"/>
    <w:next w:val="Normal"/>
    <w:link w:val="7"/>
    <w:uiPriority w:val="9"/>
    <w:unhideWhenUsed/>
    <w:qFormat/>
    <w:rsid w:val="003004bd"/>
    <w:pPr>
      <w:keepNext w:val="true"/>
      <w:keepLines/>
      <w:spacing w:before="40" w:after="0"/>
      <w:outlineLvl w:val="6"/>
    </w:pPr>
    <w:rPr>
      <w:rFonts w:ascii="Calibri Light" w:hAnsi="Calibri Light" w:eastAsia="" w:cs="" w:asciiTheme="majorHAnsi" w:cstheme="majorBidi" w:eastAsiaTheme="majorEastAsia" w:hAnsiTheme="majorHAnsi"/>
      <w:i/>
      <w:iCs/>
      <w:color w:themeColor="accent1" w:themeShade="7f" w:val="1F3763"/>
    </w:rPr>
  </w:style>
  <w:style w:type="character" w:styleId="DefaultParagraphFont" w:default="1">
    <w:name w:val="Default Paragraph Font"/>
    <w:uiPriority w:val="1"/>
    <w:semiHidden/>
    <w:unhideWhenUsed/>
    <w:qFormat/>
    <w:rPr/>
  </w:style>
  <w:style w:type="character" w:styleId="1" w:customStyle="1">
    <w:name w:val="Заглавие 1 Знак"/>
    <w:link w:val="Heading1"/>
    <w:uiPriority w:val="9"/>
    <w:qFormat/>
    <w:rsid w:val="001e6585"/>
    <w:rPr>
      <w:rFonts w:ascii="Times New Roman" w:hAnsi="Times New Roman" w:eastAsia="Times New Roman" w:cs="Times New Roman"/>
      <w:b/>
      <w:bCs/>
      <w:caps/>
      <w:sz w:val="32"/>
      <w:szCs w:val="32"/>
    </w:rPr>
  </w:style>
  <w:style w:type="character" w:styleId="2" w:customStyle="1">
    <w:name w:val="Заглавие 2 Знак"/>
    <w:basedOn w:val="DefaultParagraphFont"/>
    <w:link w:val="Heading2"/>
    <w:uiPriority w:val="9"/>
    <w:qFormat/>
    <w:rsid w:val="008129c2"/>
    <w:rPr>
      <w:rFonts w:ascii="Times New Roman" w:hAnsi="Times New Roman" w:eastAsia="" w:cs="" w:cstheme="majorBidi" w:eastAsiaTheme="majorEastAsia"/>
      <w:b/>
      <w:sz w:val="32"/>
      <w:szCs w:val="26"/>
      <w:lang w:eastAsia="bg-BG"/>
    </w:rPr>
  </w:style>
  <w:style w:type="character" w:styleId="Style7" w:customStyle="1">
    <w:name w:val="Текст под линия Знак"/>
    <w:basedOn w:val="DefaultParagraphFont"/>
    <w:link w:val="FootnoteText"/>
    <w:uiPriority w:val="99"/>
    <w:semiHidden/>
    <w:qFormat/>
    <w:rsid w:val="00a0193a"/>
    <w:rPr>
      <w:rFonts w:ascii="Times New Roman" w:hAnsi="Times New Roman" w:cs="Times New Roman"/>
      <w:sz w:val="20"/>
      <w:szCs w:val="20"/>
      <w:lang w:eastAsia="bg-BG"/>
    </w:rPr>
  </w:style>
  <w:style w:type="character" w:styleId="FootnoteCharacters">
    <w:name w:val="Footnote Characters"/>
    <w:uiPriority w:val="99"/>
    <w:semiHidden/>
    <w:unhideWhenUsed/>
    <w:qFormat/>
    <w:rsid w:val="00a0193a"/>
    <w:rPr>
      <w:vertAlign w:val="superscript"/>
    </w:rPr>
  </w:style>
  <w:style w:type="character" w:styleId="FootnoteCharactersuser">
    <w:name w:val="Footnote Characters (user)"/>
    <w:qFormat/>
    <w:rPr>
      <w:vertAlign w:val="superscript"/>
    </w:rPr>
  </w:style>
  <w:style w:type="character" w:styleId="FootnoteReference">
    <w:name w:val="footnote reference"/>
    <w:rPr>
      <w:vertAlign w:val="superscript"/>
    </w:rPr>
  </w:style>
  <w:style w:type="character" w:styleId="3" w:customStyle="1">
    <w:name w:val="Заглавие 3 Знак"/>
    <w:basedOn w:val="DefaultParagraphFont"/>
    <w:link w:val="Heading3"/>
    <w:uiPriority w:val="9"/>
    <w:qFormat/>
    <w:rsid w:val="003004bd"/>
    <w:rPr>
      <w:rFonts w:ascii="Calibri Light" w:hAnsi="Calibri Light" w:eastAsia="" w:cs="" w:asciiTheme="majorHAnsi" w:cstheme="majorBidi" w:eastAsiaTheme="majorEastAsia" w:hAnsiTheme="majorHAnsi"/>
      <w:color w:themeColor="accent1" w:themeShade="7f" w:val="1F3763"/>
      <w:sz w:val="24"/>
      <w:szCs w:val="24"/>
      <w:lang w:eastAsia="bg-BG"/>
    </w:rPr>
  </w:style>
  <w:style w:type="character" w:styleId="4" w:customStyle="1">
    <w:name w:val="Заглавие 4 Знак"/>
    <w:basedOn w:val="DefaultParagraphFont"/>
    <w:link w:val="Heading4"/>
    <w:uiPriority w:val="9"/>
    <w:qFormat/>
    <w:rsid w:val="003004bd"/>
    <w:rPr>
      <w:rFonts w:ascii="Calibri Light" w:hAnsi="Calibri Light" w:eastAsia="" w:cs="" w:asciiTheme="majorHAnsi" w:cstheme="majorBidi" w:eastAsiaTheme="majorEastAsia" w:hAnsiTheme="majorHAnsi"/>
      <w:i/>
      <w:iCs/>
      <w:color w:themeColor="accent1" w:themeShade="bf" w:val="2F5496"/>
      <w:sz w:val="28"/>
      <w:szCs w:val="24"/>
      <w:lang w:eastAsia="bg-BG"/>
    </w:rPr>
  </w:style>
  <w:style w:type="character" w:styleId="5" w:customStyle="1">
    <w:name w:val="Заглавие 5 Знак"/>
    <w:basedOn w:val="DefaultParagraphFont"/>
    <w:link w:val="Heading5"/>
    <w:uiPriority w:val="9"/>
    <w:qFormat/>
    <w:rsid w:val="003004bd"/>
    <w:rPr>
      <w:rFonts w:ascii="Calibri Light" w:hAnsi="Calibri Light" w:eastAsia="" w:cs="" w:asciiTheme="majorHAnsi" w:cstheme="majorBidi" w:eastAsiaTheme="majorEastAsia" w:hAnsiTheme="majorHAnsi"/>
      <w:color w:themeColor="accent1" w:themeShade="bf" w:val="2F5496"/>
      <w:sz w:val="28"/>
      <w:szCs w:val="24"/>
      <w:lang w:eastAsia="bg-BG"/>
    </w:rPr>
  </w:style>
  <w:style w:type="character" w:styleId="6" w:customStyle="1">
    <w:name w:val="Заглавие 6 Знак"/>
    <w:basedOn w:val="DefaultParagraphFont"/>
    <w:link w:val="Heading6"/>
    <w:uiPriority w:val="9"/>
    <w:qFormat/>
    <w:rsid w:val="003004bd"/>
    <w:rPr>
      <w:rFonts w:ascii="Calibri Light" w:hAnsi="Calibri Light" w:eastAsia="" w:cs="" w:asciiTheme="majorHAnsi" w:cstheme="majorBidi" w:eastAsiaTheme="majorEastAsia" w:hAnsiTheme="majorHAnsi"/>
      <w:color w:themeColor="accent1" w:themeShade="7f" w:val="1F3763"/>
      <w:sz w:val="28"/>
      <w:szCs w:val="24"/>
      <w:lang w:eastAsia="bg-BG"/>
    </w:rPr>
  </w:style>
  <w:style w:type="character" w:styleId="7" w:customStyle="1">
    <w:name w:val="Заглавие 7 Знак"/>
    <w:basedOn w:val="DefaultParagraphFont"/>
    <w:link w:val="Heading7"/>
    <w:uiPriority w:val="9"/>
    <w:qFormat/>
    <w:rsid w:val="003004bd"/>
    <w:rPr>
      <w:rFonts w:ascii="Calibri Light" w:hAnsi="Calibri Light" w:eastAsia="" w:cs="" w:asciiTheme="majorHAnsi" w:cstheme="majorBidi" w:eastAsiaTheme="majorEastAsia" w:hAnsiTheme="majorHAnsi"/>
      <w:i/>
      <w:iCs/>
      <w:color w:themeColor="accent1" w:themeShade="7f" w:val="1F3763"/>
      <w:sz w:val="28"/>
      <w:szCs w:val="24"/>
      <w:lang w:eastAsia="bg-BG"/>
    </w:rPr>
  </w:style>
  <w:style w:type="character" w:styleId="Style8" w:customStyle="1">
    <w:name w:val="Подзаглавие Знак"/>
    <w:basedOn w:val="DefaultParagraphFont"/>
    <w:link w:val="Subtitle"/>
    <w:uiPriority w:val="11"/>
    <w:qFormat/>
    <w:rsid w:val="003004bd"/>
    <w:rPr>
      <w:rFonts w:eastAsia="" w:eastAsiaTheme="minorEastAsia"/>
      <w:color w:themeColor="text1" w:themeTint="a5" w:val="5A5A5A"/>
      <w:spacing w:val="15"/>
      <w:lang w:eastAsia="bg-BG"/>
    </w:rPr>
  </w:style>
  <w:style w:type="character" w:styleId="Style9" w:customStyle="1">
    <w:name w:val="Текст на бележка в края Знак"/>
    <w:basedOn w:val="DefaultParagraphFont"/>
    <w:link w:val="EndnoteText"/>
    <w:uiPriority w:val="99"/>
    <w:semiHidden/>
    <w:qFormat/>
    <w:rsid w:val="002a7c9b"/>
    <w:rPr>
      <w:rFonts w:ascii="Times New Roman" w:hAnsi="Times New Roman" w:cs="Times New Roman"/>
      <w:sz w:val="20"/>
      <w:szCs w:val="20"/>
      <w:lang w:eastAsia="bg-BG"/>
    </w:rPr>
  </w:style>
  <w:style w:type="character" w:styleId="EndnoteCharacters">
    <w:name w:val="Endnote Characters"/>
    <w:uiPriority w:val="99"/>
    <w:semiHidden/>
    <w:unhideWhenUsed/>
    <w:qFormat/>
    <w:rsid w:val="002a7c9b"/>
    <w:rPr>
      <w:vertAlign w:val="superscript"/>
    </w:rPr>
  </w:style>
  <w:style w:type="character" w:styleId="EndnoteCharactersuser">
    <w:name w:val="Endnote Characters (user)"/>
    <w:qFormat/>
    <w:rPr>
      <w:vertAlign w:val="superscript"/>
    </w:rPr>
  </w:style>
  <w:style w:type="character" w:styleId="EndnoteReference">
    <w:name w:val="endnote reference"/>
    <w:rPr>
      <w:vertAlign w:val="superscript"/>
    </w:rPr>
  </w:style>
  <w:style w:type="character" w:styleId="Hyperlink">
    <w:name w:val="Hyperlink"/>
    <w:basedOn w:val="DefaultParagraphFont"/>
    <w:uiPriority w:val="99"/>
    <w:unhideWhenUsed/>
    <w:rsid w:val="00f64d1c"/>
    <w:rPr>
      <w:color w:themeColor="hyperlink" w:val="0563C1"/>
      <w:u w:val="single"/>
    </w:rPr>
  </w:style>
  <w:style w:type="character" w:styleId="Strong">
    <w:name w:val="Strong"/>
    <w:qFormat/>
    <w:rPr>
      <w:b/>
      <w:bCs/>
    </w:rPr>
  </w:style>
  <w:style w:type="character" w:styleId="Emphasis">
    <w:name w:val="Emphasis"/>
    <w:qFormat/>
    <w:rPr>
      <w:i/>
      <w:i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uiPriority w:val="35"/>
    <w:unhideWhenUsed/>
    <w:qFormat/>
    <w:rsid w:val="00261dcd"/>
    <w:pPr>
      <w:spacing w:before="0" w:after="200"/>
    </w:pPr>
    <w:rPr>
      <w:i/>
      <w:iCs/>
      <w:color w:themeColor="text2" w:val="44546A"/>
      <w:sz w:val="18"/>
      <w:szCs w:val="18"/>
    </w:rPr>
  </w:style>
  <w:style w:type="paragraph" w:styleId="Index">
    <w:name w:val="Index"/>
    <w:basedOn w:val="Normal"/>
    <w:qFormat/>
    <w:pPr>
      <w:suppressLineNumbers/>
    </w:pPr>
    <w:rPr>
      <w:rFonts w:cs="Lucida Sans"/>
    </w:rPr>
  </w:style>
  <w:style w:type="paragraph" w:styleId="TOC1">
    <w:name w:val="toc 1"/>
    <w:next w:val="Normal"/>
    <w:autoRedefine/>
    <w:uiPriority w:val="39"/>
    <w:unhideWhenUsed/>
    <w:rsid w:val="00534842"/>
    <w:pPr>
      <w:widowControl/>
      <w:suppressAutoHyphens w:val="true"/>
      <w:bidi w:val="0"/>
      <w:spacing w:lineRule="auto" w:line="240" w:before="0" w:after="0"/>
      <w:jc w:val="start"/>
    </w:pPr>
    <w:rPr>
      <w:rFonts w:ascii="Times New Roman" w:hAnsi="Times New Roman" w:eastAsia="Times New Roman" w:cs="" w:cstheme="minorBidi"/>
      <w:b/>
      <w:color w:val="auto"/>
      <w:kern w:val="0"/>
      <w:sz w:val="28"/>
      <w:szCs w:val="22"/>
      <w:lang w:val="bg-BG" w:eastAsia="en-US" w:bidi="ar-SA"/>
    </w:rPr>
  </w:style>
  <w:style w:type="paragraph" w:styleId="TOC2">
    <w:name w:val="toc 2"/>
    <w:basedOn w:val="Normal"/>
    <w:next w:val="Normal"/>
    <w:autoRedefine/>
    <w:uiPriority w:val="39"/>
    <w:unhideWhenUsed/>
    <w:rsid w:val="00534842"/>
    <w:pPr>
      <w:spacing w:before="0" w:after="100"/>
      <w:ind w:start="221"/>
    </w:pPr>
    <w:rPr/>
  </w:style>
  <w:style w:type="paragraph" w:styleId="ListParagraph">
    <w:name w:val="List Paragraph"/>
    <w:basedOn w:val="Normal"/>
    <w:uiPriority w:val="34"/>
    <w:qFormat/>
    <w:rsid w:val="007e2105"/>
    <w:pPr>
      <w:spacing w:before="0" w:after="0"/>
      <w:ind w:start="720"/>
      <w:contextualSpacing/>
    </w:pPr>
    <w:rPr/>
  </w:style>
  <w:style w:type="paragraph" w:styleId="FootnoteText">
    <w:name w:val="footnote text"/>
    <w:basedOn w:val="Normal"/>
    <w:link w:val="Style7"/>
    <w:uiPriority w:val="99"/>
    <w:semiHidden/>
    <w:unhideWhenUsed/>
    <w:rsid w:val="00a0193a"/>
    <w:pPr/>
    <w:rPr>
      <w:sz w:val="20"/>
      <w:szCs w:val="20"/>
    </w:rPr>
  </w:style>
  <w:style w:type="paragraph" w:styleId="NoSpacing">
    <w:name w:val="No Spacing"/>
    <w:uiPriority w:val="1"/>
    <w:qFormat/>
    <w:rsid w:val="003004bd"/>
    <w:pPr>
      <w:widowControl/>
      <w:suppressAutoHyphens w:val="true"/>
      <w:bidi w:val="0"/>
      <w:spacing w:lineRule="auto" w:line="240" w:before="0" w:after="0"/>
      <w:ind w:firstLine="567"/>
      <w:jc w:val="start"/>
    </w:pPr>
    <w:rPr>
      <w:rFonts w:ascii="Times New Roman" w:hAnsi="Times New Roman" w:eastAsia="Times New Roman" w:cs="Times New Roman"/>
      <w:color w:val="auto"/>
      <w:kern w:val="0"/>
      <w:sz w:val="28"/>
      <w:szCs w:val="24"/>
      <w:lang w:val="bg-BG" w:eastAsia="bg-BG" w:bidi="ar-SA"/>
    </w:rPr>
  </w:style>
  <w:style w:type="paragraph" w:styleId="Subtitle">
    <w:name w:val="Subtitle"/>
    <w:basedOn w:val="Normal"/>
    <w:next w:val="Normal"/>
    <w:link w:val="Style8"/>
    <w:uiPriority w:val="11"/>
    <w:qFormat/>
    <w:rsid w:val="003004bd"/>
    <w:pPr>
      <w:spacing w:before="0" w:after="160"/>
      <w:ind w:firstLine="567"/>
    </w:pPr>
    <w:rPr>
      <w:rFonts w:ascii="Calibri" w:hAnsi="Calibri" w:eastAsia="" w:cs="" w:asciiTheme="minorHAnsi" w:cstheme="minorBidi" w:eastAsiaTheme="minorEastAsia" w:hAnsiTheme="minorHAnsi"/>
      <w:color w:themeColor="text1" w:themeTint="a5" w:val="5A5A5A"/>
      <w:spacing w:val="15"/>
      <w:sz w:val="22"/>
      <w:szCs w:val="22"/>
    </w:rPr>
  </w:style>
  <w:style w:type="paragraph" w:styleId="EndnoteText">
    <w:name w:val="endnote text"/>
    <w:basedOn w:val="Normal"/>
    <w:link w:val="Style9"/>
    <w:uiPriority w:val="99"/>
    <w:semiHidden/>
    <w:unhideWhenUsed/>
    <w:rsid w:val="002a7c9b"/>
    <w:pPr/>
    <w:rPr>
      <w:sz w:val="20"/>
      <w:szCs w:val="20"/>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7">
    <w:name w:val="Table Grid"/>
    <w:basedOn w:val="a1"/>
    <w:uiPriority w:val="39"/>
    <w:rsid w:val="00155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t.stanev@advokat.bz"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Application>LibreOffice/26.2.5.2$Windows_X86_64 LibreOffice_project/cd7284b4cbbfeb507e630c1aac019f4157393acb</Application>
  <AppVersion>15.0000</AppVersion>
  <Pages>10</Pages>
  <Words>3255</Words>
  <Characters>19776</Characters>
  <CharactersWithSpaces>22997</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2022-08-11T05:55:00Z</dcterms:created>
  <dc:creator>Ана Христова</dc:creator>
  <dc:description/>
  <dc:language>en-GB</dc:language>
  <cp:lastModifiedBy/>
  <dcterms:modified xsi:type="dcterms:W3CDTF">2026-09-16T17:24:00Z</dcterms:modified>
  <cp:revision>62</cp:revision>
  <dc:subject/>
  <dc:title/>
</cp:coreProperties>
</file>

<file path=docProps/custom.xml><?xml version="1.0" encoding="utf-8"?>
<Properties xmlns="http://schemas.openxmlformats.org/officeDocument/2006/custom-properties" xmlns:vt="http://schemas.openxmlformats.org/officeDocument/2006/docPropsVTypes"/>
</file>