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050DE7" w14:textId="3AF8A3FC" w:rsidR="00A84152" w:rsidRDefault="00A84152" w:rsidP="00A84152">
      <w:pPr>
        <w:spacing w:line="240" w:lineRule="auto"/>
        <w:jc w:val="center"/>
        <w:rPr>
          <w:rFonts w:ascii="Times New Roman" w:hAnsi="Times New Roman" w:cs="Times New Roman"/>
          <w:b/>
          <w:bCs/>
          <w:sz w:val="24"/>
          <w:szCs w:val="24"/>
          <w:lang w:val="bg-BG"/>
        </w:rPr>
      </w:pPr>
      <w:r w:rsidRPr="00A84152">
        <w:rPr>
          <w:rFonts w:ascii="Times New Roman" w:eastAsia="Calibri" w:hAnsi="Times New Roman" w:cs="Times New Roman"/>
          <w:b/>
          <w:bCs/>
          <w:caps/>
          <w:kern w:val="0"/>
          <w:sz w:val="32"/>
          <w:szCs w:val="32"/>
          <w:shd w:val="clear" w:color="auto" w:fill="FFFFFF"/>
          <w:lang w:val="bg-BG"/>
          <w14:ligatures w14:val="none"/>
        </w:rPr>
        <w:t>Евровалутата – основен инструмент на меката сила на Европейския съюз и механизъм за икономическо влияние</w:t>
      </w:r>
      <w:r>
        <w:rPr>
          <w:rFonts w:ascii="Times New Roman" w:hAnsi="Times New Roman" w:cs="Times New Roman"/>
          <w:b/>
          <w:bCs/>
          <w:sz w:val="24"/>
          <w:szCs w:val="24"/>
          <w:lang w:val="bg-BG"/>
        </w:rPr>
        <w:br/>
      </w:r>
      <w:r>
        <w:rPr>
          <w:rFonts w:ascii="Times New Roman" w:hAnsi="Times New Roman" w:cs="Times New Roman"/>
          <w:b/>
          <w:bCs/>
          <w:sz w:val="28"/>
          <w:szCs w:val="28"/>
          <w:lang w:val="bg-BG"/>
        </w:rPr>
        <w:t>Дамян Христов</w:t>
      </w:r>
      <w:r>
        <w:rPr>
          <w:rFonts w:ascii="Times New Roman" w:hAnsi="Times New Roman" w:cs="Times New Roman"/>
          <w:b/>
          <w:bCs/>
          <w:sz w:val="28"/>
          <w:szCs w:val="28"/>
          <w:lang w:val="bg-BG"/>
        </w:rPr>
        <w:br/>
      </w:r>
      <w:r>
        <w:rPr>
          <w:rFonts w:ascii="Times New Roman" w:hAnsi="Times New Roman" w:cs="Times New Roman"/>
          <w:sz w:val="28"/>
          <w:szCs w:val="28"/>
          <w:lang w:val="bg-BG"/>
        </w:rPr>
        <w:t>Софийски университет „Св. Климент Охридски“</w:t>
      </w:r>
      <w:r>
        <w:rPr>
          <w:rFonts w:ascii="Times New Roman" w:hAnsi="Times New Roman" w:cs="Times New Roman"/>
          <w:sz w:val="28"/>
          <w:szCs w:val="28"/>
          <w:lang w:val="bg-BG"/>
        </w:rPr>
        <w:br/>
      </w:r>
      <w:hyperlink r:id="rId8" w:history="1">
        <w:r>
          <w:rPr>
            <w:rStyle w:val="Hyperlink"/>
            <w:rFonts w:ascii="Times New Roman" w:hAnsi="Times New Roman" w:cs="Times New Roman"/>
            <w:sz w:val="28"/>
            <w:szCs w:val="28"/>
          </w:rPr>
          <w:t>damyanhristov12@gmail.com</w:t>
        </w:r>
      </w:hyperlink>
      <w:r>
        <w:rPr>
          <w:rFonts w:ascii="Times New Roman" w:hAnsi="Times New Roman" w:cs="Times New Roman"/>
          <w:sz w:val="28"/>
          <w:szCs w:val="28"/>
        </w:rPr>
        <w:t xml:space="preserve"> </w:t>
      </w:r>
      <w:r>
        <w:rPr>
          <w:rFonts w:ascii="Times New Roman" w:hAnsi="Times New Roman" w:cs="Times New Roman"/>
          <w:sz w:val="28"/>
          <w:szCs w:val="28"/>
        </w:rPr>
        <w:br/>
        <w:t>0887711479</w:t>
      </w:r>
      <w:r>
        <w:rPr>
          <w:rFonts w:ascii="Times New Roman" w:hAnsi="Times New Roman" w:cs="Times New Roman"/>
          <w:sz w:val="28"/>
          <w:szCs w:val="28"/>
        </w:rPr>
        <w:br/>
      </w:r>
      <w:r>
        <w:rPr>
          <w:rFonts w:ascii="Times New Roman" w:hAnsi="Times New Roman" w:cs="Times New Roman"/>
          <w:sz w:val="28"/>
          <w:szCs w:val="28"/>
          <w:lang w:val="bg-BG"/>
        </w:rPr>
        <w:t>ул. Пека Попова 3, Карлово 4300</w:t>
      </w:r>
    </w:p>
    <w:p w14:paraId="28F32957" w14:textId="1C7AE85C" w:rsidR="00A84152" w:rsidRPr="006273A6" w:rsidRDefault="00A84152" w:rsidP="00A84152">
      <w:pPr>
        <w:rPr>
          <w:rFonts w:ascii="Times New Roman" w:hAnsi="Times New Roman" w:cs="Times New Roman"/>
          <w:sz w:val="24"/>
          <w:szCs w:val="24"/>
          <w:lang w:val="bg-BG"/>
        </w:rPr>
      </w:pPr>
      <w:r>
        <w:rPr>
          <w:rFonts w:ascii="Times New Roman" w:hAnsi="Times New Roman" w:cs="Times New Roman"/>
          <w:b/>
          <w:bCs/>
          <w:i/>
          <w:iCs/>
          <w:sz w:val="24"/>
          <w:szCs w:val="24"/>
          <w:lang w:val="bg-BG"/>
        </w:rPr>
        <w:t>Резюме:</w:t>
      </w:r>
      <w:r>
        <w:rPr>
          <w:rFonts w:ascii="Times New Roman" w:hAnsi="Times New Roman" w:cs="Times New Roman"/>
          <w:b/>
          <w:bCs/>
          <w:sz w:val="24"/>
          <w:szCs w:val="24"/>
          <w:lang w:val="bg-BG"/>
        </w:rPr>
        <w:t xml:space="preserve"> </w:t>
      </w:r>
      <w:r w:rsidR="006273A6">
        <w:rPr>
          <w:rFonts w:ascii="Times New Roman" w:hAnsi="Times New Roman" w:cs="Times New Roman"/>
          <w:sz w:val="24"/>
          <w:szCs w:val="24"/>
          <w:lang w:val="bg-BG"/>
        </w:rPr>
        <w:t xml:space="preserve">Настоящият доклад има за цел да онагледи ролята на евровалутата, обособена през 90-те години като колективна валута на Европейския съюз и прерогативите като инструмент за влияние и мека сила, която тя предоставя. Освен колективните икономически и външнополитически бонуси на еврото, ще бъде онагледена и конструктивна критика към културния бекграунд, който еврото капсулира.  </w:t>
      </w:r>
    </w:p>
    <w:p w14:paraId="1385C0F4" w14:textId="4065E6D1" w:rsidR="00A84152" w:rsidRPr="006273A6" w:rsidRDefault="00A84152" w:rsidP="00A84152">
      <w:pPr>
        <w:rPr>
          <w:rFonts w:ascii="Times New Roman" w:hAnsi="Times New Roman" w:cs="Times New Roman"/>
          <w:sz w:val="28"/>
          <w:szCs w:val="28"/>
        </w:rPr>
      </w:pPr>
      <w:r>
        <w:rPr>
          <w:rFonts w:ascii="Times New Roman" w:hAnsi="Times New Roman" w:cs="Times New Roman"/>
          <w:b/>
          <w:bCs/>
          <w:i/>
          <w:iCs/>
          <w:sz w:val="24"/>
          <w:szCs w:val="24"/>
          <w:lang w:val="bg-BG"/>
        </w:rPr>
        <w:t>Ключови думи:</w:t>
      </w:r>
      <w:r w:rsidR="006273A6">
        <w:rPr>
          <w:rFonts w:ascii="Times New Roman" w:hAnsi="Times New Roman" w:cs="Times New Roman"/>
          <w:b/>
          <w:bCs/>
          <w:i/>
          <w:iCs/>
          <w:sz w:val="24"/>
          <w:szCs w:val="24"/>
        </w:rPr>
        <w:t xml:space="preserve"> </w:t>
      </w:r>
      <w:r w:rsidR="006273A6">
        <w:rPr>
          <w:rFonts w:ascii="Times New Roman" w:hAnsi="Times New Roman" w:cs="Times New Roman"/>
          <w:sz w:val="24"/>
          <w:szCs w:val="24"/>
          <w:lang w:val="bg-BG"/>
        </w:rPr>
        <w:t>Европейски съюз, евро, мека сила, влияние</w:t>
      </w:r>
      <w:r w:rsidR="006273A6">
        <w:rPr>
          <w:rFonts w:ascii="Times New Roman" w:hAnsi="Times New Roman" w:cs="Times New Roman"/>
          <w:sz w:val="24"/>
          <w:szCs w:val="24"/>
        </w:rPr>
        <w:t>.</w:t>
      </w:r>
    </w:p>
    <w:p w14:paraId="0D481C06" w14:textId="34231B4D" w:rsidR="00A84152" w:rsidRDefault="00A84152" w:rsidP="00A84152">
      <w:pPr>
        <w:spacing w:line="240" w:lineRule="auto"/>
        <w:jc w:val="center"/>
        <w:rPr>
          <w:rFonts w:ascii="Times New Roman" w:hAnsi="Times New Roman" w:cs="Times New Roman"/>
          <w:sz w:val="28"/>
          <w:szCs w:val="28"/>
        </w:rPr>
      </w:pPr>
      <w:r>
        <w:rPr>
          <w:rFonts w:ascii="Times New Roman" w:hAnsi="Times New Roman" w:cs="Times New Roman"/>
          <w:b/>
          <w:bCs/>
          <w:sz w:val="32"/>
          <w:szCs w:val="32"/>
        </w:rPr>
        <w:t>THE EURO – CENTRAL SOFT POWER INSTRUMENT OF THE EUROPEAN UNION AND A MECHANISM FOR ECONOMIC INFLUENCE</w:t>
      </w:r>
      <w:r>
        <w:rPr>
          <w:rFonts w:ascii="Times New Roman" w:hAnsi="Times New Roman" w:cs="Times New Roman"/>
          <w:b/>
          <w:bCs/>
          <w:sz w:val="32"/>
          <w:szCs w:val="32"/>
        </w:rPr>
        <w:br/>
      </w:r>
      <w:r>
        <w:rPr>
          <w:rFonts w:ascii="Times New Roman" w:hAnsi="Times New Roman" w:cs="Times New Roman"/>
          <w:b/>
          <w:bCs/>
          <w:sz w:val="28"/>
          <w:szCs w:val="28"/>
        </w:rPr>
        <w:t>Damyan Hristov</w:t>
      </w:r>
      <w:r>
        <w:rPr>
          <w:rFonts w:ascii="Times New Roman" w:hAnsi="Times New Roman" w:cs="Times New Roman"/>
          <w:b/>
          <w:bCs/>
          <w:sz w:val="28"/>
          <w:szCs w:val="28"/>
        </w:rPr>
        <w:br/>
      </w:r>
      <w:r>
        <w:rPr>
          <w:rFonts w:ascii="Times New Roman" w:hAnsi="Times New Roman" w:cs="Times New Roman"/>
          <w:sz w:val="28"/>
          <w:szCs w:val="28"/>
        </w:rPr>
        <w:t>Sofia University “St. Kliment Ohridski”</w:t>
      </w:r>
      <w:r>
        <w:rPr>
          <w:rFonts w:ascii="Times New Roman" w:hAnsi="Times New Roman" w:cs="Times New Roman"/>
          <w:sz w:val="28"/>
          <w:szCs w:val="28"/>
        </w:rPr>
        <w:br/>
      </w:r>
      <w:hyperlink r:id="rId9" w:history="1">
        <w:r>
          <w:rPr>
            <w:rStyle w:val="Hyperlink"/>
            <w:rFonts w:ascii="Times New Roman" w:hAnsi="Times New Roman" w:cs="Times New Roman"/>
            <w:sz w:val="28"/>
            <w:szCs w:val="28"/>
          </w:rPr>
          <w:t>damyanhristov12@gmail.com</w:t>
        </w:r>
      </w:hyperlink>
      <w:r>
        <w:rPr>
          <w:rFonts w:ascii="Times New Roman" w:hAnsi="Times New Roman" w:cs="Times New Roman"/>
          <w:sz w:val="28"/>
          <w:szCs w:val="28"/>
        </w:rPr>
        <w:br/>
        <w:t>0887711479</w:t>
      </w:r>
    </w:p>
    <w:p w14:paraId="2267BB51" w14:textId="7FFA197D" w:rsidR="00A84152" w:rsidRPr="006273A6" w:rsidRDefault="00A84152" w:rsidP="00A84152">
      <w:pPr>
        <w:spacing w:line="240" w:lineRule="auto"/>
        <w:rPr>
          <w:rFonts w:ascii="Times New Roman" w:hAnsi="Times New Roman" w:cs="Times New Roman"/>
          <w:sz w:val="24"/>
          <w:szCs w:val="24"/>
        </w:rPr>
      </w:pPr>
      <w:r>
        <w:rPr>
          <w:rFonts w:ascii="Times New Roman" w:hAnsi="Times New Roman" w:cs="Times New Roman"/>
          <w:b/>
          <w:bCs/>
          <w:i/>
          <w:iCs/>
          <w:sz w:val="24"/>
          <w:szCs w:val="24"/>
        </w:rPr>
        <w:t>Abstract:</w:t>
      </w:r>
      <w:r>
        <w:rPr>
          <w:rFonts w:ascii="Times New Roman" w:hAnsi="Times New Roman" w:cs="Times New Roman"/>
          <w:b/>
          <w:bCs/>
          <w:i/>
          <w:iCs/>
          <w:sz w:val="24"/>
          <w:szCs w:val="24"/>
          <w:lang w:val="bg-BG"/>
        </w:rPr>
        <w:t xml:space="preserve"> </w:t>
      </w:r>
      <w:r w:rsidR="006273A6">
        <w:rPr>
          <w:rFonts w:ascii="Times New Roman" w:hAnsi="Times New Roman" w:cs="Times New Roman"/>
          <w:sz w:val="24"/>
          <w:szCs w:val="24"/>
        </w:rPr>
        <w:t xml:space="preserve">The aim of this report is to outline the development of the euro, conceived in the 1990’s as a collective currency of the European Union and its prerogatives as a soft power and influence instrument. As well as the collective economical and foreign policy and influence bonuses the euro offers, constructive criticism will be outlined, as to the cultural background, which the euro encapsulates. </w:t>
      </w:r>
    </w:p>
    <w:p w14:paraId="0089E18E" w14:textId="4BA19C87" w:rsidR="00A84152" w:rsidRPr="009A7D34" w:rsidRDefault="00A84152" w:rsidP="00A84152">
      <w:pPr>
        <w:spacing w:line="240" w:lineRule="auto"/>
        <w:rPr>
          <w:rFonts w:ascii="Times New Roman" w:hAnsi="Times New Roman" w:cs="Times New Roman"/>
          <w:sz w:val="24"/>
          <w:szCs w:val="24"/>
        </w:rPr>
      </w:pPr>
      <w:r>
        <w:rPr>
          <w:rFonts w:ascii="Times New Roman" w:hAnsi="Times New Roman" w:cs="Times New Roman"/>
          <w:b/>
          <w:bCs/>
          <w:i/>
          <w:iCs/>
          <w:sz w:val="24"/>
          <w:szCs w:val="24"/>
        </w:rPr>
        <w:t xml:space="preserve">Keywords: </w:t>
      </w:r>
      <w:r w:rsidR="009A7D34">
        <w:rPr>
          <w:rFonts w:ascii="Times New Roman" w:hAnsi="Times New Roman" w:cs="Times New Roman"/>
          <w:sz w:val="24"/>
          <w:szCs w:val="24"/>
        </w:rPr>
        <w:t xml:space="preserve">European Union, euro, soft power, influence. </w:t>
      </w:r>
    </w:p>
    <w:p w14:paraId="33753E3A" w14:textId="77777777" w:rsidR="00566D09" w:rsidRDefault="00566D09" w:rsidP="00BD624C">
      <w:pPr>
        <w:jc w:val="center"/>
        <w:rPr>
          <w:rFonts w:ascii="Times New Roman" w:eastAsia="Times New Roman" w:hAnsi="Times New Roman" w:cs="Times New Roman"/>
          <w:color w:val="555555"/>
          <w:kern w:val="0"/>
          <w:sz w:val="21"/>
          <w:szCs w:val="21"/>
          <w14:ligatures w14:val="none"/>
        </w:rPr>
      </w:pPr>
    </w:p>
    <w:p w14:paraId="2D567EFE" w14:textId="46335632" w:rsidR="008B27AA" w:rsidRDefault="008B27AA" w:rsidP="00566D09">
      <w:pPr>
        <w:rPr>
          <w:rFonts w:ascii="Times New Roman" w:hAnsi="Times New Roman" w:cs="Times New Roman"/>
          <w:sz w:val="28"/>
          <w:szCs w:val="28"/>
          <w:lang w:val="bg-BG"/>
        </w:rPr>
      </w:pPr>
      <w:r w:rsidRPr="00125AA4">
        <w:rPr>
          <w:rFonts w:ascii="Times New Roman" w:hAnsi="Times New Roman" w:cs="Times New Roman"/>
          <w:sz w:val="28"/>
          <w:szCs w:val="28"/>
          <w:lang w:val="bg-BG"/>
        </w:rPr>
        <w:t xml:space="preserve">Евровалутата е едно от най-големите постижения, постигнати в рамките на организацията ЕС. Еврото е една от основните валути в съвремието и е изключително важна в световната търговия. </w:t>
      </w:r>
      <w:r w:rsidR="00566D09">
        <w:rPr>
          <w:rFonts w:ascii="Times New Roman" w:hAnsi="Times New Roman" w:cs="Times New Roman"/>
          <w:sz w:val="28"/>
          <w:szCs w:val="28"/>
          <w:lang w:val="bg-BG"/>
        </w:rPr>
        <w:t xml:space="preserve">Европейският съюз е този наднационален съюз, гарантиращ правата на своите граждани и предлагащ място за спокоен живот, развитие и спазване на личните права. </w:t>
      </w:r>
    </w:p>
    <w:p w14:paraId="3A7EA776" w14:textId="77777777" w:rsidR="00566D09" w:rsidRDefault="00566D09" w:rsidP="00566D09">
      <w:pPr>
        <w:rPr>
          <w:rFonts w:ascii="Times New Roman" w:hAnsi="Times New Roman" w:cs="Times New Roman"/>
          <w:sz w:val="28"/>
          <w:szCs w:val="28"/>
          <w:lang w:val="bg-BG"/>
        </w:rPr>
      </w:pPr>
    </w:p>
    <w:p w14:paraId="20178AD1" w14:textId="77777777" w:rsidR="00566D09" w:rsidRPr="00125AA4" w:rsidRDefault="00566D09" w:rsidP="00BD624C">
      <w:pPr>
        <w:jc w:val="center"/>
        <w:rPr>
          <w:rFonts w:ascii="Times New Roman" w:eastAsia="Times New Roman" w:hAnsi="Times New Roman" w:cs="Times New Roman"/>
          <w:b/>
          <w:sz w:val="28"/>
          <w:szCs w:val="28"/>
          <w:lang w:val="bg-BG"/>
        </w:rPr>
      </w:pPr>
    </w:p>
    <w:p w14:paraId="7A17E9ED" w14:textId="4F623988" w:rsidR="00621962" w:rsidRPr="00125AA4" w:rsidRDefault="00621962" w:rsidP="00574250">
      <w:pPr>
        <w:pStyle w:val="ListParagraph"/>
        <w:numPr>
          <w:ilvl w:val="0"/>
          <w:numId w:val="1"/>
        </w:numPr>
        <w:rPr>
          <w:rFonts w:ascii="Times New Roman" w:hAnsi="Times New Roman" w:cs="Times New Roman"/>
          <w:sz w:val="28"/>
          <w:szCs w:val="28"/>
        </w:rPr>
      </w:pPr>
      <w:r w:rsidRPr="00125AA4">
        <w:rPr>
          <w:rFonts w:ascii="Times New Roman" w:hAnsi="Times New Roman" w:cs="Times New Roman"/>
          <w:sz w:val="28"/>
          <w:szCs w:val="28"/>
        </w:rPr>
        <w:lastRenderedPageBreak/>
        <w:t xml:space="preserve">Начала на евровалутата </w:t>
      </w:r>
    </w:p>
    <w:p w14:paraId="0645FE56" w14:textId="73A0C697" w:rsidR="008B27AA" w:rsidRPr="00125AA4" w:rsidRDefault="008B27AA" w:rsidP="008B27AA">
      <w:pPr>
        <w:rPr>
          <w:rFonts w:ascii="Times New Roman" w:hAnsi="Times New Roman" w:cs="Times New Roman"/>
          <w:sz w:val="28"/>
          <w:szCs w:val="28"/>
          <w:lang w:val="bg-BG"/>
        </w:rPr>
      </w:pPr>
      <w:r w:rsidRPr="00125AA4">
        <w:rPr>
          <w:rFonts w:ascii="Times New Roman" w:hAnsi="Times New Roman" w:cs="Times New Roman"/>
          <w:sz w:val="28"/>
          <w:szCs w:val="28"/>
          <w:lang w:val="bg-BG"/>
        </w:rPr>
        <w:t xml:space="preserve">Евровалутата води своите начала от задълбочаването на интеграцията между страните в рамките на ЕС. Това, което започва като Европейската Общност за Въглища и Стомана, както и Европейската икономическа общност, постепенно се развива и страните в рамките на тези организации виждат, че колективните координирани действия, търговия, сплотеност и кооперация са ключови за развитието на сломения от войни континент. Задълбочаването на интеграцията между страните постепенно води до идеята за единен пазар. Първоначално идеята за единен пазар се бави, тъй като институциите на ЕС още не са се развили по начина, по който ги познаваме в съвремието и се наблюдава липса на структура с централен характер, която може да взема решения. </w:t>
      </w:r>
      <w:r w:rsidR="002E1CEE" w:rsidRPr="00125AA4">
        <w:rPr>
          <w:rFonts w:ascii="Times New Roman" w:hAnsi="Times New Roman" w:cs="Times New Roman"/>
          <w:sz w:val="28"/>
          <w:szCs w:val="28"/>
          <w:lang w:val="bg-BG"/>
        </w:rPr>
        <w:t xml:space="preserve">Единият от основните пропоненти както на единния пазар, така и на евровалутата е Жак Делор. </w:t>
      </w:r>
      <w:r w:rsidRPr="00125AA4">
        <w:rPr>
          <w:rFonts w:ascii="Times New Roman" w:hAnsi="Times New Roman" w:cs="Times New Roman"/>
          <w:sz w:val="28"/>
          <w:szCs w:val="28"/>
          <w:lang w:val="bg-BG"/>
        </w:rPr>
        <w:t xml:space="preserve"> </w:t>
      </w:r>
    </w:p>
    <w:p w14:paraId="0503E34A" w14:textId="5EE917B6" w:rsidR="007B5986" w:rsidRPr="00125AA4" w:rsidRDefault="007B5986" w:rsidP="008B27AA">
      <w:pPr>
        <w:rPr>
          <w:rFonts w:ascii="Times New Roman" w:hAnsi="Times New Roman" w:cs="Times New Roman"/>
          <w:sz w:val="28"/>
          <w:szCs w:val="28"/>
          <w:lang w:val="bg-BG"/>
        </w:rPr>
      </w:pPr>
      <w:r w:rsidRPr="00125AA4">
        <w:rPr>
          <w:rFonts w:ascii="Times New Roman" w:hAnsi="Times New Roman" w:cs="Times New Roman"/>
          <w:sz w:val="28"/>
          <w:szCs w:val="28"/>
          <w:lang w:val="bg-BG"/>
        </w:rPr>
        <w:t>Достигането до идеята за свободен обмен на стоки, услуги, капитали и хора е бележита и в икономическите рамки на ЕС</w:t>
      </w:r>
      <w:r w:rsidR="002A71CD" w:rsidRPr="00125AA4">
        <w:rPr>
          <w:rFonts w:ascii="Times New Roman" w:hAnsi="Times New Roman" w:cs="Times New Roman"/>
          <w:sz w:val="28"/>
          <w:szCs w:val="28"/>
        </w:rPr>
        <w:t xml:space="preserve"> </w:t>
      </w:r>
      <w:r w:rsidR="002A71CD" w:rsidRPr="00125AA4">
        <w:rPr>
          <w:rFonts w:ascii="Times New Roman" w:hAnsi="Times New Roman" w:cs="Times New Roman"/>
          <w:sz w:val="28"/>
          <w:szCs w:val="28"/>
          <w:lang w:val="bg-BG"/>
        </w:rPr>
        <w:t>носи гарантирани позитиви, но се достига и до идеята, че без общ валутен съюз</w:t>
      </w:r>
      <w:r w:rsidR="00624D5A" w:rsidRPr="00125AA4">
        <w:rPr>
          <w:rFonts w:ascii="Times New Roman" w:hAnsi="Times New Roman" w:cs="Times New Roman"/>
          <w:sz w:val="28"/>
          <w:szCs w:val="28"/>
          <w:lang w:val="bg-BG"/>
        </w:rPr>
        <w:t xml:space="preserve"> потенциалните позитиви като политическа сила в международните отношения, повишаване на общото икономическо развитие, социално благополучие би било трудно да се постигнат. </w:t>
      </w:r>
    </w:p>
    <w:p w14:paraId="2F3F7783" w14:textId="7CB3F69C" w:rsidR="00624D5A" w:rsidRPr="00125AA4" w:rsidRDefault="00B7182E" w:rsidP="008B27AA">
      <w:pPr>
        <w:rPr>
          <w:rFonts w:ascii="Times New Roman" w:hAnsi="Times New Roman" w:cs="Times New Roman"/>
          <w:sz w:val="28"/>
          <w:szCs w:val="28"/>
          <w:lang w:val="bg-BG"/>
        </w:rPr>
      </w:pPr>
      <w:r w:rsidRPr="00125AA4">
        <w:rPr>
          <w:rFonts w:ascii="Times New Roman" w:hAnsi="Times New Roman" w:cs="Times New Roman"/>
          <w:sz w:val="28"/>
          <w:szCs w:val="28"/>
          <w:lang w:val="bg-BG"/>
        </w:rPr>
        <w:t>През 1989</w:t>
      </w:r>
      <w:r w:rsidR="00916CA1" w:rsidRPr="00125AA4">
        <w:rPr>
          <w:rFonts w:ascii="Times New Roman" w:hAnsi="Times New Roman" w:cs="Times New Roman"/>
          <w:sz w:val="28"/>
          <w:szCs w:val="28"/>
        </w:rPr>
        <w:t xml:space="preserve"> </w:t>
      </w:r>
      <w:r w:rsidR="00916CA1" w:rsidRPr="00125AA4">
        <w:rPr>
          <w:rFonts w:ascii="Times New Roman" w:hAnsi="Times New Roman" w:cs="Times New Roman"/>
          <w:sz w:val="28"/>
          <w:szCs w:val="28"/>
          <w:lang w:val="bg-BG"/>
        </w:rPr>
        <w:t>г.</w:t>
      </w:r>
      <w:r w:rsidRPr="00125AA4">
        <w:rPr>
          <w:rFonts w:ascii="Times New Roman" w:hAnsi="Times New Roman" w:cs="Times New Roman"/>
          <w:sz w:val="28"/>
          <w:szCs w:val="28"/>
          <w:lang w:val="bg-BG"/>
        </w:rPr>
        <w:t xml:space="preserve"> е представен докладът Делор</w:t>
      </w:r>
      <w:r w:rsidRPr="00125AA4">
        <w:rPr>
          <w:rStyle w:val="FootnoteReference"/>
          <w:rFonts w:ascii="Times New Roman" w:hAnsi="Times New Roman" w:cs="Times New Roman"/>
          <w:sz w:val="28"/>
          <w:szCs w:val="28"/>
          <w:lang w:val="bg-BG"/>
        </w:rPr>
        <w:footnoteReference w:id="1"/>
      </w:r>
      <w:r w:rsidRPr="00125AA4">
        <w:rPr>
          <w:rFonts w:ascii="Times New Roman" w:hAnsi="Times New Roman" w:cs="Times New Roman"/>
          <w:sz w:val="28"/>
          <w:szCs w:val="28"/>
          <w:lang w:val="bg-BG"/>
        </w:rPr>
        <w:t xml:space="preserve">, в който систематизирано е описан начина за въвеждането на единната европейска валута, наречена евро, в няколко фази. </w:t>
      </w:r>
    </w:p>
    <w:p w14:paraId="5A4DE076" w14:textId="2233AB2A" w:rsidR="00624D5A" w:rsidRPr="00125AA4" w:rsidRDefault="00B7182E" w:rsidP="008B27AA">
      <w:pPr>
        <w:rPr>
          <w:rFonts w:ascii="Times New Roman" w:hAnsi="Times New Roman" w:cs="Times New Roman"/>
          <w:sz w:val="28"/>
          <w:szCs w:val="28"/>
          <w:lang w:val="bg-BG"/>
        </w:rPr>
      </w:pPr>
      <w:r w:rsidRPr="00125AA4">
        <w:rPr>
          <w:rFonts w:ascii="Times New Roman" w:hAnsi="Times New Roman" w:cs="Times New Roman"/>
          <w:sz w:val="28"/>
          <w:szCs w:val="28"/>
          <w:lang w:val="bg-BG"/>
        </w:rPr>
        <w:t>Още първата фаза (1990-1993), включва подписването на Маастрихтския договор, който формализира идеята за единната европейска валута и я поставя за обективна цел в интеграцията между държавите от ЕС, като тук се включват и маастрихтските критериии за конвергенция</w:t>
      </w:r>
      <w:r w:rsidR="002511F2" w:rsidRPr="00125AA4">
        <w:rPr>
          <w:rFonts w:ascii="Times New Roman" w:hAnsi="Times New Roman" w:cs="Times New Roman"/>
          <w:sz w:val="28"/>
          <w:szCs w:val="28"/>
          <w:lang w:val="bg-BG"/>
        </w:rPr>
        <w:t xml:space="preserve">, засягащи ключови икономически показатели, касаещи валутата. </w:t>
      </w:r>
    </w:p>
    <w:p w14:paraId="333A248E" w14:textId="728A74EB" w:rsidR="002511F2" w:rsidRPr="00125AA4" w:rsidRDefault="00AB2524" w:rsidP="008B27AA">
      <w:pPr>
        <w:rPr>
          <w:rFonts w:ascii="Times New Roman" w:hAnsi="Times New Roman" w:cs="Times New Roman"/>
          <w:sz w:val="28"/>
          <w:szCs w:val="28"/>
          <w:lang w:val="bg-BG"/>
        </w:rPr>
      </w:pPr>
      <w:r w:rsidRPr="00125AA4">
        <w:rPr>
          <w:rFonts w:ascii="Times New Roman" w:hAnsi="Times New Roman" w:cs="Times New Roman"/>
          <w:sz w:val="28"/>
          <w:szCs w:val="28"/>
          <w:lang w:val="bg-BG"/>
        </w:rPr>
        <w:t>През втората фаза (1994-1998) се създава Европейския монетарен институт, по-късно превърнал се в Европейската Централна Банка (ЕЦБ), приема се пакта за стабилност и растеж и се въвеждат транзитни периоди към новата валута.</w:t>
      </w:r>
    </w:p>
    <w:p w14:paraId="0FFF7886" w14:textId="5256FE91" w:rsidR="00624D5A" w:rsidRPr="00125AA4" w:rsidRDefault="00AB2524" w:rsidP="008B27AA">
      <w:pPr>
        <w:rPr>
          <w:rFonts w:ascii="Times New Roman" w:hAnsi="Times New Roman" w:cs="Times New Roman"/>
          <w:sz w:val="28"/>
          <w:szCs w:val="28"/>
          <w:lang w:val="bg-BG"/>
        </w:rPr>
      </w:pPr>
      <w:r w:rsidRPr="00125AA4">
        <w:rPr>
          <w:rFonts w:ascii="Times New Roman" w:hAnsi="Times New Roman" w:cs="Times New Roman"/>
          <w:sz w:val="28"/>
          <w:szCs w:val="28"/>
          <w:lang w:val="bg-BG"/>
        </w:rPr>
        <w:lastRenderedPageBreak/>
        <w:t>Продължаващата и до настоящия момент трета фаза еврото вече е реална конвертируема валута, която се разширява все-повече и включва все-повече държави.</w:t>
      </w:r>
    </w:p>
    <w:p w14:paraId="6E70F38A" w14:textId="77777777" w:rsidR="008743EF" w:rsidRPr="00125AA4" w:rsidRDefault="008743EF" w:rsidP="008B27AA">
      <w:pPr>
        <w:rPr>
          <w:rFonts w:ascii="Times New Roman" w:hAnsi="Times New Roman" w:cs="Times New Roman"/>
          <w:sz w:val="28"/>
          <w:szCs w:val="28"/>
          <w:lang w:val="bg-BG"/>
        </w:rPr>
      </w:pPr>
    </w:p>
    <w:p w14:paraId="0B23B4D3" w14:textId="3EE9829B" w:rsidR="00621962" w:rsidRPr="00125AA4" w:rsidRDefault="00621962" w:rsidP="00621962">
      <w:pPr>
        <w:pStyle w:val="ListParagraph"/>
        <w:numPr>
          <w:ilvl w:val="0"/>
          <w:numId w:val="1"/>
        </w:numPr>
        <w:rPr>
          <w:rFonts w:ascii="Times New Roman" w:hAnsi="Times New Roman" w:cs="Times New Roman"/>
          <w:sz w:val="28"/>
          <w:szCs w:val="28"/>
        </w:rPr>
      </w:pPr>
      <w:r w:rsidRPr="00125AA4">
        <w:rPr>
          <w:rFonts w:ascii="Times New Roman" w:hAnsi="Times New Roman" w:cs="Times New Roman"/>
          <w:sz w:val="28"/>
          <w:szCs w:val="28"/>
        </w:rPr>
        <w:t xml:space="preserve">Геополитическото влияние на ЕС </w:t>
      </w:r>
    </w:p>
    <w:p w14:paraId="1F4440D0" w14:textId="55FF5930" w:rsidR="007C35D4" w:rsidRPr="00125AA4" w:rsidRDefault="007C35D4" w:rsidP="007C35D4">
      <w:pPr>
        <w:rPr>
          <w:rFonts w:ascii="Times New Roman" w:hAnsi="Times New Roman" w:cs="Times New Roman"/>
          <w:sz w:val="28"/>
          <w:szCs w:val="28"/>
          <w:lang w:val="bg-BG"/>
        </w:rPr>
      </w:pPr>
      <w:r w:rsidRPr="00125AA4">
        <w:rPr>
          <w:rFonts w:ascii="Times New Roman" w:hAnsi="Times New Roman" w:cs="Times New Roman"/>
          <w:sz w:val="28"/>
          <w:szCs w:val="28"/>
          <w:lang w:val="bg-BG"/>
        </w:rPr>
        <w:t xml:space="preserve">Евровалутата и деловете, които тя представлява в аспектите на световната търговия са обаче само част от влиянието, което ЕС може да упражни посредством мека и не толкова посредством твърда сила. </w:t>
      </w:r>
    </w:p>
    <w:p w14:paraId="400D5809" w14:textId="72A47D6E" w:rsidR="007C35D4" w:rsidRPr="00125AA4" w:rsidRDefault="007C35D4" w:rsidP="007C35D4">
      <w:pPr>
        <w:rPr>
          <w:rFonts w:ascii="Times New Roman" w:hAnsi="Times New Roman" w:cs="Times New Roman"/>
          <w:sz w:val="28"/>
          <w:szCs w:val="28"/>
          <w:lang w:val="bg-BG"/>
        </w:rPr>
      </w:pPr>
      <w:r w:rsidRPr="00125AA4">
        <w:rPr>
          <w:rFonts w:ascii="Times New Roman" w:hAnsi="Times New Roman" w:cs="Times New Roman"/>
          <w:sz w:val="28"/>
          <w:szCs w:val="28"/>
          <w:lang w:val="bg-BG"/>
        </w:rPr>
        <w:t>Геополитическото влияние на ЕС извън икономиката, с която разполага е ограничено. ЕС няма единна армия, както и бюджета на Европейската комисия, която е фактически централния орган за вземане на решения в ЕС,</w:t>
      </w:r>
      <w:r w:rsidR="006D7CBC">
        <w:rPr>
          <w:rFonts w:ascii="Times New Roman" w:hAnsi="Times New Roman" w:cs="Times New Roman"/>
          <w:sz w:val="28"/>
          <w:szCs w:val="28"/>
          <w:lang w:val="bg-BG"/>
        </w:rPr>
        <w:t xml:space="preserve"> е около</w:t>
      </w:r>
      <w:r w:rsidRPr="00125AA4">
        <w:rPr>
          <w:rFonts w:ascii="Times New Roman" w:hAnsi="Times New Roman" w:cs="Times New Roman"/>
          <w:sz w:val="28"/>
          <w:szCs w:val="28"/>
          <w:lang w:val="bg-BG"/>
        </w:rPr>
        <w:t xml:space="preserve"> 2% от БВП на ЕС. </w:t>
      </w:r>
    </w:p>
    <w:p w14:paraId="7F1E833A" w14:textId="7E2D6393" w:rsidR="007726C6" w:rsidRPr="00125AA4" w:rsidRDefault="007726C6" w:rsidP="007C35D4">
      <w:pPr>
        <w:rPr>
          <w:rFonts w:ascii="Times New Roman" w:hAnsi="Times New Roman" w:cs="Times New Roman"/>
          <w:sz w:val="28"/>
          <w:szCs w:val="28"/>
          <w:lang w:val="bg-BG"/>
        </w:rPr>
      </w:pPr>
      <w:r w:rsidRPr="00125AA4">
        <w:rPr>
          <w:rFonts w:ascii="Times New Roman" w:hAnsi="Times New Roman" w:cs="Times New Roman"/>
          <w:sz w:val="28"/>
          <w:szCs w:val="28"/>
          <w:lang w:val="bg-BG"/>
        </w:rPr>
        <w:t xml:space="preserve">Еврото обаче, в контекста на създалия се след края на студената война еднополюсен модел се превръща във втора резервна валута и комфортно поддържа тази роля до съвремието. </w:t>
      </w:r>
      <w:r w:rsidR="003523B3" w:rsidRPr="00125AA4">
        <w:rPr>
          <w:rFonts w:ascii="Times New Roman" w:hAnsi="Times New Roman" w:cs="Times New Roman"/>
          <w:sz w:val="28"/>
          <w:szCs w:val="28"/>
          <w:lang w:val="bg-BG"/>
        </w:rPr>
        <w:t xml:space="preserve">Към настоящият момент Европейския съюз не само се разширява, а и разширява своето фискално влияние в страните, които членуват. Европейският съюз също се очертава с една висока прозрачност на институциите, които го конституират, както и един огромен пазар, в който всяка една държава в света би взела участие при наличие на възможност. </w:t>
      </w:r>
    </w:p>
    <w:p w14:paraId="2E51EAC0" w14:textId="5EF5CBDF" w:rsidR="003523B3" w:rsidRPr="00125AA4" w:rsidRDefault="003523B3" w:rsidP="007C35D4">
      <w:pPr>
        <w:rPr>
          <w:rFonts w:ascii="Times New Roman" w:hAnsi="Times New Roman" w:cs="Times New Roman"/>
          <w:sz w:val="28"/>
          <w:szCs w:val="28"/>
          <w:lang w:val="bg-BG"/>
        </w:rPr>
      </w:pPr>
      <w:r w:rsidRPr="00125AA4">
        <w:rPr>
          <w:rFonts w:ascii="Times New Roman" w:hAnsi="Times New Roman" w:cs="Times New Roman"/>
          <w:sz w:val="28"/>
          <w:szCs w:val="28"/>
          <w:lang w:val="bg-BG"/>
        </w:rPr>
        <w:t>Отстояването на т</w:t>
      </w:r>
      <w:r w:rsidR="00DE0269" w:rsidRPr="00125AA4">
        <w:rPr>
          <w:rFonts w:ascii="Times New Roman" w:hAnsi="Times New Roman" w:cs="Times New Roman"/>
          <w:sz w:val="28"/>
          <w:szCs w:val="28"/>
          <w:lang w:val="bg-BG"/>
        </w:rPr>
        <w:t xml:space="preserve">ова статукво обаче изисква ясни политически действия и воля в настоящия променлив геополитически ред. </w:t>
      </w:r>
      <w:r w:rsidR="00B96477" w:rsidRPr="00125AA4">
        <w:rPr>
          <w:rFonts w:ascii="Times New Roman" w:hAnsi="Times New Roman" w:cs="Times New Roman"/>
          <w:sz w:val="28"/>
          <w:szCs w:val="28"/>
          <w:lang w:val="bg-BG"/>
        </w:rPr>
        <w:t xml:space="preserve">За запазване на геополитическите си </w:t>
      </w:r>
      <w:r w:rsidR="00991CBF" w:rsidRPr="00125AA4">
        <w:rPr>
          <w:rFonts w:ascii="Times New Roman" w:hAnsi="Times New Roman" w:cs="Times New Roman"/>
          <w:sz w:val="28"/>
          <w:szCs w:val="28"/>
          <w:lang w:val="bg-BG"/>
        </w:rPr>
        <w:t xml:space="preserve">позитиви е нужно да бъдат налице няколко основни фактора: </w:t>
      </w:r>
    </w:p>
    <w:p w14:paraId="169B18AF" w14:textId="27EB37E7" w:rsidR="00991CBF" w:rsidRPr="00566D09" w:rsidRDefault="00991CBF" w:rsidP="00991CBF">
      <w:pPr>
        <w:pStyle w:val="ListParagraph"/>
        <w:numPr>
          <w:ilvl w:val="0"/>
          <w:numId w:val="2"/>
        </w:numPr>
        <w:rPr>
          <w:rFonts w:ascii="Times New Roman" w:hAnsi="Times New Roman" w:cs="Times New Roman"/>
          <w:sz w:val="28"/>
          <w:szCs w:val="28"/>
          <w:lang w:val="bg-BG"/>
        </w:rPr>
      </w:pPr>
      <w:r w:rsidRPr="00125AA4">
        <w:rPr>
          <w:rFonts w:ascii="Times New Roman" w:hAnsi="Times New Roman" w:cs="Times New Roman"/>
          <w:sz w:val="28"/>
          <w:szCs w:val="28"/>
          <w:lang w:val="bg-BG"/>
        </w:rPr>
        <w:t>Силен свободен пазар, генериращ финансова независимост, стабилност и икономически растеж</w:t>
      </w:r>
    </w:p>
    <w:p w14:paraId="68946C59" w14:textId="77777777" w:rsidR="00566D09" w:rsidRPr="00125AA4" w:rsidRDefault="00566D09" w:rsidP="00566D09">
      <w:pPr>
        <w:pStyle w:val="ListParagraph"/>
        <w:rPr>
          <w:rFonts w:ascii="Times New Roman" w:hAnsi="Times New Roman" w:cs="Times New Roman"/>
          <w:sz w:val="28"/>
          <w:szCs w:val="28"/>
          <w:lang w:val="bg-BG"/>
        </w:rPr>
      </w:pPr>
    </w:p>
    <w:p w14:paraId="481EB396" w14:textId="02F017A7" w:rsidR="0022593E" w:rsidRPr="00125AA4" w:rsidRDefault="0022593E" w:rsidP="0022593E">
      <w:pPr>
        <w:rPr>
          <w:rFonts w:ascii="Times New Roman" w:hAnsi="Times New Roman" w:cs="Times New Roman"/>
          <w:sz w:val="28"/>
          <w:szCs w:val="28"/>
          <w:lang w:val="bg-BG"/>
        </w:rPr>
      </w:pPr>
      <w:r w:rsidRPr="00125AA4">
        <w:rPr>
          <w:rFonts w:ascii="Times New Roman" w:hAnsi="Times New Roman" w:cs="Times New Roman"/>
          <w:sz w:val="28"/>
          <w:szCs w:val="28"/>
          <w:lang w:val="bg-BG"/>
        </w:rPr>
        <w:t>Факторите</w:t>
      </w:r>
      <w:r w:rsidRPr="00125AA4">
        <w:rPr>
          <w:rStyle w:val="FootnoteReference"/>
          <w:rFonts w:ascii="Times New Roman" w:hAnsi="Times New Roman" w:cs="Times New Roman"/>
          <w:sz w:val="28"/>
          <w:szCs w:val="28"/>
          <w:lang w:val="bg-BG"/>
        </w:rPr>
        <w:footnoteReference w:id="2"/>
      </w:r>
      <w:r w:rsidRPr="00125AA4">
        <w:rPr>
          <w:rFonts w:ascii="Times New Roman" w:hAnsi="Times New Roman" w:cs="Times New Roman"/>
          <w:sz w:val="28"/>
          <w:szCs w:val="28"/>
          <w:lang w:val="bg-BG"/>
        </w:rPr>
        <w:t>, които</w:t>
      </w:r>
      <w:r w:rsidR="00E438B8" w:rsidRPr="00125AA4">
        <w:rPr>
          <w:rFonts w:ascii="Times New Roman" w:hAnsi="Times New Roman" w:cs="Times New Roman"/>
          <w:sz w:val="28"/>
          <w:szCs w:val="28"/>
          <w:lang w:val="bg-BG"/>
        </w:rPr>
        <w:t xml:space="preserve"> оказват влияние</w:t>
      </w:r>
      <w:r w:rsidRPr="00125AA4">
        <w:rPr>
          <w:rFonts w:ascii="Times New Roman" w:hAnsi="Times New Roman" w:cs="Times New Roman"/>
          <w:sz w:val="28"/>
          <w:szCs w:val="28"/>
          <w:lang w:val="bg-BG"/>
        </w:rPr>
        <w:t xml:space="preserve"> за развитие</w:t>
      </w:r>
      <w:r w:rsidR="00E438B8" w:rsidRPr="00125AA4">
        <w:rPr>
          <w:rFonts w:ascii="Times New Roman" w:hAnsi="Times New Roman" w:cs="Times New Roman"/>
          <w:sz w:val="28"/>
          <w:szCs w:val="28"/>
          <w:lang w:val="bg-BG"/>
        </w:rPr>
        <w:t>то</w:t>
      </w:r>
      <w:r w:rsidRPr="00125AA4">
        <w:rPr>
          <w:rFonts w:ascii="Times New Roman" w:hAnsi="Times New Roman" w:cs="Times New Roman"/>
          <w:sz w:val="28"/>
          <w:szCs w:val="28"/>
          <w:lang w:val="bg-BG"/>
        </w:rPr>
        <w:t xml:space="preserve"> на европейската икономика</w:t>
      </w:r>
      <w:r w:rsidR="00E438B8" w:rsidRPr="00125AA4">
        <w:rPr>
          <w:rFonts w:ascii="Times New Roman" w:hAnsi="Times New Roman" w:cs="Times New Roman"/>
          <w:sz w:val="28"/>
          <w:szCs w:val="28"/>
          <w:lang w:val="bg-BG"/>
        </w:rPr>
        <w:t>, включително до съвремието,</w:t>
      </w:r>
      <w:r w:rsidRPr="00125AA4">
        <w:rPr>
          <w:rFonts w:ascii="Times New Roman" w:hAnsi="Times New Roman" w:cs="Times New Roman"/>
          <w:sz w:val="28"/>
          <w:szCs w:val="28"/>
          <w:lang w:val="bg-BG"/>
        </w:rPr>
        <w:t xml:space="preserve"> са няколко:</w:t>
      </w:r>
    </w:p>
    <w:p w14:paraId="4E17B7DA" w14:textId="6227A807" w:rsidR="0022593E" w:rsidRPr="00125AA4" w:rsidRDefault="0022593E" w:rsidP="0022593E">
      <w:pPr>
        <w:pStyle w:val="ListParagraph"/>
        <w:numPr>
          <w:ilvl w:val="0"/>
          <w:numId w:val="6"/>
        </w:numPr>
        <w:rPr>
          <w:rFonts w:ascii="Times New Roman" w:hAnsi="Times New Roman" w:cs="Times New Roman"/>
          <w:sz w:val="28"/>
          <w:szCs w:val="28"/>
          <w:lang w:val="bg-BG"/>
        </w:rPr>
      </w:pPr>
      <w:r w:rsidRPr="00125AA4">
        <w:rPr>
          <w:rFonts w:ascii="Times New Roman" w:hAnsi="Times New Roman" w:cs="Times New Roman"/>
          <w:sz w:val="28"/>
          <w:szCs w:val="28"/>
          <w:lang w:val="bg-BG"/>
        </w:rPr>
        <w:t>Развитието на информационно-комуникационните системи</w:t>
      </w:r>
    </w:p>
    <w:p w14:paraId="2665FE6B" w14:textId="414495AD" w:rsidR="0022593E" w:rsidRPr="00125AA4" w:rsidRDefault="0022593E" w:rsidP="0022593E">
      <w:pPr>
        <w:pStyle w:val="ListParagraph"/>
        <w:numPr>
          <w:ilvl w:val="0"/>
          <w:numId w:val="6"/>
        </w:numPr>
        <w:rPr>
          <w:rFonts w:ascii="Times New Roman" w:hAnsi="Times New Roman" w:cs="Times New Roman"/>
          <w:sz w:val="28"/>
          <w:szCs w:val="28"/>
          <w:lang w:val="bg-BG"/>
        </w:rPr>
      </w:pPr>
      <w:r w:rsidRPr="00125AA4">
        <w:rPr>
          <w:rFonts w:ascii="Times New Roman" w:hAnsi="Times New Roman" w:cs="Times New Roman"/>
          <w:sz w:val="28"/>
          <w:szCs w:val="28"/>
          <w:lang w:val="bg-BG"/>
        </w:rPr>
        <w:t>Структурни промени в европейските икономики</w:t>
      </w:r>
    </w:p>
    <w:p w14:paraId="7F2EED3A" w14:textId="2E1CD187" w:rsidR="0022593E" w:rsidRPr="00125AA4" w:rsidRDefault="0022593E" w:rsidP="0022593E">
      <w:pPr>
        <w:pStyle w:val="ListParagraph"/>
        <w:numPr>
          <w:ilvl w:val="0"/>
          <w:numId w:val="6"/>
        </w:numPr>
        <w:rPr>
          <w:rFonts w:ascii="Times New Roman" w:hAnsi="Times New Roman" w:cs="Times New Roman"/>
          <w:sz w:val="28"/>
          <w:szCs w:val="28"/>
          <w:lang w:val="bg-BG"/>
        </w:rPr>
      </w:pPr>
      <w:r w:rsidRPr="00125AA4">
        <w:rPr>
          <w:rFonts w:ascii="Times New Roman" w:hAnsi="Times New Roman" w:cs="Times New Roman"/>
          <w:sz w:val="28"/>
          <w:szCs w:val="28"/>
          <w:lang w:val="bg-BG"/>
        </w:rPr>
        <w:lastRenderedPageBreak/>
        <w:t xml:space="preserve">Единния европейски пазар, конституиран от Единния Европейски Акт </w:t>
      </w:r>
    </w:p>
    <w:p w14:paraId="229F04CE" w14:textId="13BBD268" w:rsidR="0022593E" w:rsidRPr="00125AA4" w:rsidRDefault="0022593E" w:rsidP="0022593E">
      <w:pPr>
        <w:pStyle w:val="ListParagraph"/>
        <w:numPr>
          <w:ilvl w:val="0"/>
          <w:numId w:val="6"/>
        </w:numPr>
        <w:rPr>
          <w:rFonts w:ascii="Times New Roman" w:hAnsi="Times New Roman" w:cs="Times New Roman"/>
          <w:sz w:val="28"/>
          <w:szCs w:val="28"/>
          <w:lang w:val="bg-BG"/>
        </w:rPr>
      </w:pPr>
      <w:r w:rsidRPr="00125AA4">
        <w:rPr>
          <w:rFonts w:ascii="Times New Roman" w:hAnsi="Times New Roman" w:cs="Times New Roman"/>
          <w:sz w:val="28"/>
          <w:szCs w:val="28"/>
          <w:lang w:val="bg-BG"/>
        </w:rPr>
        <w:t xml:space="preserve">Макроикономически политики, насочени към развитието на </w:t>
      </w:r>
      <w:r w:rsidRPr="00125AA4">
        <w:rPr>
          <w:rFonts w:ascii="Times New Roman" w:hAnsi="Times New Roman" w:cs="Times New Roman"/>
          <w:sz w:val="28"/>
          <w:szCs w:val="28"/>
        </w:rPr>
        <w:t xml:space="preserve">EMU (Economic and Monetary Union) – </w:t>
      </w:r>
      <w:r w:rsidRPr="00125AA4">
        <w:rPr>
          <w:rFonts w:ascii="Times New Roman" w:hAnsi="Times New Roman" w:cs="Times New Roman"/>
          <w:sz w:val="28"/>
          <w:szCs w:val="28"/>
          <w:lang w:val="bg-BG"/>
        </w:rPr>
        <w:t xml:space="preserve">единния валутен съюз – </w:t>
      </w:r>
      <w:r w:rsidRPr="00125AA4">
        <w:rPr>
          <w:rFonts w:ascii="Times New Roman" w:hAnsi="Times New Roman" w:cs="Times New Roman"/>
          <w:i/>
          <w:iCs/>
          <w:sz w:val="28"/>
          <w:szCs w:val="28"/>
          <w:lang w:val="bg-BG"/>
        </w:rPr>
        <w:t>еврото</w:t>
      </w:r>
    </w:p>
    <w:p w14:paraId="2783A025" w14:textId="22704EB0" w:rsidR="0022593E" w:rsidRPr="00125AA4" w:rsidRDefault="0022593E" w:rsidP="0022593E">
      <w:pPr>
        <w:pStyle w:val="ListParagraph"/>
        <w:numPr>
          <w:ilvl w:val="0"/>
          <w:numId w:val="6"/>
        </w:numPr>
        <w:rPr>
          <w:rFonts w:ascii="Times New Roman" w:hAnsi="Times New Roman" w:cs="Times New Roman"/>
          <w:sz w:val="28"/>
          <w:szCs w:val="28"/>
          <w:lang w:val="bg-BG"/>
        </w:rPr>
      </w:pPr>
      <w:r w:rsidRPr="00125AA4">
        <w:rPr>
          <w:rFonts w:ascii="Times New Roman" w:hAnsi="Times New Roman" w:cs="Times New Roman"/>
          <w:sz w:val="28"/>
          <w:szCs w:val="28"/>
          <w:lang w:val="bg-BG"/>
        </w:rPr>
        <w:t xml:space="preserve">Физическото въвеждане на еврото и ефектите на общата фискална политика на страните </w:t>
      </w:r>
    </w:p>
    <w:p w14:paraId="4987867C" w14:textId="06B5FCCB" w:rsidR="0022593E" w:rsidRPr="00125AA4" w:rsidRDefault="0022593E" w:rsidP="0022593E">
      <w:pPr>
        <w:pStyle w:val="ListParagraph"/>
        <w:numPr>
          <w:ilvl w:val="0"/>
          <w:numId w:val="6"/>
        </w:numPr>
        <w:rPr>
          <w:rFonts w:ascii="Times New Roman" w:hAnsi="Times New Roman" w:cs="Times New Roman"/>
          <w:sz w:val="28"/>
          <w:szCs w:val="28"/>
          <w:lang w:val="bg-BG"/>
        </w:rPr>
      </w:pPr>
      <w:r w:rsidRPr="00125AA4">
        <w:rPr>
          <w:rFonts w:ascii="Times New Roman" w:hAnsi="Times New Roman" w:cs="Times New Roman"/>
          <w:sz w:val="28"/>
          <w:szCs w:val="28"/>
          <w:lang w:val="bg-BG"/>
        </w:rPr>
        <w:t>Фискалната криза на стоковата борса в Ню Йорк от 2001 и световната дългова криза от 2008</w:t>
      </w:r>
      <w:r w:rsidR="00E438B8" w:rsidRPr="00125AA4">
        <w:rPr>
          <w:rFonts w:ascii="Times New Roman" w:hAnsi="Times New Roman" w:cs="Times New Roman"/>
          <w:sz w:val="28"/>
          <w:szCs w:val="28"/>
          <w:lang w:val="bg-BG"/>
        </w:rPr>
        <w:t xml:space="preserve"> </w:t>
      </w:r>
    </w:p>
    <w:p w14:paraId="0EAFBE42" w14:textId="06F8F42A" w:rsidR="008A6915" w:rsidRPr="00125AA4" w:rsidRDefault="005A514D" w:rsidP="008A6915">
      <w:pPr>
        <w:rPr>
          <w:rFonts w:ascii="Times New Roman" w:hAnsi="Times New Roman" w:cs="Times New Roman"/>
          <w:sz w:val="28"/>
          <w:szCs w:val="28"/>
          <w:lang w:val="bg-BG"/>
        </w:rPr>
      </w:pPr>
      <w:r w:rsidRPr="00125AA4">
        <w:rPr>
          <w:rFonts w:ascii="Times New Roman" w:hAnsi="Times New Roman" w:cs="Times New Roman"/>
          <w:sz w:val="28"/>
          <w:szCs w:val="28"/>
          <w:lang w:val="bg-BG"/>
        </w:rPr>
        <w:t>Докладът на Мартин Бангеман – „Европ</w:t>
      </w:r>
      <w:r w:rsidR="008E551A" w:rsidRPr="00125AA4">
        <w:rPr>
          <w:rFonts w:ascii="Times New Roman" w:hAnsi="Times New Roman" w:cs="Times New Roman"/>
          <w:sz w:val="28"/>
          <w:szCs w:val="28"/>
        </w:rPr>
        <w:t>a</w:t>
      </w:r>
      <w:r w:rsidRPr="00125AA4">
        <w:rPr>
          <w:rFonts w:ascii="Times New Roman" w:hAnsi="Times New Roman" w:cs="Times New Roman"/>
          <w:sz w:val="28"/>
          <w:szCs w:val="28"/>
          <w:lang w:val="bg-BG"/>
        </w:rPr>
        <w:t xml:space="preserve"> и глобалното информационно общество“</w:t>
      </w:r>
      <w:r w:rsidRPr="00125AA4">
        <w:rPr>
          <w:rStyle w:val="FootnoteReference"/>
          <w:rFonts w:ascii="Times New Roman" w:hAnsi="Times New Roman" w:cs="Times New Roman"/>
          <w:sz w:val="28"/>
          <w:szCs w:val="28"/>
          <w:lang w:val="bg-BG"/>
        </w:rPr>
        <w:footnoteReference w:id="3"/>
      </w:r>
      <w:r w:rsidRPr="00125AA4">
        <w:rPr>
          <w:rFonts w:ascii="Times New Roman" w:hAnsi="Times New Roman" w:cs="Times New Roman"/>
          <w:sz w:val="28"/>
          <w:szCs w:val="28"/>
          <w:lang w:val="bg-BG"/>
        </w:rPr>
        <w:t xml:space="preserve"> фактически поставя сериозни основи за бъдещото икономическо развитие на ЕС на база информационно-комуникационните системи и технологии. В докладът правят предложения към ЕК за насърчаване частните инвестиции в технологичния сектор, премахване на монополите и генерален преход към информационна икономика, а не индустриална. Неминуемо предприетите по тази линия политики водят до развитие, тъй като се наблюдава увеличаване на използваемостта на технологиите в бизнеса, развитие на комуникационните технологии – пример – </w:t>
      </w:r>
      <w:r w:rsidRPr="00125AA4">
        <w:rPr>
          <w:rFonts w:ascii="Times New Roman" w:hAnsi="Times New Roman" w:cs="Times New Roman"/>
          <w:sz w:val="28"/>
          <w:szCs w:val="28"/>
        </w:rPr>
        <w:t xml:space="preserve">GSM </w:t>
      </w:r>
      <w:r w:rsidRPr="00125AA4">
        <w:rPr>
          <w:rFonts w:ascii="Times New Roman" w:hAnsi="Times New Roman" w:cs="Times New Roman"/>
          <w:sz w:val="28"/>
          <w:szCs w:val="28"/>
          <w:lang w:val="bg-BG"/>
        </w:rPr>
        <w:t>стандартът.</w:t>
      </w:r>
    </w:p>
    <w:p w14:paraId="0D429341" w14:textId="37CEA41E" w:rsidR="00E4732E" w:rsidRPr="00125AA4" w:rsidRDefault="005A514D" w:rsidP="00E4732E">
      <w:pPr>
        <w:rPr>
          <w:rFonts w:ascii="Times New Roman" w:hAnsi="Times New Roman" w:cs="Times New Roman"/>
          <w:sz w:val="28"/>
          <w:szCs w:val="28"/>
          <w:lang w:val="bg-BG"/>
        </w:rPr>
      </w:pPr>
      <w:r w:rsidRPr="00125AA4">
        <w:rPr>
          <w:rFonts w:ascii="Times New Roman" w:hAnsi="Times New Roman" w:cs="Times New Roman"/>
          <w:sz w:val="28"/>
          <w:szCs w:val="28"/>
          <w:lang w:val="bg-BG"/>
        </w:rPr>
        <w:t>През 2000 г. се приема и Лисабонската стратегия и икономиката на знанието</w:t>
      </w:r>
      <w:r w:rsidRPr="00125AA4">
        <w:rPr>
          <w:rStyle w:val="FootnoteReference"/>
          <w:rFonts w:ascii="Times New Roman" w:hAnsi="Times New Roman" w:cs="Times New Roman"/>
          <w:sz w:val="28"/>
          <w:szCs w:val="28"/>
          <w:lang w:val="bg-BG"/>
        </w:rPr>
        <w:footnoteReference w:id="4"/>
      </w:r>
      <w:r w:rsidRPr="00125AA4">
        <w:rPr>
          <w:rFonts w:ascii="Times New Roman" w:hAnsi="Times New Roman" w:cs="Times New Roman"/>
          <w:sz w:val="28"/>
          <w:szCs w:val="28"/>
        </w:rPr>
        <w:t xml:space="preserve"> </w:t>
      </w:r>
      <w:r w:rsidRPr="00125AA4">
        <w:rPr>
          <w:rFonts w:ascii="Times New Roman" w:hAnsi="Times New Roman" w:cs="Times New Roman"/>
          <w:sz w:val="28"/>
          <w:szCs w:val="28"/>
          <w:lang w:val="bg-BG"/>
        </w:rPr>
        <w:t>се приема обща стратегия, касаеща съревнователност на икономиката и себедостатъчност: „</w:t>
      </w:r>
      <w:r w:rsidRPr="00125AA4">
        <w:rPr>
          <w:rFonts w:ascii="Times New Roman" w:hAnsi="Times New Roman" w:cs="Times New Roman"/>
          <w:sz w:val="28"/>
          <w:szCs w:val="28"/>
        </w:rPr>
        <w:t xml:space="preserve">The ambition of the ‘Lisbon Agenda’ or ‘strategy’ … is “to become the most competitive and dynamic knowledge based economy in the world, capable of sustainable economic growth with more and better jobs and greater social cohesion’. </w:t>
      </w:r>
      <w:r w:rsidR="00E4732E" w:rsidRPr="00125AA4">
        <w:rPr>
          <w:rFonts w:ascii="Times New Roman" w:hAnsi="Times New Roman" w:cs="Times New Roman"/>
          <w:sz w:val="28"/>
          <w:szCs w:val="28"/>
        </w:rPr>
        <w:br/>
      </w:r>
      <w:r w:rsidR="00E4732E" w:rsidRPr="00125AA4">
        <w:rPr>
          <w:rFonts w:ascii="Times New Roman" w:hAnsi="Times New Roman" w:cs="Times New Roman"/>
          <w:sz w:val="28"/>
          <w:szCs w:val="28"/>
          <w:lang w:val="bg-BG"/>
        </w:rPr>
        <w:t xml:space="preserve">Единният европейски пазар, разширяването на пределите на ЕС, цифровия преход, развитие и технологизация, инвестициите в социалната политика показват, че ЕС има забележителни икономически възможности. </w:t>
      </w:r>
      <w:r w:rsidR="00E4732E" w:rsidRPr="00125AA4">
        <w:rPr>
          <w:rFonts w:ascii="Times New Roman" w:hAnsi="Times New Roman" w:cs="Times New Roman"/>
          <w:sz w:val="28"/>
          <w:szCs w:val="28"/>
          <w:lang w:val="bg-BG"/>
        </w:rPr>
        <w:br/>
        <w:t xml:space="preserve">Към 2024 г. БВП на ЕС достига 19.42 трилиона </w:t>
      </w:r>
      <w:r w:rsidR="00E4732E" w:rsidRPr="00125AA4">
        <w:rPr>
          <w:rFonts w:ascii="Times New Roman" w:hAnsi="Times New Roman" w:cs="Times New Roman"/>
          <w:sz w:val="28"/>
          <w:szCs w:val="28"/>
        </w:rPr>
        <w:t>USD ($),</w:t>
      </w:r>
      <w:r w:rsidR="00E4732E" w:rsidRPr="00125AA4">
        <w:rPr>
          <w:rFonts w:ascii="Times New Roman" w:hAnsi="Times New Roman" w:cs="Times New Roman"/>
          <w:sz w:val="28"/>
          <w:szCs w:val="28"/>
          <w:lang w:val="bg-BG"/>
        </w:rPr>
        <w:t xml:space="preserve"> което би го поставило на трето място в световен мащаб след САЩ и Китай. </w:t>
      </w:r>
    </w:p>
    <w:p w14:paraId="4EB6C637" w14:textId="68EBC0DD" w:rsidR="006774B9" w:rsidRPr="00125AA4" w:rsidRDefault="006774B9" w:rsidP="00F34EBD">
      <w:pPr>
        <w:rPr>
          <w:rFonts w:ascii="Times New Roman" w:hAnsi="Times New Roman" w:cs="Times New Roman"/>
          <w:sz w:val="28"/>
          <w:szCs w:val="28"/>
          <w:lang w:val="bg-BG"/>
        </w:rPr>
      </w:pPr>
      <w:r w:rsidRPr="00125AA4">
        <w:rPr>
          <w:rFonts w:ascii="Times New Roman" w:hAnsi="Times New Roman" w:cs="Times New Roman"/>
          <w:sz w:val="28"/>
          <w:szCs w:val="28"/>
          <w:lang w:val="bg-BG"/>
        </w:rPr>
        <w:t>Докладът, касаещ Индексът на Изкуствения Интелект за 2025</w:t>
      </w:r>
      <w:r w:rsidRPr="00125AA4">
        <w:rPr>
          <w:rStyle w:val="FootnoteReference"/>
          <w:rFonts w:ascii="Times New Roman" w:hAnsi="Times New Roman" w:cs="Times New Roman"/>
          <w:sz w:val="28"/>
          <w:szCs w:val="28"/>
          <w:lang w:val="bg-BG"/>
        </w:rPr>
        <w:footnoteReference w:id="5"/>
      </w:r>
      <w:r w:rsidRPr="00125AA4">
        <w:rPr>
          <w:rFonts w:ascii="Times New Roman" w:hAnsi="Times New Roman" w:cs="Times New Roman"/>
          <w:sz w:val="28"/>
          <w:szCs w:val="28"/>
          <w:lang w:val="bg-BG"/>
        </w:rPr>
        <w:t xml:space="preserve"> поставя няколко важни пункта: </w:t>
      </w:r>
    </w:p>
    <w:p w14:paraId="7EB6E2AE" w14:textId="07F68BAC" w:rsidR="003F1D6D" w:rsidRPr="00125AA4" w:rsidRDefault="006774B9" w:rsidP="00967E14">
      <w:pPr>
        <w:pStyle w:val="ListParagraph"/>
        <w:numPr>
          <w:ilvl w:val="0"/>
          <w:numId w:val="7"/>
        </w:numPr>
        <w:rPr>
          <w:rFonts w:ascii="Times New Roman" w:hAnsi="Times New Roman" w:cs="Times New Roman"/>
          <w:sz w:val="28"/>
          <w:szCs w:val="28"/>
        </w:rPr>
      </w:pPr>
      <w:r w:rsidRPr="00125AA4">
        <w:rPr>
          <w:rFonts w:ascii="Times New Roman" w:hAnsi="Times New Roman" w:cs="Times New Roman"/>
          <w:sz w:val="28"/>
          <w:szCs w:val="28"/>
          <w:lang w:val="bg-BG"/>
        </w:rPr>
        <w:t xml:space="preserve">Инвестициите в ИИ се повишават с оглед повишеното търсене от страна на бизнеса и използваемостта. През 2024 г. частното </w:t>
      </w:r>
      <w:r w:rsidRPr="00125AA4">
        <w:rPr>
          <w:rFonts w:ascii="Times New Roman" w:hAnsi="Times New Roman" w:cs="Times New Roman"/>
          <w:sz w:val="28"/>
          <w:szCs w:val="28"/>
          <w:lang w:val="bg-BG"/>
        </w:rPr>
        <w:lastRenderedPageBreak/>
        <w:t>инвестиране в ИИ в САЩ се увеличава до 109.1 милиарда</w:t>
      </w:r>
      <w:r w:rsidRPr="00125AA4">
        <w:rPr>
          <w:rFonts w:ascii="Times New Roman" w:hAnsi="Times New Roman" w:cs="Times New Roman"/>
          <w:sz w:val="28"/>
          <w:szCs w:val="28"/>
        </w:rPr>
        <w:t xml:space="preserve"> USD</w:t>
      </w:r>
      <w:r w:rsidRPr="00125AA4">
        <w:rPr>
          <w:rFonts w:ascii="Times New Roman" w:hAnsi="Times New Roman" w:cs="Times New Roman"/>
          <w:sz w:val="28"/>
          <w:szCs w:val="28"/>
          <w:lang w:val="bg-BG"/>
        </w:rPr>
        <w:t xml:space="preserve"> – 12 пъти повече от Китай – където инвестициите са 9.3 милиарда </w:t>
      </w:r>
      <w:r w:rsidRPr="00125AA4">
        <w:rPr>
          <w:rFonts w:ascii="Times New Roman" w:hAnsi="Times New Roman" w:cs="Times New Roman"/>
          <w:sz w:val="28"/>
          <w:szCs w:val="28"/>
        </w:rPr>
        <w:t>USD</w:t>
      </w:r>
      <w:r w:rsidRPr="00125AA4">
        <w:rPr>
          <w:rFonts w:ascii="Times New Roman" w:hAnsi="Times New Roman" w:cs="Times New Roman"/>
          <w:sz w:val="28"/>
          <w:szCs w:val="28"/>
          <w:lang w:val="bg-BG"/>
        </w:rPr>
        <w:t xml:space="preserve"> и 24 пъти повече от Великобритания – 4.5 милиарда </w:t>
      </w:r>
      <w:r w:rsidRPr="00125AA4">
        <w:rPr>
          <w:rFonts w:ascii="Times New Roman" w:hAnsi="Times New Roman" w:cs="Times New Roman"/>
          <w:sz w:val="28"/>
          <w:szCs w:val="28"/>
        </w:rPr>
        <w:t xml:space="preserve">USD. </w:t>
      </w:r>
    </w:p>
    <w:p w14:paraId="3C9F5D25" w14:textId="6B428911" w:rsidR="006774B9" w:rsidRPr="00125AA4" w:rsidRDefault="006774B9" w:rsidP="00967E14">
      <w:pPr>
        <w:pStyle w:val="ListParagraph"/>
        <w:numPr>
          <w:ilvl w:val="0"/>
          <w:numId w:val="7"/>
        </w:numPr>
        <w:rPr>
          <w:rFonts w:ascii="Times New Roman" w:hAnsi="Times New Roman" w:cs="Times New Roman"/>
          <w:sz w:val="28"/>
          <w:szCs w:val="28"/>
        </w:rPr>
      </w:pPr>
      <w:r w:rsidRPr="00125AA4">
        <w:rPr>
          <w:rFonts w:ascii="Times New Roman" w:hAnsi="Times New Roman" w:cs="Times New Roman"/>
          <w:sz w:val="28"/>
          <w:szCs w:val="28"/>
          <w:lang w:val="bg-BG"/>
        </w:rPr>
        <w:t xml:space="preserve">САЩ е водещ в произвеждането на модели на ИИ, но Китай се доближава. През 2024, в САЩ са произведени 40 високотехнологични модела, в Китай – 15, в Европа – 3. </w:t>
      </w:r>
    </w:p>
    <w:p w14:paraId="62568125" w14:textId="05CC7130" w:rsidR="006774B9" w:rsidRDefault="006774B9" w:rsidP="00967E14">
      <w:pPr>
        <w:pStyle w:val="ListParagraph"/>
        <w:numPr>
          <w:ilvl w:val="0"/>
          <w:numId w:val="7"/>
        </w:numPr>
        <w:rPr>
          <w:rFonts w:ascii="Times New Roman" w:hAnsi="Times New Roman" w:cs="Times New Roman"/>
          <w:sz w:val="28"/>
          <w:szCs w:val="28"/>
        </w:rPr>
      </w:pPr>
      <w:r w:rsidRPr="00125AA4">
        <w:rPr>
          <w:rFonts w:ascii="Times New Roman" w:hAnsi="Times New Roman" w:cs="Times New Roman"/>
          <w:sz w:val="28"/>
          <w:szCs w:val="28"/>
          <w:lang w:val="bg-BG"/>
        </w:rPr>
        <w:t xml:space="preserve">Увеличават се правителствените инвестиции в ИИ. В САЩ през 2024 са въведени 59 регулации, свързани с ИИ. Канадското правителство инвестира 2.4 милиарда </w:t>
      </w:r>
      <w:r w:rsidRPr="00125AA4">
        <w:rPr>
          <w:rFonts w:ascii="Times New Roman" w:hAnsi="Times New Roman" w:cs="Times New Roman"/>
          <w:sz w:val="28"/>
          <w:szCs w:val="28"/>
        </w:rPr>
        <w:t xml:space="preserve">USD, </w:t>
      </w:r>
      <w:r w:rsidRPr="00125AA4">
        <w:rPr>
          <w:rFonts w:ascii="Times New Roman" w:hAnsi="Times New Roman" w:cs="Times New Roman"/>
          <w:sz w:val="28"/>
          <w:szCs w:val="28"/>
          <w:lang w:val="bg-BG"/>
        </w:rPr>
        <w:t xml:space="preserve">Китай – 47.5 милиарда в фонд за полупроводници, касаещи технологичния аспект на ИИ. Франция заделя 109 милиарда </w:t>
      </w:r>
      <w:r w:rsidRPr="00125AA4">
        <w:rPr>
          <w:rFonts w:ascii="Times New Roman" w:hAnsi="Times New Roman" w:cs="Times New Roman"/>
          <w:sz w:val="28"/>
          <w:szCs w:val="28"/>
        </w:rPr>
        <w:t>EUR</w:t>
      </w:r>
      <w:r w:rsidRPr="00125AA4">
        <w:rPr>
          <w:rFonts w:ascii="Times New Roman" w:hAnsi="Times New Roman" w:cs="Times New Roman"/>
          <w:sz w:val="28"/>
          <w:szCs w:val="28"/>
          <w:lang w:val="bg-BG"/>
        </w:rPr>
        <w:t xml:space="preserve">, Индия – 1.25 милиарда </w:t>
      </w:r>
      <w:r w:rsidRPr="00125AA4">
        <w:rPr>
          <w:rFonts w:ascii="Times New Roman" w:hAnsi="Times New Roman" w:cs="Times New Roman"/>
          <w:sz w:val="28"/>
          <w:szCs w:val="28"/>
        </w:rPr>
        <w:t xml:space="preserve">USD, </w:t>
      </w:r>
      <w:r w:rsidRPr="00125AA4">
        <w:rPr>
          <w:rFonts w:ascii="Times New Roman" w:hAnsi="Times New Roman" w:cs="Times New Roman"/>
          <w:sz w:val="28"/>
          <w:szCs w:val="28"/>
          <w:lang w:val="bg-BG"/>
        </w:rPr>
        <w:t>Саудитска Арабия започва т.нар „</w:t>
      </w:r>
      <w:r w:rsidRPr="00125AA4">
        <w:rPr>
          <w:rFonts w:ascii="Times New Roman" w:hAnsi="Times New Roman" w:cs="Times New Roman"/>
          <w:sz w:val="28"/>
          <w:szCs w:val="28"/>
        </w:rPr>
        <w:t xml:space="preserve">Project Transcendence”, </w:t>
      </w:r>
      <w:r w:rsidRPr="00125AA4">
        <w:rPr>
          <w:rFonts w:ascii="Times New Roman" w:hAnsi="Times New Roman" w:cs="Times New Roman"/>
          <w:sz w:val="28"/>
          <w:szCs w:val="28"/>
          <w:lang w:val="bg-BG"/>
        </w:rPr>
        <w:t xml:space="preserve">за който са предвидени 100 милиарда </w:t>
      </w:r>
      <w:r w:rsidRPr="00125AA4">
        <w:rPr>
          <w:rFonts w:ascii="Times New Roman" w:hAnsi="Times New Roman" w:cs="Times New Roman"/>
          <w:sz w:val="28"/>
          <w:szCs w:val="28"/>
        </w:rPr>
        <w:t xml:space="preserve">USD.  </w:t>
      </w:r>
    </w:p>
    <w:p w14:paraId="0F1EF0DE" w14:textId="45EADEDE" w:rsidR="00566D09" w:rsidRPr="00566D09" w:rsidRDefault="00566D09" w:rsidP="00566D09">
      <w:pPr>
        <w:rPr>
          <w:rFonts w:ascii="Times New Roman" w:hAnsi="Times New Roman" w:cs="Times New Roman"/>
          <w:sz w:val="28"/>
          <w:szCs w:val="28"/>
          <w:lang w:val="bg-BG"/>
        </w:rPr>
      </w:pPr>
      <w:r>
        <w:rPr>
          <w:rFonts w:ascii="Times New Roman" w:hAnsi="Times New Roman" w:cs="Times New Roman"/>
          <w:sz w:val="28"/>
          <w:szCs w:val="28"/>
          <w:lang w:val="bg-BG"/>
        </w:rPr>
        <w:t xml:space="preserve">Макар изкуственият интелект да е спорна в съвремието тема, неминуем е факта, че използваемостта му расте в разнородни сфери и високи мащаби, като всяка съвременна медия интегрира изкуствен интелект в себе си, а чатботовете се използват ежедневно. Отделна е темата за използването му в институциите и военното дело, където праговете му на приложимост в съвремието бледнеят пред своя потенциал. </w:t>
      </w:r>
    </w:p>
    <w:p w14:paraId="792F602D" w14:textId="46FE213B" w:rsidR="003F1D6D" w:rsidRPr="00125AA4" w:rsidRDefault="0060407B" w:rsidP="009E3DF3">
      <w:pPr>
        <w:rPr>
          <w:rFonts w:ascii="Times New Roman" w:hAnsi="Times New Roman" w:cs="Times New Roman"/>
          <w:sz w:val="28"/>
          <w:szCs w:val="28"/>
          <w:lang w:val="bg-BG"/>
        </w:rPr>
      </w:pPr>
      <w:r w:rsidRPr="00125AA4">
        <w:rPr>
          <w:rFonts w:ascii="Times New Roman" w:hAnsi="Times New Roman" w:cs="Times New Roman"/>
          <w:sz w:val="28"/>
          <w:szCs w:val="28"/>
          <w:lang w:val="bg-BG"/>
        </w:rPr>
        <w:t xml:space="preserve">Световните икономически трусове през 2001, 2007, 2008, 2020 не пропускат Европейския съюз и това е отразено в графиките, онагледяващи икономическото развитие, БВП, индекс на растеж на БВП, БВП на глава на населението и пр. </w:t>
      </w:r>
      <w:r w:rsidR="009E3DF3" w:rsidRPr="00125AA4">
        <w:rPr>
          <w:rFonts w:ascii="Times New Roman" w:hAnsi="Times New Roman" w:cs="Times New Roman"/>
          <w:sz w:val="28"/>
          <w:szCs w:val="28"/>
          <w:lang w:val="bg-BG"/>
        </w:rPr>
        <w:br/>
        <w:t>В този ред на мисли икономическия фактор, притежаван от ЕС, огромния пазар и позицията на еврото като втора резервна валута е основния картбланш, с който разполага съюзът в сферата на геополитическото влияние.</w:t>
      </w:r>
    </w:p>
    <w:p w14:paraId="3BB47BCC" w14:textId="77777777" w:rsidR="0060407B" w:rsidRPr="00125AA4" w:rsidRDefault="0060407B" w:rsidP="003F1D6D">
      <w:pPr>
        <w:pStyle w:val="ListParagraph"/>
        <w:rPr>
          <w:rFonts w:ascii="Times New Roman" w:hAnsi="Times New Roman" w:cs="Times New Roman"/>
          <w:sz w:val="28"/>
          <w:szCs w:val="28"/>
          <w:lang w:val="bg-BG"/>
        </w:rPr>
      </w:pPr>
    </w:p>
    <w:p w14:paraId="1D409EB0" w14:textId="61427483" w:rsidR="00991CBF" w:rsidRDefault="003A5C44" w:rsidP="00991CBF">
      <w:pPr>
        <w:pStyle w:val="ListParagraph"/>
        <w:numPr>
          <w:ilvl w:val="0"/>
          <w:numId w:val="2"/>
        </w:numPr>
        <w:rPr>
          <w:rFonts w:ascii="Times New Roman" w:hAnsi="Times New Roman" w:cs="Times New Roman"/>
          <w:sz w:val="28"/>
          <w:szCs w:val="28"/>
          <w:lang w:val="bg-BG"/>
        </w:rPr>
      </w:pPr>
      <w:r w:rsidRPr="00125AA4">
        <w:rPr>
          <w:rFonts w:ascii="Times New Roman" w:hAnsi="Times New Roman" w:cs="Times New Roman"/>
          <w:sz w:val="28"/>
          <w:szCs w:val="28"/>
          <w:lang w:val="bg-BG"/>
        </w:rPr>
        <w:t xml:space="preserve">Единната и сплотена обща армия, с висока оперативна съвместимост между войсковите единици също е ключов фактор, от който се нуждае една страна или наднационално формирование за да създаде/съхрани/поддържа влияние. </w:t>
      </w:r>
    </w:p>
    <w:p w14:paraId="4D7CA007" w14:textId="49ED477C" w:rsidR="006D7CBC" w:rsidRPr="006D7CBC" w:rsidRDefault="006D7CBC" w:rsidP="006D7CBC">
      <w:pPr>
        <w:rPr>
          <w:rFonts w:ascii="Times New Roman" w:hAnsi="Times New Roman" w:cs="Times New Roman"/>
          <w:sz w:val="28"/>
          <w:szCs w:val="28"/>
          <w:lang w:val="bg-BG"/>
        </w:rPr>
      </w:pPr>
      <w:r>
        <w:rPr>
          <w:rFonts w:ascii="Times New Roman" w:hAnsi="Times New Roman" w:cs="Times New Roman"/>
          <w:sz w:val="28"/>
          <w:szCs w:val="28"/>
          <w:lang w:val="bg-BG"/>
        </w:rPr>
        <w:t xml:space="preserve">Руските заплахи в съвремието са реален проблем пред ЕС, както и скритата хибридна война, която Русия вече води със Запада, под формата на шпионаж, саботажи и </w:t>
      </w:r>
      <w:r>
        <w:rPr>
          <w:rFonts w:ascii="Times New Roman" w:hAnsi="Times New Roman" w:cs="Times New Roman"/>
          <w:sz w:val="28"/>
          <w:szCs w:val="28"/>
        </w:rPr>
        <w:t xml:space="preserve">black flag </w:t>
      </w:r>
      <w:r>
        <w:rPr>
          <w:rFonts w:ascii="Times New Roman" w:hAnsi="Times New Roman" w:cs="Times New Roman"/>
          <w:sz w:val="28"/>
          <w:szCs w:val="28"/>
          <w:lang w:val="bg-BG"/>
        </w:rPr>
        <w:t>операции са реален проблем, пред който ЕС се изправя.</w:t>
      </w:r>
    </w:p>
    <w:p w14:paraId="1C721A27" w14:textId="76DB0048" w:rsidR="003A5C44" w:rsidRPr="00125AA4" w:rsidRDefault="003A5C44" w:rsidP="003A5C44">
      <w:pPr>
        <w:rPr>
          <w:rFonts w:ascii="Times New Roman" w:hAnsi="Times New Roman" w:cs="Times New Roman"/>
          <w:sz w:val="28"/>
          <w:szCs w:val="28"/>
          <w:lang w:val="bg-BG"/>
        </w:rPr>
      </w:pPr>
      <w:r w:rsidRPr="00125AA4">
        <w:rPr>
          <w:rFonts w:ascii="Times New Roman" w:hAnsi="Times New Roman" w:cs="Times New Roman"/>
          <w:sz w:val="28"/>
          <w:szCs w:val="28"/>
          <w:lang w:val="bg-BG"/>
        </w:rPr>
        <w:lastRenderedPageBreak/>
        <w:t xml:space="preserve">Европейския съюз няма обща армия. </w:t>
      </w:r>
      <w:r w:rsidR="00E65410" w:rsidRPr="00125AA4">
        <w:rPr>
          <w:rFonts w:ascii="Times New Roman" w:hAnsi="Times New Roman" w:cs="Times New Roman"/>
          <w:sz w:val="28"/>
          <w:szCs w:val="28"/>
          <w:lang w:val="bg-BG"/>
        </w:rPr>
        <w:t xml:space="preserve">Отделните страни членки разполагат със собствени войскови части, </w:t>
      </w:r>
      <w:r w:rsidR="005B0E96" w:rsidRPr="00125AA4">
        <w:rPr>
          <w:rFonts w:ascii="Times New Roman" w:hAnsi="Times New Roman" w:cs="Times New Roman"/>
          <w:sz w:val="28"/>
          <w:szCs w:val="28"/>
          <w:lang w:val="bg-BG"/>
        </w:rPr>
        <w:t>но няма обща европейска армия</w:t>
      </w:r>
      <w:r w:rsidR="006D7CBC">
        <w:rPr>
          <w:rFonts w:ascii="Times New Roman" w:hAnsi="Times New Roman" w:cs="Times New Roman"/>
          <w:sz w:val="28"/>
          <w:szCs w:val="28"/>
          <w:lang w:val="bg-BG"/>
        </w:rPr>
        <w:t xml:space="preserve">, по подобие откъм оперативно действие и командване, както националните армии. </w:t>
      </w:r>
    </w:p>
    <w:p w14:paraId="25876F9C" w14:textId="4690DCD5" w:rsidR="00036AA8" w:rsidRPr="00125AA4" w:rsidRDefault="005B0E96" w:rsidP="003A5C44">
      <w:pPr>
        <w:rPr>
          <w:rFonts w:ascii="Times New Roman" w:hAnsi="Times New Roman" w:cs="Times New Roman"/>
          <w:sz w:val="28"/>
          <w:szCs w:val="28"/>
        </w:rPr>
      </w:pPr>
      <w:r w:rsidRPr="00125AA4">
        <w:rPr>
          <w:rFonts w:ascii="Times New Roman" w:hAnsi="Times New Roman" w:cs="Times New Roman"/>
          <w:sz w:val="28"/>
          <w:szCs w:val="28"/>
          <w:lang w:val="bg-BG"/>
        </w:rPr>
        <w:t>Военните капацитети на ЕС категорично изостават пред Съединените Американски Щати,</w:t>
      </w:r>
      <w:r w:rsidR="006D7CBC">
        <w:rPr>
          <w:rFonts w:ascii="Times New Roman" w:hAnsi="Times New Roman" w:cs="Times New Roman"/>
          <w:sz w:val="28"/>
          <w:szCs w:val="28"/>
          <w:lang w:val="bg-BG"/>
        </w:rPr>
        <w:t xml:space="preserve"> като Китай също показва забележителни военни капацитети.  </w:t>
      </w:r>
    </w:p>
    <w:p w14:paraId="60EC2446" w14:textId="04D72841" w:rsidR="00F34EBD" w:rsidRPr="00125AA4" w:rsidRDefault="00036AA8" w:rsidP="00F34EBD">
      <w:pPr>
        <w:rPr>
          <w:rFonts w:ascii="Times New Roman" w:hAnsi="Times New Roman" w:cs="Times New Roman"/>
          <w:sz w:val="28"/>
          <w:szCs w:val="28"/>
          <w:lang w:val="bg-BG"/>
        </w:rPr>
      </w:pPr>
      <w:r w:rsidRPr="00125AA4">
        <w:rPr>
          <w:rFonts w:ascii="Times New Roman" w:hAnsi="Times New Roman" w:cs="Times New Roman"/>
          <w:sz w:val="28"/>
          <w:szCs w:val="28"/>
          <w:lang w:val="bg-BG"/>
        </w:rPr>
        <w:t>Западният Европейски съюз фундаментално спира да съществува като организация през 2011</w:t>
      </w:r>
      <w:r w:rsidR="00F13E12" w:rsidRPr="00125AA4">
        <w:rPr>
          <w:rFonts w:ascii="Times New Roman" w:hAnsi="Times New Roman" w:cs="Times New Roman"/>
          <w:sz w:val="28"/>
          <w:szCs w:val="28"/>
        </w:rPr>
        <w:t>.</w:t>
      </w:r>
      <w:r w:rsidR="00F13E12" w:rsidRPr="00125AA4">
        <w:rPr>
          <w:rStyle w:val="FootnoteReference"/>
          <w:rFonts w:ascii="Times New Roman" w:hAnsi="Times New Roman" w:cs="Times New Roman"/>
          <w:sz w:val="28"/>
          <w:szCs w:val="28"/>
        </w:rPr>
        <w:footnoteReference w:id="6"/>
      </w:r>
      <w:r w:rsidR="00F13E12" w:rsidRPr="00125AA4">
        <w:rPr>
          <w:rFonts w:ascii="Times New Roman" w:hAnsi="Times New Roman" w:cs="Times New Roman"/>
          <w:sz w:val="28"/>
          <w:szCs w:val="28"/>
        </w:rPr>
        <w:t xml:space="preserve"> </w:t>
      </w:r>
      <w:r w:rsidRPr="00125AA4">
        <w:rPr>
          <w:rFonts w:ascii="Times New Roman" w:hAnsi="Times New Roman" w:cs="Times New Roman"/>
          <w:sz w:val="28"/>
          <w:szCs w:val="28"/>
          <w:lang w:val="bg-BG"/>
        </w:rPr>
        <w:t xml:space="preserve">Както поради дублиране на функциите си, в контекста на гаранциите на сигурността, заедно с НАТО, така и в контекста на недостатъчното си влияние и липсата на място на ЗЕС в глобалистко-доктриналната визия на САЩ за света. </w:t>
      </w:r>
      <w:r w:rsidR="007E3C02" w:rsidRPr="00125AA4">
        <w:rPr>
          <w:rFonts w:ascii="Times New Roman" w:hAnsi="Times New Roman" w:cs="Times New Roman"/>
          <w:sz w:val="28"/>
          <w:szCs w:val="28"/>
          <w:lang w:val="bg-BG"/>
        </w:rPr>
        <w:t xml:space="preserve"> </w:t>
      </w:r>
      <w:r w:rsidR="00791335" w:rsidRPr="00125AA4">
        <w:rPr>
          <w:rFonts w:ascii="Times New Roman" w:hAnsi="Times New Roman" w:cs="Times New Roman"/>
          <w:sz w:val="28"/>
          <w:szCs w:val="28"/>
          <w:lang w:val="bg-BG"/>
        </w:rPr>
        <w:t xml:space="preserve"> </w:t>
      </w:r>
    </w:p>
    <w:p w14:paraId="786CB19B" w14:textId="464B41DA" w:rsidR="00B45B51" w:rsidRPr="00125AA4" w:rsidRDefault="00B45B51" w:rsidP="00F34EBD">
      <w:pPr>
        <w:rPr>
          <w:rFonts w:ascii="Times New Roman" w:hAnsi="Times New Roman" w:cs="Times New Roman"/>
          <w:sz w:val="28"/>
          <w:szCs w:val="28"/>
          <w:lang w:val="bg-BG"/>
        </w:rPr>
      </w:pPr>
      <w:r w:rsidRPr="00125AA4">
        <w:rPr>
          <w:rFonts w:ascii="Times New Roman" w:hAnsi="Times New Roman" w:cs="Times New Roman"/>
          <w:sz w:val="28"/>
          <w:szCs w:val="28"/>
          <w:lang w:val="bg-BG"/>
        </w:rPr>
        <w:t>В резултат на „поглъщането“ на ЗЕС от съюза, вторият остава на глобалната геополитическа сцена основно с икономическите си възможности, а не толкова с военните си потенциали.</w:t>
      </w:r>
      <w:r w:rsidRPr="00125AA4">
        <w:rPr>
          <w:rFonts w:ascii="Times New Roman" w:hAnsi="Times New Roman" w:cs="Times New Roman"/>
          <w:sz w:val="28"/>
          <w:szCs w:val="28"/>
        </w:rPr>
        <w:t xml:space="preserve"> </w:t>
      </w:r>
      <w:r w:rsidRPr="00125AA4">
        <w:rPr>
          <w:rFonts w:ascii="Times New Roman" w:hAnsi="Times New Roman" w:cs="Times New Roman"/>
          <w:sz w:val="28"/>
          <w:szCs w:val="28"/>
          <w:lang w:val="bg-BG"/>
        </w:rPr>
        <w:t xml:space="preserve">Паралелно с </w:t>
      </w:r>
      <w:r w:rsidRPr="00125AA4">
        <w:rPr>
          <w:rFonts w:ascii="Times New Roman" w:hAnsi="Times New Roman" w:cs="Times New Roman"/>
          <w:sz w:val="28"/>
          <w:szCs w:val="28"/>
        </w:rPr>
        <w:t xml:space="preserve">WEU </w:t>
      </w:r>
      <w:r w:rsidRPr="00125AA4">
        <w:rPr>
          <w:rFonts w:ascii="Times New Roman" w:hAnsi="Times New Roman" w:cs="Times New Roman"/>
          <w:sz w:val="28"/>
          <w:szCs w:val="28"/>
          <w:lang w:val="bg-BG"/>
        </w:rPr>
        <w:t xml:space="preserve">се създава и </w:t>
      </w:r>
      <w:r w:rsidRPr="00125AA4">
        <w:rPr>
          <w:rFonts w:ascii="Times New Roman" w:hAnsi="Times New Roman" w:cs="Times New Roman"/>
          <w:sz w:val="28"/>
          <w:szCs w:val="28"/>
        </w:rPr>
        <w:t xml:space="preserve">CSDP (Common Security and Defence Policy) </w:t>
      </w:r>
      <w:r w:rsidRPr="00125AA4">
        <w:rPr>
          <w:rFonts w:ascii="Times New Roman" w:hAnsi="Times New Roman" w:cs="Times New Roman"/>
          <w:sz w:val="28"/>
          <w:szCs w:val="28"/>
          <w:lang w:val="bg-BG"/>
        </w:rPr>
        <w:t xml:space="preserve">на ЕС, която касае всички страни и която е фактическият стълб на сигурността на ЕС, при неналичието на ЗЕС. </w:t>
      </w:r>
    </w:p>
    <w:p w14:paraId="504122F9" w14:textId="25127733" w:rsidR="00F34EBD" w:rsidRPr="00125AA4" w:rsidRDefault="0090129F" w:rsidP="00F34EBD">
      <w:pPr>
        <w:rPr>
          <w:rFonts w:ascii="Times New Roman" w:hAnsi="Times New Roman" w:cs="Times New Roman"/>
          <w:sz w:val="28"/>
          <w:szCs w:val="28"/>
          <w:lang w:val="bg-BG"/>
        </w:rPr>
      </w:pPr>
      <w:r w:rsidRPr="00125AA4">
        <w:rPr>
          <w:rFonts w:ascii="Times New Roman" w:hAnsi="Times New Roman" w:cs="Times New Roman"/>
          <w:sz w:val="28"/>
          <w:szCs w:val="28"/>
        </w:rPr>
        <w:t>ReArm Europe</w:t>
      </w:r>
      <w:r w:rsidR="002437BB" w:rsidRPr="00125AA4">
        <w:rPr>
          <w:rStyle w:val="FootnoteReference"/>
          <w:rFonts w:ascii="Times New Roman" w:hAnsi="Times New Roman" w:cs="Times New Roman"/>
          <w:sz w:val="28"/>
          <w:szCs w:val="28"/>
        </w:rPr>
        <w:footnoteReference w:id="7"/>
      </w:r>
      <w:r w:rsidR="00BE00FA" w:rsidRPr="00125AA4">
        <w:rPr>
          <w:rFonts w:ascii="Times New Roman" w:hAnsi="Times New Roman" w:cs="Times New Roman"/>
          <w:sz w:val="28"/>
          <w:szCs w:val="28"/>
        </w:rPr>
        <w:t xml:space="preserve"> </w:t>
      </w:r>
      <w:r w:rsidR="00BE00FA" w:rsidRPr="00125AA4">
        <w:rPr>
          <w:rFonts w:ascii="Times New Roman" w:hAnsi="Times New Roman" w:cs="Times New Roman"/>
          <w:sz w:val="28"/>
          <w:szCs w:val="28"/>
          <w:lang w:val="bg-BG"/>
        </w:rPr>
        <w:t xml:space="preserve">е допълнителен план, предприет в контекста на слабата военна мощ на страните от ЕС, проявила се най-вече в контекста на войната в Украйна, както и администрацията във Вашингтон, отличаваща се с изолационистки наклонности спрямо ЕС. </w:t>
      </w:r>
      <w:r w:rsidR="00DA2CF6" w:rsidRPr="00125AA4">
        <w:rPr>
          <w:rFonts w:ascii="Times New Roman" w:hAnsi="Times New Roman" w:cs="Times New Roman"/>
          <w:sz w:val="28"/>
          <w:szCs w:val="28"/>
          <w:lang w:val="bg-BG"/>
        </w:rPr>
        <w:br/>
        <w:t xml:space="preserve">Новият план предвижда инвестирането на 800 милиарда евро в отбраната на страните от ЕС, с фокус изграждане на независима армия и независимост от военните възможности на САЩ. </w:t>
      </w:r>
    </w:p>
    <w:p w14:paraId="103F4DA8" w14:textId="5E759019" w:rsidR="00A81836" w:rsidRPr="00125AA4" w:rsidRDefault="00A96438" w:rsidP="00F34EBD">
      <w:pPr>
        <w:rPr>
          <w:rFonts w:ascii="Times New Roman" w:hAnsi="Times New Roman" w:cs="Times New Roman"/>
          <w:sz w:val="28"/>
          <w:szCs w:val="28"/>
          <w:lang w:val="bg-BG"/>
        </w:rPr>
      </w:pPr>
      <w:r w:rsidRPr="00125AA4">
        <w:rPr>
          <w:rFonts w:ascii="Times New Roman" w:hAnsi="Times New Roman" w:cs="Times New Roman"/>
          <w:sz w:val="28"/>
          <w:szCs w:val="28"/>
          <w:lang w:val="bg-BG"/>
        </w:rPr>
        <w:t>Настоящите перспективи пред сигурността на ЕС се развиват в наратива, че ЕС се развива икономически с големи мащаби в периода на еднополярния (</w:t>
      </w:r>
      <w:r w:rsidRPr="00125AA4">
        <w:rPr>
          <w:rFonts w:ascii="Times New Roman" w:hAnsi="Times New Roman" w:cs="Times New Roman"/>
          <w:sz w:val="28"/>
          <w:szCs w:val="28"/>
        </w:rPr>
        <w:t xml:space="preserve">unipolar) </w:t>
      </w:r>
      <w:r w:rsidRPr="00125AA4">
        <w:rPr>
          <w:rFonts w:ascii="Times New Roman" w:hAnsi="Times New Roman" w:cs="Times New Roman"/>
          <w:sz w:val="28"/>
          <w:szCs w:val="28"/>
          <w:lang w:val="bg-BG"/>
        </w:rPr>
        <w:t xml:space="preserve">свят – след разпада на СССР и биполярната система на международни отношения. В този контекст, „чадъра“ на САЩ е предоставял стратегически защитни механизми на Европа от потенциалните врагове, както в периода на биполярната система, така и след нея, макар при еднополярния свят да не е имало противникови страни или блокове, заплашващи съществуването на ЕС. </w:t>
      </w:r>
      <w:r w:rsidRPr="00125AA4">
        <w:rPr>
          <w:rFonts w:ascii="Times New Roman" w:hAnsi="Times New Roman" w:cs="Times New Roman"/>
          <w:sz w:val="28"/>
          <w:szCs w:val="28"/>
          <w:lang w:val="bg-BG"/>
        </w:rPr>
        <w:br/>
      </w:r>
      <w:r w:rsidRPr="00125AA4">
        <w:rPr>
          <w:rFonts w:ascii="Times New Roman" w:hAnsi="Times New Roman" w:cs="Times New Roman"/>
          <w:sz w:val="28"/>
          <w:szCs w:val="28"/>
          <w:lang w:val="bg-BG"/>
        </w:rPr>
        <w:lastRenderedPageBreak/>
        <w:t xml:space="preserve">При тези обстоятелства Европейския съюз както разпада </w:t>
      </w:r>
      <w:r w:rsidRPr="00125AA4">
        <w:rPr>
          <w:rFonts w:ascii="Times New Roman" w:hAnsi="Times New Roman" w:cs="Times New Roman"/>
          <w:sz w:val="28"/>
          <w:szCs w:val="28"/>
        </w:rPr>
        <w:t xml:space="preserve">WEU, </w:t>
      </w:r>
      <w:r w:rsidRPr="00125AA4">
        <w:rPr>
          <w:rFonts w:ascii="Times New Roman" w:hAnsi="Times New Roman" w:cs="Times New Roman"/>
          <w:sz w:val="28"/>
          <w:szCs w:val="28"/>
          <w:lang w:val="bg-BG"/>
        </w:rPr>
        <w:t xml:space="preserve">така и не инвестира сериозно в политиките си за сигурност и макар определени страни да имат военни потенциали, това не се отнася за всички страни от ЕС и все още съюза няма единна армия с единно командване. </w:t>
      </w:r>
    </w:p>
    <w:p w14:paraId="1C169F04" w14:textId="0D7AE7F2" w:rsidR="00DA2CF6" w:rsidRPr="00125AA4" w:rsidRDefault="00A81836" w:rsidP="00F34EBD">
      <w:pPr>
        <w:rPr>
          <w:rFonts w:ascii="Times New Roman" w:hAnsi="Times New Roman" w:cs="Times New Roman"/>
          <w:sz w:val="28"/>
          <w:szCs w:val="28"/>
        </w:rPr>
      </w:pPr>
      <w:r w:rsidRPr="00125AA4">
        <w:rPr>
          <w:rFonts w:ascii="Times New Roman" w:hAnsi="Times New Roman" w:cs="Times New Roman"/>
          <w:sz w:val="28"/>
          <w:szCs w:val="28"/>
          <w:lang w:val="bg-BG"/>
        </w:rPr>
        <w:t xml:space="preserve">Липсата на единна армия и единно командване изключително много ограничава геополитическото влияние на ЕС, като оставя терен само за икономическо и дипломатическо влияние. </w:t>
      </w:r>
    </w:p>
    <w:p w14:paraId="67F03094" w14:textId="77777777" w:rsidR="00F34EBD" w:rsidRPr="00125AA4" w:rsidRDefault="00F34EBD" w:rsidP="00F34EBD">
      <w:pPr>
        <w:rPr>
          <w:rFonts w:ascii="Times New Roman" w:hAnsi="Times New Roman" w:cs="Times New Roman"/>
          <w:sz w:val="28"/>
          <w:szCs w:val="28"/>
          <w:lang w:val="bg-BG"/>
        </w:rPr>
      </w:pPr>
    </w:p>
    <w:p w14:paraId="78CC7134" w14:textId="649F7C21" w:rsidR="00400804" w:rsidRPr="00251DE2" w:rsidRDefault="00C67485" w:rsidP="007E282A">
      <w:pPr>
        <w:pStyle w:val="ListParagraph"/>
        <w:numPr>
          <w:ilvl w:val="0"/>
          <w:numId w:val="2"/>
        </w:numPr>
        <w:ind w:left="1080"/>
        <w:rPr>
          <w:rFonts w:ascii="Times New Roman" w:hAnsi="Times New Roman" w:cs="Times New Roman"/>
          <w:sz w:val="28"/>
          <w:szCs w:val="28"/>
        </w:rPr>
      </w:pPr>
      <w:r>
        <w:rPr>
          <w:rFonts w:ascii="Times New Roman" w:hAnsi="Times New Roman" w:cs="Times New Roman"/>
          <w:sz w:val="28"/>
          <w:szCs w:val="28"/>
          <w:lang w:val="bg-BG"/>
        </w:rPr>
        <w:t xml:space="preserve">Ограничен ресурсен достъп – поради географските особености е ограничено естественото налчиие на редкоземни метали и фосилни горива, като ЕС ги набавя посредством търговия. </w:t>
      </w:r>
    </w:p>
    <w:p w14:paraId="5D3DC484" w14:textId="698F3EF1" w:rsidR="008F0B10" w:rsidRPr="00125AA4" w:rsidRDefault="008F0B10" w:rsidP="0060407B">
      <w:pPr>
        <w:rPr>
          <w:rFonts w:ascii="Times New Roman" w:hAnsi="Times New Roman" w:cs="Times New Roman"/>
          <w:sz w:val="28"/>
          <w:szCs w:val="28"/>
          <w:lang w:val="bg-BG"/>
        </w:rPr>
      </w:pPr>
    </w:p>
    <w:p w14:paraId="191CAF45" w14:textId="60290681" w:rsidR="00CC0E66" w:rsidRPr="002948D8" w:rsidRDefault="00CC0E66" w:rsidP="00CC0E66">
      <w:pPr>
        <w:pStyle w:val="ListParagraph"/>
        <w:numPr>
          <w:ilvl w:val="0"/>
          <w:numId w:val="1"/>
        </w:numPr>
        <w:rPr>
          <w:rFonts w:ascii="Times New Roman" w:hAnsi="Times New Roman" w:cs="Times New Roman"/>
          <w:b/>
          <w:bCs/>
          <w:sz w:val="28"/>
          <w:szCs w:val="28"/>
          <w:lang w:val="bg-BG"/>
        </w:rPr>
      </w:pPr>
      <w:r w:rsidRPr="002948D8">
        <w:rPr>
          <w:rFonts w:ascii="Times New Roman" w:hAnsi="Times New Roman" w:cs="Times New Roman"/>
          <w:b/>
          <w:bCs/>
          <w:sz w:val="28"/>
          <w:szCs w:val="28"/>
          <w:lang w:val="bg-BG"/>
        </w:rPr>
        <w:t xml:space="preserve">Критики </w:t>
      </w:r>
      <w:r w:rsidR="002948D8">
        <w:rPr>
          <w:rFonts w:ascii="Times New Roman" w:hAnsi="Times New Roman" w:cs="Times New Roman"/>
          <w:b/>
          <w:bCs/>
          <w:sz w:val="28"/>
          <w:szCs w:val="28"/>
          <w:lang w:val="bg-BG"/>
        </w:rPr>
        <w:t>и потенциални слабости на евровалутата</w:t>
      </w:r>
    </w:p>
    <w:p w14:paraId="36BFE059" w14:textId="4D3F5A88" w:rsidR="00C67485" w:rsidRDefault="00C67485" w:rsidP="0060407B">
      <w:pPr>
        <w:rPr>
          <w:rFonts w:ascii="Times New Roman" w:hAnsi="Times New Roman" w:cs="Times New Roman"/>
          <w:sz w:val="28"/>
          <w:szCs w:val="28"/>
          <w:lang w:val="bg-BG"/>
        </w:rPr>
      </w:pPr>
      <w:r>
        <w:rPr>
          <w:rFonts w:ascii="Times New Roman" w:hAnsi="Times New Roman" w:cs="Times New Roman"/>
          <w:sz w:val="28"/>
          <w:szCs w:val="28"/>
          <w:lang w:val="bg-BG"/>
        </w:rPr>
        <w:t>Джоузеф Стиглиц прави основно културологичен поглед върху еврото, цитирайки разликите и по-конкретно културните и езиковите бариери между европейските страни като негативни за общата европейска валута</w:t>
      </w:r>
      <w:r w:rsidR="00662E5D">
        <w:rPr>
          <w:rFonts w:ascii="Times New Roman" w:hAnsi="Times New Roman" w:cs="Times New Roman"/>
          <w:sz w:val="28"/>
          <w:szCs w:val="28"/>
          <w:lang w:val="bg-BG"/>
        </w:rPr>
        <w:t xml:space="preserve">. Според Стиглиц невъзможността за пълна интеграция на европейските граждани от една страна в друга, по подобие на миграция на американски граждани от един щат в друг, е проблем пред икономическата им активност и културната им интеграция. </w:t>
      </w:r>
    </w:p>
    <w:p w14:paraId="49B72153" w14:textId="05A1A1A8" w:rsidR="003B4FE6" w:rsidRPr="00125AA4" w:rsidRDefault="00432F25" w:rsidP="0060407B">
      <w:pPr>
        <w:rPr>
          <w:rFonts w:ascii="Times New Roman" w:hAnsi="Times New Roman" w:cs="Times New Roman"/>
          <w:sz w:val="28"/>
          <w:szCs w:val="28"/>
          <w:lang w:val="bg-BG"/>
        </w:rPr>
      </w:pPr>
      <w:r>
        <w:rPr>
          <w:rFonts w:ascii="Times New Roman" w:hAnsi="Times New Roman" w:cs="Times New Roman"/>
          <w:sz w:val="28"/>
          <w:szCs w:val="28"/>
          <w:lang w:val="bg-BG"/>
        </w:rPr>
        <w:t>В графа „критики“ някои биха поставили липсата на централизиран евробюджет, регулиран и разпределян за всички страни. Липсата на такъв е логич</w:t>
      </w:r>
      <w:r w:rsidR="002948D8">
        <w:rPr>
          <w:rFonts w:ascii="Times New Roman" w:hAnsi="Times New Roman" w:cs="Times New Roman"/>
          <w:sz w:val="28"/>
          <w:szCs w:val="28"/>
          <w:lang w:val="bg-BG"/>
        </w:rPr>
        <w:t>на</w:t>
      </w:r>
      <w:r>
        <w:rPr>
          <w:rFonts w:ascii="Times New Roman" w:hAnsi="Times New Roman" w:cs="Times New Roman"/>
          <w:sz w:val="28"/>
          <w:szCs w:val="28"/>
          <w:lang w:val="bg-BG"/>
        </w:rPr>
        <w:t xml:space="preserve">, поради факта, че ЕС не е </w:t>
      </w:r>
      <w:r>
        <w:rPr>
          <w:rFonts w:ascii="Times New Roman" w:hAnsi="Times New Roman" w:cs="Times New Roman"/>
          <w:i/>
          <w:iCs/>
          <w:sz w:val="28"/>
          <w:szCs w:val="28"/>
          <w:lang w:val="bg-BG"/>
        </w:rPr>
        <w:t xml:space="preserve">федерация, </w:t>
      </w:r>
      <w:r>
        <w:rPr>
          <w:rFonts w:ascii="Times New Roman" w:hAnsi="Times New Roman" w:cs="Times New Roman"/>
          <w:sz w:val="28"/>
          <w:szCs w:val="28"/>
          <w:lang w:val="bg-BG"/>
        </w:rPr>
        <w:t xml:space="preserve">а е </w:t>
      </w:r>
      <w:r>
        <w:rPr>
          <w:rFonts w:ascii="Times New Roman" w:hAnsi="Times New Roman" w:cs="Times New Roman"/>
          <w:i/>
          <w:iCs/>
          <w:sz w:val="28"/>
          <w:szCs w:val="28"/>
          <w:lang w:val="bg-BG"/>
        </w:rPr>
        <w:t xml:space="preserve">наднационален съюз от страни с относително висока степен на интеграция. </w:t>
      </w:r>
      <w:r>
        <w:rPr>
          <w:rFonts w:ascii="Times New Roman" w:hAnsi="Times New Roman" w:cs="Times New Roman"/>
          <w:sz w:val="28"/>
          <w:szCs w:val="28"/>
          <w:lang w:val="bg-BG"/>
        </w:rPr>
        <w:t xml:space="preserve">Европейската Комисия фактически се разполага с бюджет, равняващ се на около 1% от БВП на ЕС. </w:t>
      </w:r>
    </w:p>
    <w:p w14:paraId="3329F742" w14:textId="3A288395" w:rsidR="00ED2934" w:rsidRPr="00125AA4" w:rsidRDefault="002C4F09" w:rsidP="0060407B">
      <w:pPr>
        <w:rPr>
          <w:rFonts w:ascii="Times New Roman" w:hAnsi="Times New Roman" w:cs="Times New Roman"/>
          <w:sz w:val="28"/>
          <w:szCs w:val="28"/>
          <w:lang w:val="bg-BG"/>
        </w:rPr>
      </w:pPr>
      <w:r w:rsidRPr="00125AA4">
        <w:rPr>
          <w:rFonts w:ascii="Times New Roman" w:hAnsi="Times New Roman" w:cs="Times New Roman"/>
          <w:sz w:val="28"/>
          <w:szCs w:val="28"/>
          <w:lang w:val="bg-BG"/>
        </w:rPr>
        <w:t>Ханс Вернер Зин</w:t>
      </w:r>
      <w:r w:rsidR="00D7097E" w:rsidRPr="00125AA4">
        <w:rPr>
          <w:rStyle w:val="FootnoteReference"/>
          <w:rFonts w:ascii="Times New Roman" w:hAnsi="Times New Roman" w:cs="Times New Roman"/>
          <w:sz w:val="28"/>
          <w:szCs w:val="28"/>
          <w:lang w:val="bg-BG"/>
        </w:rPr>
        <w:footnoteReference w:id="8"/>
      </w:r>
      <w:r w:rsidRPr="00125AA4">
        <w:rPr>
          <w:rFonts w:ascii="Times New Roman" w:hAnsi="Times New Roman" w:cs="Times New Roman"/>
          <w:sz w:val="28"/>
          <w:szCs w:val="28"/>
          <w:lang w:val="bg-BG"/>
        </w:rPr>
        <w:t xml:space="preserve"> също отправя своите критики към еврото и еврозоната. Основните критики, които той отправя са свързани с </w:t>
      </w:r>
      <w:r w:rsidRPr="00125AA4">
        <w:rPr>
          <w:rFonts w:ascii="Times New Roman" w:hAnsi="Times New Roman" w:cs="Times New Roman"/>
          <w:sz w:val="28"/>
          <w:szCs w:val="28"/>
        </w:rPr>
        <w:t xml:space="preserve">TARGET2 </w:t>
      </w:r>
      <w:r w:rsidRPr="00125AA4">
        <w:rPr>
          <w:rFonts w:ascii="Times New Roman" w:hAnsi="Times New Roman" w:cs="Times New Roman"/>
          <w:sz w:val="28"/>
          <w:szCs w:val="28"/>
          <w:lang w:val="bg-BG"/>
        </w:rPr>
        <w:t xml:space="preserve">системата, която представлява система за брутен финансов сетълмент в реално време. В съвремието е заменена от системата Т2. Зин описва своите подозрения, че еврозоната създава предпоставки за краткотраен икономически бум при по-малките икономики в рамките на Европа, което от своя страна би довело до безразборно харчене, стагнация, криза и неплатежоспособност. В този </w:t>
      </w:r>
      <w:r w:rsidRPr="00125AA4">
        <w:rPr>
          <w:rFonts w:ascii="Times New Roman" w:hAnsi="Times New Roman" w:cs="Times New Roman"/>
          <w:sz w:val="28"/>
          <w:szCs w:val="28"/>
          <w:lang w:val="bg-BG"/>
        </w:rPr>
        <w:lastRenderedPageBreak/>
        <w:t xml:space="preserve">контекст </w:t>
      </w:r>
      <w:r w:rsidR="007E6F10" w:rsidRPr="00125AA4">
        <w:rPr>
          <w:rFonts w:ascii="Times New Roman" w:hAnsi="Times New Roman" w:cs="Times New Roman"/>
          <w:sz w:val="28"/>
          <w:szCs w:val="28"/>
          <w:lang w:val="bg-BG"/>
        </w:rPr>
        <w:t xml:space="preserve">Зин смята, че по-големите икономики следва да „спасят“ по-малките, при което големите европейски икономики биха се затруднили още повече.  </w:t>
      </w:r>
    </w:p>
    <w:p w14:paraId="6C875146" w14:textId="1280F0D8" w:rsidR="00D7097E" w:rsidRDefault="00D7097E" w:rsidP="0060407B">
      <w:pPr>
        <w:rPr>
          <w:rFonts w:ascii="Times New Roman" w:hAnsi="Times New Roman" w:cs="Times New Roman"/>
          <w:sz w:val="28"/>
          <w:szCs w:val="28"/>
          <w:lang w:val="bg-BG"/>
        </w:rPr>
      </w:pPr>
      <w:r w:rsidRPr="00125AA4">
        <w:rPr>
          <w:rFonts w:ascii="Times New Roman" w:hAnsi="Times New Roman" w:cs="Times New Roman"/>
          <w:sz w:val="28"/>
          <w:szCs w:val="28"/>
          <w:lang w:val="bg-BG"/>
        </w:rPr>
        <w:t xml:space="preserve">Прави се сравнение с т.нар </w:t>
      </w:r>
      <w:r w:rsidRPr="00125AA4">
        <w:rPr>
          <w:rFonts w:ascii="Times New Roman" w:hAnsi="Times New Roman" w:cs="Times New Roman"/>
          <w:sz w:val="28"/>
          <w:szCs w:val="28"/>
        </w:rPr>
        <w:t xml:space="preserve">“BELL” </w:t>
      </w:r>
      <w:r w:rsidRPr="00125AA4">
        <w:rPr>
          <w:rFonts w:ascii="Times New Roman" w:hAnsi="Times New Roman" w:cs="Times New Roman"/>
          <w:sz w:val="28"/>
          <w:szCs w:val="28"/>
          <w:lang w:val="bg-BG"/>
        </w:rPr>
        <w:t xml:space="preserve">страни – </w:t>
      </w:r>
      <w:r w:rsidRPr="00125AA4">
        <w:rPr>
          <w:rFonts w:ascii="Times New Roman" w:hAnsi="Times New Roman" w:cs="Times New Roman"/>
          <w:sz w:val="28"/>
          <w:szCs w:val="28"/>
        </w:rPr>
        <w:t xml:space="preserve">Bulgaria, Estonia, Lithuania, Latvia, </w:t>
      </w:r>
      <w:r w:rsidRPr="00125AA4">
        <w:rPr>
          <w:rFonts w:ascii="Times New Roman" w:hAnsi="Times New Roman" w:cs="Times New Roman"/>
          <w:sz w:val="28"/>
          <w:szCs w:val="28"/>
          <w:lang w:val="bg-BG"/>
        </w:rPr>
        <w:t xml:space="preserve">които към момента на кризата през 2009 г. са имали фиксирани валутни курсове спрямо еврото и при тях се наблюдава по-голяма икономическа гъвкавост и по-бърза адаптация, за разлика от южните страни, които са възприели еврото като валидно платежно средство и които се нуждаят от финансова помощ за справяне с кризата. </w:t>
      </w:r>
    </w:p>
    <w:p w14:paraId="77A45559" w14:textId="23BA580B" w:rsidR="00662E5D" w:rsidRPr="00D95201" w:rsidRDefault="00662E5D" w:rsidP="0060407B">
      <w:pPr>
        <w:rPr>
          <w:rFonts w:ascii="Times New Roman" w:hAnsi="Times New Roman" w:cs="Times New Roman"/>
          <w:sz w:val="28"/>
          <w:szCs w:val="28"/>
          <w:lang w:val="bg-BG"/>
        </w:rPr>
      </w:pPr>
      <w:r>
        <w:rPr>
          <w:rFonts w:ascii="Times New Roman" w:hAnsi="Times New Roman" w:cs="Times New Roman"/>
          <w:sz w:val="28"/>
          <w:szCs w:val="28"/>
          <w:lang w:val="bg-BG"/>
        </w:rPr>
        <w:t>В съвремието, Европейския съюз, посредством дигиталното евро създава финансова инфраструктура, която ще се използва като база за трансфери в рамките на Европейския съюз</w:t>
      </w:r>
      <w:r w:rsidR="00D95201">
        <w:rPr>
          <w:rFonts w:ascii="Times New Roman" w:hAnsi="Times New Roman" w:cs="Times New Roman"/>
          <w:sz w:val="28"/>
          <w:szCs w:val="28"/>
          <w:lang w:val="bg-BG"/>
        </w:rPr>
        <w:t xml:space="preserve">. Това е огромна конкуренция за </w:t>
      </w:r>
      <w:r w:rsidR="00D95201">
        <w:rPr>
          <w:rFonts w:ascii="Times New Roman" w:hAnsi="Times New Roman" w:cs="Times New Roman"/>
          <w:sz w:val="28"/>
          <w:szCs w:val="28"/>
        </w:rPr>
        <w:t xml:space="preserve">VISA </w:t>
      </w:r>
      <w:r w:rsidR="00D95201">
        <w:rPr>
          <w:rFonts w:ascii="Times New Roman" w:hAnsi="Times New Roman" w:cs="Times New Roman"/>
          <w:sz w:val="28"/>
          <w:szCs w:val="28"/>
          <w:lang w:val="bg-BG"/>
        </w:rPr>
        <w:t xml:space="preserve">и </w:t>
      </w:r>
      <w:r w:rsidR="00D95201">
        <w:rPr>
          <w:rFonts w:ascii="Times New Roman" w:hAnsi="Times New Roman" w:cs="Times New Roman"/>
          <w:sz w:val="28"/>
          <w:szCs w:val="28"/>
        </w:rPr>
        <w:t xml:space="preserve">Mastercard, </w:t>
      </w:r>
      <w:r w:rsidR="00D95201">
        <w:rPr>
          <w:rFonts w:ascii="Times New Roman" w:hAnsi="Times New Roman" w:cs="Times New Roman"/>
          <w:sz w:val="28"/>
          <w:szCs w:val="28"/>
          <w:lang w:val="bg-BG"/>
        </w:rPr>
        <w:t>които поддържат около 61% от картите в еврозоната и използването на такива карти автоматично създава т.нар „</w:t>
      </w:r>
      <w:r w:rsidR="00D95201">
        <w:rPr>
          <w:rFonts w:ascii="Times New Roman" w:hAnsi="Times New Roman" w:cs="Times New Roman"/>
          <w:sz w:val="28"/>
          <w:szCs w:val="28"/>
        </w:rPr>
        <w:t xml:space="preserve">interchange fees” </w:t>
      </w:r>
      <w:r w:rsidR="00D95201">
        <w:rPr>
          <w:rFonts w:ascii="Times New Roman" w:hAnsi="Times New Roman" w:cs="Times New Roman"/>
          <w:sz w:val="28"/>
          <w:szCs w:val="28"/>
          <w:lang w:val="bg-BG"/>
        </w:rPr>
        <w:t xml:space="preserve">за търговците, което оскъпява транзакциите и се отразява на цените. Създаването на дигитално евро няма да замести физическите банкноти и монети, а ще спомогне автономизацията на европейските картови плащания и трансфери. </w:t>
      </w:r>
    </w:p>
    <w:p w14:paraId="2144584F" w14:textId="7FB1BC1E" w:rsidR="008F6786" w:rsidRDefault="008F6786" w:rsidP="0060407B">
      <w:pPr>
        <w:rPr>
          <w:rFonts w:ascii="Times New Roman" w:hAnsi="Times New Roman" w:cs="Times New Roman"/>
          <w:sz w:val="28"/>
          <w:szCs w:val="28"/>
          <w:lang w:val="bg-BG"/>
        </w:rPr>
      </w:pPr>
    </w:p>
    <w:p w14:paraId="608AB90B" w14:textId="77777777" w:rsidR="002948D8" w:rsidRPr="00125AA4" w:rsidRDefault="002948D8" w:rsidP="0060407B">
      <w:pPr>
        <w:rPr>
          <w:rFonts w:ascii="Times New Roman" w:hAnsi="Times New Roman" w:cs="Times New Roman"/>
          <w:sz w:val="28"/>
          <w:szCs w:val="28"/>
          <w:lang w:val="bg-BG"/>
        </w:rPr>
      </w:pPr>
    </w:p>
    <w:p w14:paraId="48ADEB79" w14:textId="3B33D35E" w:rsidR="00103186" w:rsidRPr="002948D8" w:rsidRDefault="00621962" w:rsidP="00CC0E66">
      <w:pPr>
        <w:pStyle w:val="ListParagraph"/>
        <w:numPr>
          <w:ilvl w:val="0"/>
          <w:numId w:val="1"/>
        </w:numPr>
        <w:rPr>
          <w:rFonts w:ascii="Times New Roman" w:hAnsi="Times New Roman" w:cs="Times New Roman"/>
          <w:b/>
          <w:bCs/>
          <w:sz w:val="28"/>
          <w:szCs w:val="28"/>
        </w:rPr>
      </w:pPr>
      <w:r w:rsidRPr="002948D8">
        <w:rPr>
          <w:rFonts w:ascii="Times New Roman" w:hAnsi="Times New Roman" w:cs="Times New Roman"/>
          <w:b/>
          <w:bCs/>
          <w:sz w:val="28"/>
          <w:szCs w:val="28"/>
        </w:rPr>
        <w:t>Заключение</w:t>
      </w:r>
    </w:p>
    <w:p w14:paraId="4E40957D" w14:textId="221B5A2C" w:rsidR="000C04EA" w:rsidRPr="00125AA4" w:rsidRDefault="000C04EA" w:rsidP="000C04EA">
      <w:pPr>
        <w:rPr>
          <w:rFonts w:ascii="Times New Roman" w:hAnsi="Times New Roman" w:cs="Times New Roman"/>
          <w:sz w:val="28"/>
          <w:szCs w:val="28"/>
          <w:lang w:val="bg-BG"/>
        </w:rPr>
      </w:pPr>
      <w:r w:rsidRPr="00125AA4">
        <w:rPr>
          <w:rFonts w:ascii="Times New Roman" w:hAnsi="Times New Roman" w:cs="Times New Roman"/>
          <w:sz w:val="28"/>
          <w:szCs w:val="28"/>
          <w:lang w:val="bg-BG"/>
        </w:rPr>
        <w:t xml:space="preserve">В заключение, евровалутата е силен картбланш, който Европейския съюз притежава и който увеличава геополитическите му възможности. Огромния пазар, конвертируемата валута и силните икономики фактически обезпечават стойността на всяка евромонета и всяка евробанкнота. </w:t>
      </w:r>
      <w:r w:rsidR="003215FC" w:rsidRPr="00125AA4">
        <w:rPr>
          <w:rFonts w:ascii="Times New Roman" w:hAnsi="Times New Roman" w:cs="Times New Roman"/>
          <w:sz w:val="28"/>
          <w:szCs w:val="28"/>
          <w:lang w:val="bg-BG"/>
        </w:rPr>
        <w:t xml:space="preserve">Към настоящия момент еврото комфортно поддържа второто място в световните класации по плащания и използваемост. </w:t>
      </w:r>
    </w:p>
    <w:p w14:paraId="07B2D607" w14:textId="3ACD58AB" w:rsidR="002948D8" w:rsidRDefault="000C04EA" w:rsidP="000C04EA">
      <w:pPr>
        <w:rPr>
          <w:rFonts w:ascii="Times New Roman" w:hAnsi="Times New Roman" w:cs="Times New Roman"/>
          <w:sz w:val="28"/>
          <w:szCs w:val="28"/>
          <w:lang w:val="bg-BG"/>
        </w:rPr>
      </w:pPr>
      <w:r w:rsidRPr="00125AA4">
        <w:rPr>
          <w:rFonts w:ascii="Times New Roman" w:hAnsi="Times New Roman" w:cs="Times New Roman"/>
          <w:sz w:val="28"/>
          <w:szCs w:val="28"/>
          <w:lang w:val="bg-BG"/>
        </w:rPr>
        <w:t>Континента Европа обаче се намира в бурен геополитически период, в период на смяна на правителства, администрации, дискурси и доктрини</w:t>
      </w:r>
      <w:r w:rsidR="008B5477" w:rsidRPr="00125AA4">
        <w:rPr>
          <w:rFonts w:ascii="Times New Roman" w:hAnsi="Times New Roman" w:cs="Times New Roman"/>
          <w:sz w:val="28"/>
          <w:szCs w:val="28"/>
          <w:lang w:val="bg-BG"/>
        </w:rPr>
        <w:t xml:space="preserve">, докато други се заздрвяват и засилват. </w:t>
      </w:r>
      <w:r w:rsidR="008B5477" w:rsidRPr="00125AA4">
        <w:rPr>
          <w:rFonts w:ascii="Times New Roman" w:hAnsi="Times New Roman" w:cs="Times New Roman"/>
          <w:sz w:val="28"/>
          <w:szCs w:val="28"/>
          <w:lang w:val="bg-BG"/>
        </w:rPr>
        <w:br/>
      </w:r>
      <w:r w:rsidR="002948D8">
        <w:rPr>
          <w:rFonts w:ascii="Times New Roman" w:hAnsi="Times New Roman" w:cs="Times New Roman"/>
          <w:sz w:val="28"/>
          <w:szCs w:val="28"/>
          <w:lang w:val="bg-BG"/>
        </w:rPr>
        <w:t xml:space="preserve">Европейските страни попадат понякога както в затруднените ситуации на взимане на ан блок решения, които макар от една гледна точка да са изключително демократични от гледна точка на вземане под внимание на мненията на всички страни, така става проблем, при наличие на </w:t>
      </w:r>
      <w:r w:rsidR="002948D8">
        <w:rPr>
          <w:rFonts w:ascii="Times New Roman" w:hAnsi="Times New Roman" w:cs="Times New Roman"/>
          <w:sz w:val="28"/>
          <w:szCs w:val="28"/>
          <w:lang w:val="bg-BG"/>
        </w:rPr>
        <w:lastRenderedPageBreak/>
        <w:t xml:space="preserve">антисистемни играчи в тези отношения. Например, при наличие на проруски представители в съвета на министрите, помощите, които се отпускат за Украйна се затрудняват. Отделно, Европейските страни трябва да се справят с руските заплахи и хибридните атаки, който Русия отправя към Европа. </w:t>
      </w:r>
    </w:p>
    <w:p w14:paraId="49BB2E19" w14:textId="75002BA0" w:rsidR="003215FC" w:rsidRDefault="00566D09" w:rsidP="00621962">
      <w:pPr>
        <w:rPr>
          <w:rFonts w:ascii="Times New Roman" w:hAnsi="Times New Roman" w:cs="Times New Roman"/>
          <w:sz w:val="28"/>
          <w:szCs w:val="28"/>
          <w:lang w:val="bg-BG"/>
        </w:rPr>
      </w:pPr>
      <w:r>
        <w:rPr>
          <w:rFonts w:ascii="Times New Roman" w:hAnsi="Times New Roman" w:cs="Times New Roman"/>
          <w:sz w:val="28"/>
          <w:szCs w:val="28"/>
          <w:lang w:val="bg-BG"/>
        </w:rPr>
        <w:t xml:space="preserve">Търговските възможности на Европейския континент и високата платежоспособност на неговите жители силно способстват влиянието на евровалутата и на меката сила на Европейския съюз. </w:t>
      </w:r>
    </w:p>
    <w:p w14:paraId="22969522" w14:textId="1D353FEE" w:rsidR="00566D09" w:rsidRDefault="00566D09" w:rsidP="00621962">
      <w:pPr>
        <w:rPr>
          <w:rFonts w:ascii="Times New Roman" w:hAnsi="Times New Roman" w:cs="Times New Roman"/>
          <w:sz w:val="28"/>
          <w:szCs w:val="28"/>
          <w:lang w:val="bg-BG"/>
        </w:rPr>
      </w:pPr>
      <w:r>
        <w:rPr>
          <w:rFonts w:ascii="Times New Roman" w:hAnsi="Times New Roman" w:cs="Times New Roman"/>
          <w:sz w:val="28"/>
          <w:szCs w:val="28"/>
          <w:lang w:val="bg-BG"/>
        </w:rPr>
        <w:t xml:space="preserve">Макар Европейският съюз трябва да предприеме сериозни въоръжителни действия, както за поддържане на сигурността и реда, така и за възможност за отговор на руските заплахи и атаки, Европа остава център на либерализма, толерантността и макар крайният либерализъм да се изчерпва теоретично, съумяване запазването на толерантността и миролюбивостта на хората би запазило Европа като желана дестинация за развитие, спокоен живот, икономическа активност и запазване на човешките права. </w:t>
      </w:r>
    </w:p>
    <w:p w14:paraId="5B124703" w14:textId="673B21BE" w:rsidR="002948D8" w:rsidRPr="00D95201" w:rsidRDefault="002948D8" w:rsidP="00621962">
      <w:pPr>
        <w:rPr>
          <w:rFonts w:ascii="Times New Roman" w:hAnsi="Times New Roman" w:cs="Times New Roman"/>
          <w:sz w:val="28"/>
          <w:szCs w:val="28"/>
        </w:rPr>
      </w:pPr>
    </w:p>
    <w:p w14:paraId="628A6630" w14:textId="77777777" w:rsidR="002948D8" w:rsidRPr="00125AA4" w:rsidRDefault="002948D8" w:rsidP="00621962">
      <w:pPr>
        <w:rPr>
          <w:rFonts w:ascii="Times New Roman" w:hAnsi="Times New Roman" w:cs="Times New Roman"/>
          <w:sz w:val="28"/>
          <w:szCs w:val="28"/>
          <w:lang w:val="bg-BG"/>
        </w:rPr>
      </w:pPr>
    </w:p>
    <w:p w14:paraId="5D949AEE" w14:textId="1C7879B3" w:rsidR="004E3802" w:rsidRPr="002948D8" w:rsidRDefault="002948D8" w:rsidP="002948D8">
      <w:pPr>
        <w:pStyle w:val="ListParagraph"/>
        <w:numPr>
          <w:ilvl w:val="0"/>
          <w:numId w:val="1"/>
        </w:numPr>
        <w:rPr>
          <w:rFonts w:ascii="Times New Roman" w:hAnsi="Times New Roman" w:cs="Times New Roman"/>
          <w:sz w:val="28"/>
          <w:szCs w:val="28"/>
          <w:lang w:val="bg-BG"/>
        </w:rPr>
      </w:pPr>
      <w:r w:rsidRPr="002948D8">
        <w:rPr>
          <w:rFonts w:ascii="Times New Roman" w:hAnsi="Times New Roman" w:cs="Times New Roman"/>
          <w:sz w:val="28"/>
          <w:szCs w:val="28"/>
          <w:lang w:val="bg-BG"/>
        </w:rPr>
        <w:t>Библиография:</w:t>
      </w:r>
    </w:p>
    <w:p w14:paraId="0C643F14" w14:textId="77777777" w:rsidR="002948D8" w:rsidRPr="00125AA4" w:rsidRDefault="002948D8" w:rsidP="00F13E12">
      <w:pPr>
        <w:rPr>
          <w:rFonts w:ascii="Times New Roman" w:hAnsi="Times New Roman" w:cs="Times New Roman"/>
          <w:sz w:val="28"/>
          <w:szCs w:val="28"/>
          <w:lang w:val="bg-BG"/>
        </w:rPr>
      </w:pPr>
    </w:p>
    <w:p w14:paraId="1123EABE" w14:textId="44692AB4" w:rsidR="00945A6E" w:rsidRPr="00125AA4" w:rsidRDefault="00945A6E" w:rsidP="00945A6E">
      <w:pPr>
        <w:pStyle w:val="NormalWeb"/>
        <w:numPr>
          <w:ilvl w:val="0"/>
          <w:numId w:val="14"/>
        </w:numPr>
        <w:rPr>
          <w:sz w:val="28"/>
          <w:szCs w:val="28"/>
        </w:rPr>
      </w:pPr>
      <w:r w:rsidRPr="00125AA4">
        <w:rPr>
          <w:b/>
          <w:bCs/>
          <w:sz w:val="28"/>
          <w:szCs w:val="28"/>
        </w:rPr>
        <w:t>Artificial Intelligence Index Report 2025</w:t>
      </w:r>
      <w:r w:rsidRPr="00125AA4">
        <w:rPr>
          <w:sz w:val="28"/>
          <w:szCs w:val="28"/>
        </w:rPr>
        <w:t>. HAI, Stanford University.</w:t>
      </w:r>
    </w:p>
    <w:p w14:paraId="29F136AB" w14:textId="48E6706D" w:rsidR="00945A6E" w:rsidRPr="00125AA4" w:rsidRDefault="00945A6E" w:rsidP="00945A6E">
      <w:pPr>
        <w:pStyle w:val="NormalWeb"/>
        <w:numPr>
          <w:ilvl w:val="0"/>
          <w:numId w:val="14"/>
        </w:numPr>
        <w:rPr>
          <w:sz w:val="28"/>
          <w:szCs w:val="28"/>
        </w:rPr>
      </w:pPr>
      <w:r w:rsidRPr="00125AA4">
        <w:rPr>
          <w:b/>
          <w:bCs/>
          <w:sz w:val="28"/>
          <w:szCs w:val="28"/>
        </w:rPr>
        <w:t>Europe and the Global Information Society</w:t>
      </w:r>
      <w:r w:rsidRPr="00125AA4">
        <w:rPr>
          <w:sz w:val="28"/>
          <w:szCs w:val="28"/>
        </w:rPr>
        <w:t>. Bangemann report recommendations to the European Council.</w:t>
      </w:r>
    </w:p>
    <w:p w14:paraId="25CB0814" w14:textId="69F72863" w:rsidR="00945A6E" w:rsidRPr="00125AA4" w:rsidRDefault="00EB3DD2" w:rsidP="00945A6E">
      <w:pPr>
        <w:pStyle w:val="NormalWeb"/>
        <w:numPr>
          <w:ilvl w:val="0"/>
          <w:numId w:val="14"/>
        </w:numPr>
        <w:rPr>
          <w:sz w:val="28"/>
          <w:szCs w:val="28"/>
        </w:rPr>
      </w:pPr>
      <w:hyperlink r:id="rId10" w:history="1">
        <w:r w:rsidR="00945A6E" w:rsidRPr="00125AA4">
          <w:rPr>
            <w:rStyle w:val="Hyperlink"/>
            <w:b/>
            <w:bCs/>
            <w:sz w:val="28"/>
            <w:szCs w:val="28"/>
          </w:rPr>
          <w:t>https://defence-industry-space.ec.europa.eu/eu-defence-industry/readinessroadmap-2030_en</w:t>
        </w:r>
      </w:hyperlink>
    </w:p>
    <w:p w14:paraId="49D55C5E" w14:textId="03DA9D88" w:rsidR="00520E68" w:rsidRPr="00125AA4" w:rsidRDefault="00EB3DD2" w:rsidP="00945A6E">
      <w:pPr>
        <w:pStyle w:val="NormalWeb"/>
        <w:numPr>
          <w:ilvl w:val="0"/>
          <w:numId w:val="14"/>
        </w:numPr>
        <w:rPr>
          <w:b/>
          <w:bCs/>
          <w:sz w:val="28"/>
          <w:szCs w:val="28"/>
        </w:rPr>
      </w:pPr>
      <w:hyperlink r:id="rId11" w:history="1">
        <w:r w:rsidR="00520E68" w:rsidRPr="00125AA4">
          <w:rPr>
            <w:rStyle w:val="Hyperlink"/>
            <w:b/>
            <w:bCs/>
            <w:sz w:val="28"/>
            <w:szCs w:val="28"/>
          </w:rPr>
          <w:t>https://en.macromicro.me/charts/117199/global-share-of-international-payments-via-swift-by-major-currency</w:t>
        </w:r>
      </w:hyperlink>
      <w:r w:rsidR="00520E68" w:rsidRPr="00125AA4">
        <w:rPr>
          <w:b/>
          <w:bCs/>
          <w:sz w:val="28"/>
          <w:szCs w:val="28"/>
        </w:rPr>
        <w:t xml:space="preserve"> </w:t>
      </w:r>
    </w:p>
    <w:p w14:paraId="74DA1A6F" w14:textId="6ED43802" w:rsidR="009023DD" w:rsidRPr="00125AA4" w:rsidRDefault="00EB3DD2" w:rsidP="00945A6E">
      <w:pPr>
        <w:pStyle w:val="NormalWeb"/>
        <w:numPr>
          <w:ilvl w:val="0"/>
          <w:numId w:val="14"/>
        </w:numPr>
        <w:rPr>
          <w:b/>
          <w:bCs/>
          <w:sz w:val="28"/>
          <w:szCs w:val="28"/>
        </w:rPr>
      </w:pPr>
      <w:hyperlink r:id="rId12" w:history="1">
        <w:r w:rsidR="009023DD" w:rsidRPr="00125AA4">
          <w:rPr>
            <w:rStyle w:val="Hyperlink"/>
            <w:b/>
            <w:bCs/>
            <w:sz w:val="28"/>
            <w:szCs w:val="28"/>
          </w:rPr>
          <w:t>https://www.europarl.europa.eu/RegData/etudes/BRIE/2025/769566/EPRS_BRI(2025)769566_EN.pdf</w:t>
        </w:r>
      </w:hyperlink>
      <w:r w:rsidR="009023DD" w:rsidRPr="00125AA4">
        <w:rPr>
          <w:b/>
          <w:bCs/>
          <w:sz w:val="28"/>
          <w:szCs w:val="28"/>
        </w:rPr>
        <w:t xml:space="preserve"> </w:t>
      </w:r>
    </w:p>
    <w:p w14:paraId="7901A574" w14:textId="39E6E54A" w:rsidR="00945A6E" w:rsidRPr="00125AA4" w:rsidRDefault="00EB3DD2" w:rsidP="00945A6E">
      <w:pPr>
        <w:pStyle w:val="NormalWeb"/>
        <w:numPr>
          <w:ilvl w:val="0"/>
          <w:numId w:val="14"/>
        </w:numPr>
        <w:rPr>
          <w:sz w:val="28"/>
          <w:szCs w:val="28"/>
        </w:rPr>
      </w:pPr>
      <w:hyperlink r:id="rId13" w:history="1">
        <w:r w:rsidR="00945A6E" w:rsidRPr="00125AA4">
          <w:rPr>
            <w:rStyle w:val="Hyperlink"/>
            <w:b/>
            <w:bCs/>
            <w:sz w:val="28"/>
            <w:szCs w:val="28"/>
          </w:rPr>
          <w:t>https://www.investopedia.com/articles/markets-economy/090516/10-countries-mst-natural-resources.asp</w:t>
        </w:r>
      </w:hyperlink>
    </w:p>
    <w:p w14:paraId="4F354A33" w14:textId="0095F2FA" w:rsidR="00945A6E" w:rsidRPr="00125AA4" w:rsidRDefault="00EB3DD2" w:rsidP="00945A6E">
      <w:pPr>
        <w:pStyle w:val="NormalWeb"/>
        <w:numPr>
          <w:ilvl w:val="0"/>
          <w:numId w:val="14"/>
        </w:numPr>
        <w:rPr>
          <w:sz w:val="28"/>
          <w:szCs w:val="28"/>
        </w:rPr>
      </w:pPr>
      <w:hyperlink r:id="rId14" w:history="1">
        <w:r w:rsidR="00945A6E" w:rsidRPr="00125AA4">
          <w:rPr>
            <w:rStyle w:val="Hyperlink"/>
            <w:b/>
            <w:bCs/>
            <w:sz w:val="28"/>
            <w:szCs w:val="28"/>
          </w:rPr>
          <w:t>https://www.nasdaq.com/articles/rare-earths-reserves-top-8-countries</w:t>
        </w:r>
      </w:hyperlink>
    </w:p>
    <w:p w14:paraId="4A6C787E" w14:textId="4367D990" w:rsidR="00945A6E" w:rsidRPr="00125AA4" w:rsidRDefault="00EB3DD2" w:rsidP="00945A6E">
      <w:pPr>
        <w:pStyle w:val="NormalWeb"/>
        <w:numPr>
          <w:ilvl w:val="0"/>
          <w:numId w:val="14"/>
        </w:numPr>
        <w:rPr>
          <w:sz w:val="28"/>
          <w:szCs w:val="28"/>
        </w:rPr>
      </w:pPr>
      <w:hyperlink r:id="rId15" w:tgtFrame="_blank" w:history="1">
        <w:r w:rsidR="00945A6E" w:rsidRPr="00125AA4">
          <w:rPr>
            <w:rStyle w:val="Hyperlink"/>
            <w:b/>
            <w:bCs/>
            <w:sz w:val="28"/>
            <w:szCs w:val="28"/>
          </w:rPr>
          <w:t>https://www.spglobal.com/market-intelligence/en/news-insights/articles/2025/4/the-worlds-largest-banks-by-assets-2025-88424232</w:t>
        </w:r>
      </w:hyperlink>
    </w:p>
    <w:p w14:paraId="3E575E2E" w14:textId="02123A50" w:rsidR="00945A6E" w:rsidRPr="00125AA4" w:rsidRDefault="00945A6E" w:rsidP="00945A6E">
      <w:pPr>
        <w:pStyle w:val="NormalWeb"/>
        <w:numPr>
          <w:ilvl w:val="0"/>
          <w:numId w:val="14"/>
        </w:numPr>
        <w:rPr>
          <w:sz w:val="28"/>
          <w:szCs w:val="28"/>
        </w:rPr>
      </w:pPr>
      <w:r w:rsidRPr="00125AA4">
        <w:rPr>
          <w:b/>
          <w:bCs/>
          <w:sz w:val="28"/>
          <w:szCs w:val="28"/>
        </w:rPr>
        <w:lastRenderedPageBreak/>
        <w:t>Lisbon European Council</w:t>
      </w:r>
      <w:r w:rsidRPr="00125AA4">
        <w:rPr>
          <w:sz w:val="28"/>
          <w:szCs w:val="28"/>
        </w:rPr>
        <w:t>. Briefing note for the meeting of the EMPL Committee 5 Oct. 2009 regarding the exchange of views on the Lisbon Strategy and the EU cooperation in the field of social inclusion.</w:t>
      </w:r>
    </w:p>
    <w:p w14:paraId="38C4CD79" w14:textId="1053D01A" w:rsidR="00945A6E" w:rsidRPr="00125AA4" w:rsidRDefault="00945A6E" w:rsidP="00945A6E">
      <w:pPr>
        <w:pStyle w:val="NormalWeb"/>
        <w:numPr>
          <w:ilvl w:val="0"/>
          <w:numId w:val="14"/>
        </w:numPr>
        <w:rPr>
          <w:sz w:val="28"/>
          <w:szCs w:val="28"/>
        </w:rPr>
      </w:pPr>
      <w:r w:rsidRPr="00125AA4">
        <w:rPr>
          <w:b/>
          <w:bCs/>
          <w:sz w:val="28"/>
          <w:szCs w:val="28"/>
        </w:rPr>
        <w:t>Mucha-Lezko, B, Twarowska, K</w:t>
      </w:r>
      <w:r w:rsidRPr="00125AA4">
        <w:rPr>
          <w:sz w:val="28"/>
          <w:szCs w:val="28"/>
        </w:rPr>
        <w:t>. The European Union as a global economic power.</w:t>
      </w:r>
    </w:p>
    <w:p w14:paraId="710B6EB9" w14:textId="69C80DC7" w:rsidR="00945A6E" w:rsidRPr="00125AA4" w:rsidRDefault="00945A6E" w:rsidP="00945A6E">
      <w:pPr>
        <w:pStyle w:val="NormalWeb"/>
        <w:numPr>
          <w:ilvl w:val="0"/>
          <w:numId w:val="14"/>
        </w:numPr>
        <w:rPr>
          <w:sz w:val="28"/>
          <w:szCs w:val="28"/>
        </w:rPr>
      </w:pPr>
      <w:r w:rsidRPr="00125AA4">
        <w:rPr>
          <w:b/>
          <w:bCs/>
          <w:sz w:val="28"/>
          <w:szCs w:val="28"/>
        </w:rPr>
        <w:t>Report on economic and monetary union in the European Community</w:t>
      </w:r>
      <w:r w:rsidRPr="00125AA4">
        <w:rPr>
          <w:sz w:val="28"/>
          <w:szCs w:val="28"/>
        </w:rPr>
        <w:t>. Committee for the Study of Economic and Monetary Union.</w:t>
      </w:r>
    </w:p>
    <w:p w14:paraId="5EA3B241" w14:textId="4CF72270" w:rsidR="00945A6E" w:rsidRPr="00125AA4" w:rsidRDefault="00945A6E" w:rsidP="00945A6E">
      <w:pPr>
        <w:pStyle w:val="NormalWeb"/>
        <w:numPr>
          <w:ilvl w:val="0"/>
          <w:numId w:val="14"/>
        </w:numPr>
        <w:rPr>
          <w:sz w:val="28"/>
          <w:szCs w:val="28"/>
        </w:rPr>
      </w:pPr>
      <w:r w:rsidRPr="00125AA4">
        <w:rPr>
          <w:b/>
          <w:bCs/>
          <w:sz w:val="28"/>
          <w:szCs w:val="28"/>
        </w:rPr>
        <w:t>Simma, Bruno; Khan, Daniel-Erasmus; Nolte, Georg; Paulus, Andreas</w:t>
      </w:r>
      <w:r w:rsidRPr="00125AA4">
        <w:rPr>
          <w:sz w:val="28"/>
          <w:szCs w:val="28"/>
        </w:rPr>
        <w:t>. The Charter of the United Nations: A Commentary. Oxford Commentaries on International Law (3 ed.). Oxford: Oxford University Press. p. 1935. ISBN 978-0-191-653872.</w:t>
      </w:r>
    </w:p>
    <w:p w14:paraId="48FA5BFA" w14:textId="00BFDEF8" w:rsidR="00945A6E" w:rsidRPr="00125AA4" w:rsidRDefault="00945A6E" w:rsidP="00945A6E">
      <w:pPr>
        <w:pStyle w:val="NormalWeb"/>
        <w:numPr>
          <w:ilvl w:val="0"/>
          <w:numId w:val="14"/>
        </w:numPr>
        <w:rPr>
          <w:sz w:val="28"/>
          <w:szCs w:val="28"/>
        </w:rPr>
      </w:pPr>
      <w:r w:rsidRPr="00125AA4">
        <w:rPr>
          <w:b/>
          <w:bCs/>
          <w:sz w:val="28"/>
          <w:szCs w:val="28"/>
        </w:rPr>
        <w:t>Sinn, Hans Werner</w:t>
      </w:r>
      <w:r w:rsidRPr="00125AA4">
        <w:rPr>
          <w:sz w:val="28"/>
          <w:szCs w:val="28"/>
        </w:rPr>
        <w:t>. The Euro Trap. On Bursting Bubbles, Budgets and Beliefs. Oxford University Press. p. 209-253. ISBN: 978-0-19-870213-9.</w:t>
      </w:r>
    </w:p>
    <w:p w14:paraId="47A76308" w14:textId="1C67C975" w:rsidR="00945A6E" w:rsidRPr="00125AA4" w:rsidRDefault="00945A6E" w:rsidP="00945A6E">
      <w:pPr>
        <w:pStyle w:val="NormalWeb"/>
        <w:numPr>
          <w:ilvl w:val="0"/>
          <w:numId w:val="14"/>
        </w:numPr>
        <w:rPr>
          <w:sz w:val="28"/>
          <w:szCs w:val="28"/>
        </w:rPr>
      </w:pPr>
      <w:r w:rsidRPr="00125AA4">
        <w:rPr>
          <w:b/>
          <w:bCs/>
          <w:sz w:val="28"/>
          <w:szCs w:val="28"/>
        </w:rPr>
        <w:t>Stiglitz, J. E.</w:t>
      </w:r>
      <w:r w:rsidRPr="00125AA4">
        <w:rPr>
          <w:sz w:val="28"/>
          <w:szCs w:val="28"/>
        </w:rPr>
        <w:t xml:space="preserve"> The Euro And Its Threat to The Future of Europe. Penguin Books. p. 85- 145. ISBN: 978-0-141-98324-0.</w:t>
      </w:r>
    </w:p>
    <w:p w14:paraId="38560AA5" w14:textId="21FABE03" w:rsidR="00945A6E" w:rsidRPr="00125AA4" w:rsidRDefault="00945A6E" w:rsidP="00125AA4">
      <w:pPr>
        <w:pStyle w:val="NormalWeb"/>
        <w:numPr>
          <w:ilvl w:val="0"/>
          <w:numId w:val="14"/>
        </w:numPr>
        <w:rPr>
          <w:sz w:val="28"/>
          <w:szCs w:val="28"/>
        </w:rPr>
      </w:pPr>
      <w:r w:rsidRPr="00125AA4">
        <w:rPr>
          <w:b/>
          <w:bCs/>
          <w:sz w:val="28"/>
          <w:szCs w:val="28"/>
        </w:rPr>
        <w:t>US National Security Strategy 2025</w:t>
      </w:r>
      <w:r w:rsidRPr="00125AA4">
        <w:rPr>
          <w:sz w:val="28"/>
          <w:szCs w:val="28"/>
        </w:rPr>
        <w:t>.</w:t>
      </w:r>
    </w:p>
    <w:p w14:paraId="188579CB" w14:textId="6E78088E" w:rsidR="00F13E12" w:rsidRPr="00125AA4" w:rsidRDefault="00F13E12" w:rsidP="00F13E12">
      <w:pPr>
        <w:rPr>
          <w:rFonts w:ascii="Times New Roman" w:hAnsi="Times New Roman" w:cs="Times New Roman"/>
          <w:sz w:val="28"/>
          <w:szCs w:val="28"/>
        </w:rPr>
      </w:pPr>
    </w:p>
    <w:sectPr w:rsidR="00F13E12" w:rsidRPr="00125AA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7E264" w14:textId="77777777" w:rsidR="00EB3DD2" w:rsidRDefault="00EB3DD2" w:rsidP="00B7182E">
      <w:pPr>
        <w:spacing w:after="0" w:line="240" w:lineRule="auto"/>
      </w:pPr>
      <w:r>
        <w:separator/>
      </w:r>
    </w:p>
  </w:endnote>
  <w:endnote w:type="continuationSeparator" w:id="0">
    <w:p w14:paraId="5224015F" w14:textId="77777777" w:rsidR="00EB3DD2" w:rsidRDefault="00EB3DD2" w:rsidP="00B71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1E78ED" w14:textId="77777777" w:rsidR="00EB3DD2" w:rsidRDefault="00EB3DD2" w:rsidP="00B7182E">
      <w:pPr>
        <w:spacing w:after="0" w:line="240" w:lineRule="auto"/>
      </w:pPr>
      <w:r>
        <w:separator/>
      </w:r>
    </w:p>
  </w:footnote>
  <w:footnote w:type="continuationSeparator" w:id="0">
    <w:p w14:paraId="03B30E43" w14:textId="77777777" w:rsidR="00EB3DD2" w:rsidRDefault="00EB3DD2" w:rsidP="00B7182E">
      <w:pPr>
        <w:spacing w:after="0" w:line="240" w:lineRule="auto"/>
      </w:pPr>
      <w:r>
        <w:continuationSeparator/>
      </w:r>
    </w:p>
  </w:footnote>
  <w:footnote w:id="1">
    <w:p w14:paraId="6D160A08" w14:textId="27BD98DC" w:rsidR="00B7182E" w:rsidRPr="00B7182E" w:rsidRDefault="00B7182E">
      <w:pPr>
        <w:pStyle w:val="FootnoteText"/>
      </w:pPr>
      <w:r>
        <w:rPr>
          <w:rStyle w:val="FootnoteReference"/>
        </w:rPr>
        <w:footnoteRef/>
      </w:r>
      <w:r>
        <w:t xml:space="preserve"> Report on economic and monetary union in the European Community. Committee for the Study of Economic and Monetary Union. </w:t>
      </w:r>
    </w:p>
  </w:footnote>
  <w:footnote w:id="2">
    <w:p w14:paraId="47FE1D57" w14:textId="41F3D783" w:rsidR="0022593E" w:rsidRPr="0022593E" w:rsidRDefault="0022593E">
      <w:pPr>
        <w:pStyle w:val="FootnoteText"/>
      </w:pPr>
      <w:r>
        <w:rPr>
          <w:rStyle w:val="FootnoteReference"/>
        </w:rPr>
        <w:footnoteRef/>
      </w:r>
      <w:r>
        <w:t xml:space="preserve"> Mucha-Lezko, B, Twarowska, K. The European Union as a global economic power</w:t>
      </w:r>
    </w:p>
  </w:footnote>
  <w:footnote w:id="3">
    <w:p w14:paraId="67F9BB35" w14:textId="230C6C18" w:rsidR="005A514D" w:rsidRPr="005A514D" w:rsidRDefault="005A514D">
      <w:pPr>
        <w:pStyle w:val="FootnoteText"/>
      </w:pPr>
      <w:r>
        <w:rPr>
          <w:rStyle w:val="FootnoteReference"/>
        </w:rPr>
        <w:footnoteRef/>
      </w:r>
      <w:r>
        <w:t xml:space="preserve"> Europe and the Global Information Society. Bangemann report recommendations to the European Council </w:t>
      </w:r>
    </w:p>
  </w:footnote>
  <w:footnote w:id="4">
    <w:p w14:paraId="21EE2E5D" w14:textId="1460156A" w:rsidR="005A514D" w:rsidRDefault="005A514D">
      <w:pPr>
        <w:pStyle w:val="FootnoteText"/>
      </w:pPr>
      <w:r>
        <w:rPr>
          <w:rStyle w:val="FootnoteReference"/>
        </w:rPr>
        <w:footnoteRef/>
      </w:r>
      <w:r>
        <w:t xml:space="preserve"> Lisbon European Council. Briefing note for the meeting of the EMPL Committee 5 Oct. 2009 regarding the exchange of views on the Lisbon Strategy and the EU cooperation in the field of social inclusion  </w:t>
      </w:r>
    </w:p>
  </w:footnote>
  <w:footnote w:id="5">
    <w:p w14:paraId="3752DF16" w14:textId="348DA1AC" w:rsidR="006774B9" w:rsidRPr="00036AA8" w:rsidRDefault="006774B9">
      <w:pPr>
        <w:pStyle w:val="FootnoteText"/>
        <w:rPr>
          <w:lang w:val="bg-BG"/>
        </w:rPr>
      </w:pPr>
      <w:r>
        <w:rPr>
          <w:rStyle w:val="FootnoteReference"/>
        </w:rPr>
        <w:footnoteRef/>
      </w:r>
      <w:r>
        <w:t xml:space="preserve"> Artificial Intelligence Index Report 2025</w:t>
      </w:r>
      <w:r w:rsidR="00365560">
        <w:t>. HAI, Stanford University.</w:t>
      </w:r>
    </w:p>
  </w:footnote>
  <w:footnote w:id="6">
    <w:p w14:paraId="4D2FF5A5" w14:textId="5DD0309E" w:rsidR="00F13E12" w:rsidRDefault="00F13E12">
      <w:pPr>
        <w:pStyle w:val="FootnoteText"/>
      </w:pPr>
      <w:r>
        <w:rPr>
          <w:rStyle w:val="FootnoteReference"/>
        </w:rPr>
        <w:footnoteRef/>
      </w:r>
      <w:r>
        <w:t xml:space="preserve"> </w:t>
      </w:r>
      <w:r w:rsidRPr="00F13E12">
        <w:t xml:space="preserve"> </w:t>
      </w:r>
      <w:bookmarkStart w:id="0" w:name="_Hlk218527699"/>
      <w:r w:rsidRPr="00F13E12">
        <w:rPr>
          <w:rFonts w:ascii="Times New Roman" w:hAnsi="Times New Roman" w:cs="Times New Roman"/>
        </w:rPr>
        <w:t>Simma, Bruno; Khan, Daniel-Erasmus; Nolte, Georg; Paulus, Andreas, eds. (22 November 2012) [1994]. The Charter of the United Nations: A Commentary. Oxford Commentaries on International Law (3 ed.). Oxford: Oxford University Press. p. 1935. ISBN 9780191653872.</w:t>
      </w:r>
    </w:p>
    <w:bookmarkEnd w:id="0"/>
  </w:footnote>
  <w:footnote w:id="7">
    <w:p w14:paraId="5073A570" w14:textId="7D737E65" w:rsidR="002437BB" w:rsidRDefault="002437BB">
      <w:pPr>
        <w:pStyle w:val="FootnoteText"/>
      </w:pPr>
      <w:r>
        <w:rPr>
          <w:rStyle w:val="FootnoteReference"/>
        </w:rPr>
        <w:footnoteRef/>
      </w:r>
      <w:r>
        <w:t xml:space="preserve"> </w:t>
      </w:r>
      <w:hyperlink r:id="rId1" w:history="1">
        <w:r w:rsidRPr="00CF0664">
          <w:rPr>
            <w:rStyle w:val="Hyperlink"/>
          </w:rPr>
          <w:t>https://www.europarl.europa.eu/RegData/etudes/BRIE/2025/769566/EPRS_BRI(2025)769566_EN.pdf</w:t>
        </w:r>
      </w:hyperlink>
      <w:r>
        <w:t xml:space="preserve"> </w:t>
      </w:r>
    </w:p>
  </w:footnote>
  <w:footnote w:id="8">
    <w:p w14:paraId="3F4CBC94" w14:textId="738363AC" w:rsidR="00D7097E" w:rsidRPr="00D7097E" w:rsidRDefault="00D7097E">
      <w:pPr>
        <w:pStyle w:val="FootnoteText"/>
        <w:rPr>
          <w:lang w:val="bg-BG"/>
        </w:rPr>
      </w:pPr>
      <w:r>
        <w:rPr>
          <w:rStyle w:val="FootnoteReference"/>
        </w:rPr>
        <w:footnoteRef/>
      </w:r>
      <w:r w:rsidRPr="00667EFB">
        <w:rPr>
          <w:sz w:val="16"/>
          <w:szCs w:val="16"/>
        </w:rPr>
        <w:t xml:space="preserve"> </w:t>
      </w:r>
      <w:r w:rsidR="00667EFB" w:rsidRPr="00667EFB">
        <w:t>Sinn, Hans Werner. The Euro Trap. On Bursting Bubbles, Budgets and Beliefs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9187B"/>
    <w:multiLevelType w:val="multilevel"/>
    <w:tmpl w:val="B2529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7724DD"/>
    <w:multiLevelType w:val="hybridMultilevel"/>
    <w:tmpl w:val="B01471D4"/>
    <w:lvl w:ilvl="0" w:tplc="4BF0C01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1B75111"/>
    <w:multiLevelType w:val="hybridMultilevel"/>
    <w:tmpl w:val="34D064B8"/>
    <w:lvl w:ilvl="0" w:tplc="D65AE26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AA7B37"/>
    <w:multiLevelType w:val="hybridMultilevel"/>
    <w:tmpl w:val="AEA0B7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582AFF"/>
    <w:multiLevelType w:val="hybridMultilevel"/>
    <w:tmpl w:val="47C6EF44"/>
    <w:lvl w:ilvl="0" w:tplc="40D475A8">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EDC237B"/>
    <w:multiLevelType w:val="hybridMultilevel"/>
    <w:tmpl w:val="8458C1AA"/>
    <w:lvl w:ilvl="0" w:tplc="5E28BA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3CD2C67"/>
    <w:multiLevelType w:val="hybridMultilevel"/>
    <w:tmpl w:val="6E74F8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17421D"/>
    <w:multiLevelType w:val="multilevel"/>
    <w:tmpl w:val="4A4CC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D95478"/>
    <w:multiLevelType w:val="hybridMultilevel"/>
    <w:tmpl w:val="AB5EA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B70220"/>
    <w:multiLevelType w:val="hybridMultilevel"/>
    <w:tmpl w:val="04F21920"/>
    <w:lvl w:ilvl="0" w:tplc="513E1D22">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042C89"/>
    <w:multiLevelType w:val="hybridMultilevel"/>
    <w:tmpl w:val="2DE864FC"/>
    <w:lvl w:ilvl="0" w:tplc="942275C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BD8427A"/>
    <w:multiLevelType w:val="hybridMultilevel"/>
    <w:tmpl w:val="43E661DE"/>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A333C4"/>
    <w:multiLevelType w:val="hybridMultilevel"/>
    <w:tmpl w:val="415AA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050651"/>
    <w:multiLevelType w:val="hybridMultilevel"/>
    <w:tmpl w:val="59FA65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A903C56"/>
    <w:multiLevelType w:val="multilevel"/>
    <w:tmpl w:val="BA8E7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9"/>
  </w:num>
  <w:num w:numId="3">
    <w:abstractNumId w:val="2"/>
  </w:num>
  <w:num w:numId="4">
    <w:abstractNumId w:val="6"/>
  </w:num>
  <w:num w:numId="5">
    <w:abstractNumId w:val="12"/>
  </w:num>
  <w:num w:numId="6">
    <w:abstractNumId w:val="13"/>
  </w:num>
  <w:num w:numId="7">
    <w:abstractNumId w:val="4"/>
  </w:num>
  <w:num w:numId="8">
    <w:abstractNumId w:val="1"/>
  </w:num>
  <w:num w:numId="9">
    <w:abstractNumId w:val="5"/>
  </w:num>
  <w:num w:numId="10">
    <w:abstractNumId w:val="3"/>
  </w:num>
  <w:num w:numId="11">
    <w:abstractNumId w:val="8"/>
  </w:num>
  <w:num w:numId="12">
    <w:abstractNumId w:val="7"/>
  </w:num>
  <w:num w:numId="13">
    <w:abstractNumId w:val="14"/>
  </w:num>
  <w:num w:numId="14">
    <w:abstractNumId w:val="1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853"/>
    <w:rsid w:val="0001350D"/>
    <w:rsid w:val="00036AA8"/>
    <w:rsid w:val="00072DAD"/>
    <w:rsid w:val="00074797"/>
    <w:rsid w:val="000A30A3"/>
    <w:rsid w:val="000C04EA"/>
    <w:rsid w:val="000D3F18"/>
    <w:rsid w:val="000E08E4"/>
    <w:rsid w:val="000E287D"/>
    <w:rsid w:val="00103186"/>
    <w:rsid w:val="0011313C"/>
    <w:rsid w:val="00114CFD"/>
    <w:rsid w:val="00114DF5"/>
    <w:rsid w:val="00125AA4"/>
    <w:rsid w:val="00126868"/>
    <w:rsid w:val="00170BFC"/>
    <w:rsid w:val="001A46A1"/>
    <w:rsid w:val="002166F7"/>
    <w:rsid w:val="00225252"/>
    <w:rsid w:val="0022593E"/>
    <w:rsid w:val="0023657F"/>
    <w:rsid w:val="002437BB"/>
    <w:rsid w:val="002511F2"/>
    <w:rsid w:val="00251DE2"/>
    <w:rsid w:val="00270820"/>
    <w:rsid w:val="0027177F"/>
    <w:rsid w:val="00274147"/>
    <w:rsid w:val="002948D8"/>
    <w:rsid w:val="002A1310"/>
    <w:rsid w:val="002A71CD"/>
    <w:rsid w:val="002C40BA"/>
    <w:rsid w:val="002C4F09"/>
    <w:rsid w:val="002E1CEE"/>
    <w:rsid w:val="002E5745"/>
    <w:rsid w:val="002E5853"/>
    <w:rsid w:val="00301A34"/>
    <w:rsid w:val="00303008"/>
    <w:rsid w:val="003031A2"/>
    <w:rsid w:val="003047C2"/>
    <w:rsid w:val="003215FC"/>
    <w:rsid w:val="00334BD4"/>
    <w:rsid w:val="003523B3"/>
    <w:rsid w:val="00352D81"/>
    <w:rsid w:val="00365560"/>
    <w:rsid w:val="00394EA7"/>
    <w:rsid w:val="003A5C44"/>
    <w:rsid w:val="003B3EDE"/>
    <w:rsid w:val="003B4FE6"/>
    <w:rsid w:val="003F1D6D"/>
    <w:rsid w:val="003F7617"/>
    <w:rsid w:val="003F7C4E"/>
    <w:rsid w:val="00400804"/>
    <w:rsid w:val="0041551B"/>
    <w:rsid w:val="00432F25"/>
    <w:rsid w:val="0043653E"/>
    <w:rsid w:val="0045257C"/>
    <w:rsid w:val="004569C8"/>
    <w:rsid w:val="00465949"/>
    <w:rsid w:val="00474A9C"/>
    <w:rsid w:val="0048645E"/>
    <w:rsid w:val="004870B0"/>
    <w:rsid w:val="004C6FF9"/>
    <w:rsid w:val="004E3802"/>
    <w:rsid w:val="0050049E"/>
    <w:rsid w:val="005072CE"/>
    <w:rsid w:val="00507F6E"/>
    <w:rsid w:val="00520E68"/>
    <w:rsid w:val="00526EA4"/>
    <w:rsid w:val="005274F7"/>
    <w:rsid w:val="00535383"/>
    <w:rsid w:val="00537896"/>
    <w:rsid w:val="005421DC"/>
    <w:rsid w:val="00556542"/>
    <w:rsid w:val="00556B47"/>
    <w:rsid w:val="00566D09"/>
    <w:rsid w:val="00574250"/>
    <w:rsid w:val="00580716"/>
    <w:rsid w:val="00583DA9"/>
    <w:rsid w:val="00583DCA"/>
    <w:rsid w:val="00590008"/>
    <w:rsid w:val="0059478F"/>
    <w:rsid w:val="005A514D"/>
    <w:rsid w:val="005B0E96"/>
    <w:rsid w:val="005B1FC0"/>
    <w:rsid w:val="005E17C7"/>
    <w:rsid w:val="005E290E"/>
    <w:rsid w:val="005F2AD1"/>
    <w:rsid w:val="0060407B"/>
    <w:rsid w:val="00621962"/>
    <w:rsid w:val="00624D5A"/>
    <w:rsid w:val="00624FAC"/>
    <w:rsid w:val="006273A6"/>
    <w:rsid w:val="00662E5D"/>
    <w:rsid w:val="00667EFB"/>
    <w:rsid w:val="006774B9"/>
    <w:rsid w:val="006933D6"/>
    <w:rsid w:val="006D7CBC"/>
    <w:rsid w:val="00722EC5"/>
    <w:rsid w:val="007631A8"/>
    <w:rsid w:val="007726C6"/>
    <w:rsid w:val="00791335"/>
    <w:rsid w:val="007A13E9"/>
    <w:rsid w:val="007B0FB9"/>
    <w:rsid w:val="007B54D5"/>
    <w:rsid w:val="007B5986"/>
    <w:rsid w:val="007C35D4"/>
    <w:rsid w:val="007D4FB4"/>
    <w:rsid w:val="007E3C02"/>
    <w:rsid w:val="007E6F10"/>
    <w:rsid w:val="007E7A03"/>
    <w:rsid w:val="007E7AD9"/>
    <w:rsid w:val="008743EF"/>
    <w:rsid w:val="00877EBA"/>
    <w:rsid w:val="008A138C"/>
    <w:rsid w:val="008A140B"/>
    <w:rsid w:val="008A6915"/>
    <w:rsid w:val="008B27AA"/>
    <w:rsid w:val="008B5477"/>
    <w:rsid w:val="008C1C95"/>
    <w:rsid w:val="008D2FB3"/>
    <w:rsid w:val="008D43B6"/>
    <w:rsid w:val="008E551A"/>
    <w:rsid w:val="008E61A7"/>
    <w:rsid w:val="008F0B10"/>
    <w:rsid w:val="008F6786"/>
    <w:rsid w:val="0090129F"/>
    <w:rsid w:val="009023DD"/>
    <w:rsid w:val="00916CA1"/>
    <w:rsid w:val="00941617"/>
    <w:rsid w:val="00945A6E"/>
    <w:rsid w:val="00951083"/>
    <w:rsid w:val="00952BD8"/>
    <w:rsid w:val="00967E14"/>
    <w:rsid w:val="00974490"/>
    <w:rsid w:val="00990CB4"/>
    <w:rsid w:val="00991CBF"/>
    <w:rsid w:val="009A60AB"/>
    <w:rsid w:val="009A66B4"/>
    <w:rsid w:val="009A7D34"/>
    <w:rsid w:val="009B4E4C"/>
    <w:rsid w:val="009B5992"/>
    <w:rsid w:val="009E3DF3"/>
    <w:rsid w:val="009F62BC"/>
    <w:rsid w:val="00A12A9D"/>
    <w:rsid w:val="00A16F46"/>
    <w:rsid w:val="00A81836"/>
    <w:rsid w:val="00A84152"/>
    <w:rsid w:val="00A96438"/>
    <w:rsid w:val="00AB2524"/>
    <w:rsid w:val="00AC05E6"/>
    <w:rsid w:val="00AE780E"/>
    <w:rsid w:val="00B34871"/>
    <w:rsid w:val="00B45B51"/>
    <w:rsid w:val="00B533ED"/>
    <w:rsid w:val="00B60721"/>
    <w:rsid w:val="00B7182E"/>
    <w:rsid w:val="00B76180"/>
    <w:rsid w:val="00B80402"/>
    <w:rsid w:val="00B92F38"/>
    <w:rsid w:val="00B96477"/>
    <w:rsid w:val="00BB03E2"/>
    <w:rsid w:val="00BD490B"/>
    <w:rsid w:val="00BD624C"/>
    <w:rsid w:val="00BE00FA"/>
    <w:rsid w:val="00C426A6"/>
    <w:rsid w:val="00C46B14"/>
    <w:rsid w:val="00C61A84"/>
    <w:rsid w:val="00C67485"/>
    <w:rsid w:val="00C71154"/>
    <w:rsid w:val="00CA50EC"/>
    <w:rsid w:val="00CB2D91"/>
    <w:rsid w:val="00CC0E66"/>
    <w:rsid w:val="00CC36AC"/>
    <w:rsid w:val="00CC504D"/>
    <w:rsid w:val="00D1075A"/>
    <w:rsid w:val="00D11B0B"/>
    <w:rsid w:val="00D2301D"/>
    <w:rsid w:val="00D25CC1"/>
    <w:rsid w:val="00D27918"/>
    <w:rsid w:val="00D30D03"/>
    <w:rsid w:val="00D7097E"/>
    <w:rsid w:val="00D95201"/>
    <w:rsid w:val="00DA2CF6"/>
    <w:rsid w:val="00DB71EC"/>
    <w:rsid w:val="00DC3543"/>
    <w:rsid w:val="00DE0269"/>
    <w:rsid w:val="00DE43BE"/>
    <w:rsid w:val="00DE7390"/>
    <w:rsid w:val="00DE7400"/>
    <w:rsid w:val="00E438B8"/>
    <w:rsid w:val="00E4732E"/>
    <w:rsid w:val="00E65410"/>
    <w:rsid w:val="00E717D6"/>
    <w:rsid w:val="00E7190C"/>
    <w:rsid w:val="00E721FB"/>
    <w:rsid w:val="00EA3252"/>
    <w:rsid w:val="00EB3DD2"/>
    <w:rsid w:val="00ED2934"/>
    <w:rsid w:val="00EF1004"/>
    <w:rsid w:val="00EF60DF"/>
    <w:rsid w:val="00F03B4D"/>
    <w:rsid w:val="00F13E12"/>
    <w:rsid w:val="00F34EBD"/>
    <w:rsid w:val="00F42604"/>
    <w:rsid w:val="00F7631C"/>
    <w:rsid w:val="00F9462A"/>
    <w:rsid w:val="00F95D2D"/>
    <w:rsid w:val="00FA4B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87B1D"/>
  <w15:chartTrackingRefBased/>
  <w15:docId w15:val="{7874BD60-9DFB-4A23-BBBE-A29317B36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4250"/>
    <w:pPr>
      <w:ind w:left="720"/>
      <w:contextualSpacing/>
    </w:pPr>
  </w:style>
  <w:style w:type="paragraph" w:styleId="FootnoteText">
    <w:name w:val="footnote text"/>
    <w:basedOn w:val="Normal"/>
    <w:link w:val="FootnoteTextChar"/>
    <w:uiPriority w:val="99"/>
    <w:semiHidden/>
    <w:unhideWhenUsed/>
    <w:rsid w:val="00B71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7182E"/>
    <w:rPr>
      <w:sz w:val="20"/>
      <w:szCs w:val="20"/>
    </w:rPr>
  </w:style>
  <w:style w:type="character" w:styleId="FootnoteReference">
    <w:name w:val="footnote reference"/>
    <w:basedOn w:val="DefaultParagraphFont"/>
    <w:uiPriority w:val="99"/>
    <w:semiHidden/>
    <w:unhideWhenUsed/>
    <w:rsid w:val="00B7182E"/>
    <w:rPr>
      <w:vertAlign w:val="superscript"/>
    </w:rPr>
  </w:style>
  <w:style w:type="character" w:styleId="Hyperlink">
    <w:name w:val="Hyperlink"/>
    <w:basedOn w:val="DefaultParagraphFont"/>
    <w:uiPriority w:val="99"/>
    <w:unhideWhenUsed/>
    <w:rsid w:val="00BE00FA"/>
    <w:rPr>
      <w:color w:val="0563C1" w:themeColor="hyperlink"/>
      <w:u w:val="single"/>
    </w:rPr>
  </w:style>
  <w:style w:type="character" w:styleId="UnresolvedMention">
    <w:name w:val="Unresolved Mention"/>
    <w:basedOn w:val="DefaultParagraphFont"/>
    <w:uiPriority w:val="99"/>
    <w:semiHidden/>
    <w:unhideWhenUsed/>
    <w:rsid w:val="00BE00FA"/>
    <w:rPr>
      <w:color w:val="605E5C"/>
      <w:shd w:val="clear" w:color="auto" w:fill="E1DFDD"/>
    </w:rPr>
  </w:style>
  <w:style w:type="paragraph" w:styleId="NormalWeb">
    <w:name w:val="Normal (Web)"/>
    <w:basedOn w:val="Normal"/>
    <w:uiPriority w:val="99"/>
    <w:unhideWhenUsed/>
    <w:rsid w:val="00F13E1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709596">
      <w:bodyDiv w:val="1"/>
      <w:marLeft w:val="0"/>
      <w:marRight w:val="0"/>
      <w:marTop w:val="0"/>
      <w:marBottom w:val="0"/>
      <w:divBdr>
        <w:top w:val="none" w:sz="0" w:space="0" w:color="auto"/>
        <w:left w:val="none" w:sz="0" w:space="0" w:color="auto"/>
        <w:bottom w:val="none" w:sz="0" w:space="0" w:color="auto"/>
        <w:right w:val="none" w:sz="0" w:space="0" w:color="auto"/>
      </w:divBdr>
    </w:div>
    <w:div w:id="592667230">
      <w:bodyDiv w:val="1"/>
      <w:marLeft w:val="0"/>
      <w:marRight w:val="0"/>
      <w:marTop w:val="0"/>
      <w:marBottom w:val="0"/>
      <w:divBdr>
        <w:top w:val="none" w:sz="0" w:space="0" w:color="auto"/>
        <w:left w:val="none" w:sz="0" w:space="0" w:color="auto"/>
        <w:bottom w:val="none" w:sz="0" w:space="0" w:color="auto"/>
        <w:right w:val="none" w:sz="0" w:space="0" w:color="auto"/>
      </w:divBdr>
    </w:div>
    <w:div w:id="994988815">
      <w:bodyDiv w:val="1"/>
      <w:marLeft w:val="0"/>
      <w:marRight w:val="0"/>
      <w:marTop w:val="0"/>
      <w:marBottom w:val="0"/>
      <w:divBdr>
        <w:top w:val="none" w:sz="0" w:space="0" w:color="auto"/>
        <w:left w:val="none" w:sz="0" w:space="0" w:color="auto"/>
        <w:bottom w:val="none" w:sz="0" w:space="0" w:color="auto"/>
        <w:right w:val="none" w:sz="0" w:space="0" w:color="auto"/>
      </w:divBdr>
      <w:divsChild>
        <w:div w:id="411246322">
          <w:marLeft w:val="0"/>
          <w:marRight w:val="0"/>
          <w:marTop w:val="0"/>
          <w:marBottom w:val="0"/>
          <w:divBdr>
            <w:top w:val="none" w:sz="0" w:space="0" w:color="auto"/>
            <w:left w:val="none" w:sz="0" w:space="0" w:color="auto"/>
            <w:bottom w:val="none" w:sz="0" w:space="0" w:color="auto"/>
            <w:right w:val="none" w:sz="0" w:space="0" w:color="auto"/>
          </w:divBdr>
          <w:divsChild>
            <w:div w:id="181528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624389">
      <w:bodyDiv w:val="1"/>
      <w:marLeft w:val="0"/>
      <w:marRight w:val="0"/>
      <w:marTop w:val="0"/>
      <w:marBottom w:val="0"/>
      <w:divBdr>
        <w:top w:val="none" w:sz="0" w:space="0" w:color="auto"/>
        <w:left w:val="none" w:sz="0" w:space="0" w:color="auto"/>
        <w:bottom w:val="none" w:sz="0" w:space="0" w:color="auto"/>
        <w:right w:val="none" w:sz="0" w:space="0" w:color="auto"/>
      </w:divBdr>
    </w:div>
    <w:div w:id="1795902760">
      <w:bodyDiv w:val="1"/>
      <w:marLeft w:val="0"/>
      <w:marRight w:val="0"/>
      <w:marTop w:val="0"/>
      <w:marBottom w:val="0"/>
      <w:divBdr>
        <w:top w:val="none" w:sz="0" w:space="0" w:color="auto"/>
        <w:left w:val="none" w:sz="0" w:space="0" w:color="auto"/>
        <w:bottom w:val="none" w:sz="0" w:space="0" w:color="auto"/>
        <w:right w:val="none" w:sz="0" w:space="0" w:color="auto"/>
      </w:divBdr>
    </w:div>
    <w:div w:id="1836720418">
      <w:bodyDiv w:val="1"/>
      <w:marLeft w:val="0"/>
      <w:marRight w:val="0"/>
      <w:marTop w:val="0"/>
      <w:marBottom w:val="0"/>
      <w:divBdr>
        <w:top w:val="none" w:sz="0" w:space="0" w:color="auto"/>
        <w:left w:val="none" w:sz="0" w:space="0" w:color="auto"/>
        <w:bottom w:val="none" w:sz="0" w:space="0" w:color="auto"/>
        <w:right w:val="none" w:sz="0" w:space="0" w:color="auto"/>
      </w:divBdr>
    </w:div>
    <w:div w:id="2013337310">
      <w:bodyDiv w:val="1"/>
      <w:marLeft w:val="0"/>
      <w:marRight w:val="0"/>
      <w:marTop w:val="0"/>
      <w:marBottom w:val="0"/>
      <w:divBdr>
        <w:top w:val="none" w:sz="0" w:space="0" w:color="auto"/>
        <w:left w:val="none" w:sz="0" w:space="0" w:color="auto"/>
        <w:bottom w:val="none" w:sz="0" w:space="0" w:color="auto"/>
        <w:right w:val="none" w:sz="0" w:space="0" w:color="auto"/>
      </w:divBdr>
      <w:divsChild>
        <w:div w:id="1944264289">
          <w:marLeft w:val="0"/>
          <w:marRight w:val="0"/>
          <w:marTop w:val="0"/>
          <w:marBottom w:val="0"/>
          <w:divBdr>
            <w:top w:val="none" w:sz="0" w:space="0" w:color="auto"/>
            <w:left w:val="none" w:sz="0" w:space="0" w:color="auto"/>
            <w:bottom w:val="none" w:sz="0" w:space="0" w:color="auto"/>
            <w:right w:val="none" w:sz="0" w:space="0" w:color="auto"/>
          </w:divBdr>
          <w:divsChild>
            <w:div w:id="15835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myanhristov12@gmail.com" TargetMode="External"/><Relationship Id="rId13" Type="http://schemas.openxmlformats.org/officeDocument/2006/relationships/hyperlink" Target="https://www.investopedia.com/articles/markets-economy/090516/10-countries-mst-natural-resources.as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uroparl.europa.eu/RegData/etudes/BRIE/2025/769566/EPRS_BRI(2025)769566_EN.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macromicro.me/charts/117199/global-share-of-international-payments-via-swift-by-major-currency" TargetMode="External"/><Relationship Id="rId5" Type="http://schemas.openxmlformats.org/officeDocument/2006/relationships/webSettings" Target="webSettings.xml"/><Relationship Id="rId15" Type="http://schemas.openxmlformats.org/officeDocument/2006/relationships/hyperlink" Target="https://www.spglobal.com/market-intelligence/en/news-insights/articles/2025/4/the-worlds-largest-banks-by-assets-2025-88424232" TargetMode="External"/><Relationship Id="rId10" Type="http://schemas.openxmlformats.org/officeDocument/2006/relationships/hyperlink" Target="https://defence-industry-space.ec.europa.eu/eu-defence-industry/readinessroadmap-2030_en" TargetMode="External"/><Relationship Id="rId4" Type="http://schemas.openxmlformats.org/officeDocument/2006/relationships/settings" Target="settings.xml"/><Relationship Id="rId9" Type="http://schemas.openxmlformats.org/officeDocument/2006/relationships/hyperlink" Target="mailto:damyanhristov12@gmail.com" TargetMode="External"/><Relationship Id="rId14" Type="http://schemas.openxmlformats.org/officeDocument/2006/relationships/hyperlink" Target="https://www.nasdaq.com/articles/rare-earths-reserves-top-8-countrie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uroparl.europa.eu/RegData/etudes/BRIE/2025/769566/EPRS_BRI(2025)769566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F7BB7A-6CD6-4185-ADF9-0F01CC65D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10</Pages>
  <Words>2750</Words>
  <Characters>15678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Damyan Hristov</dc:creator>
  <cp:keywords/>
  <dc:description/>
  <cp:lastModifiedBy>Damyan Hristov</cp:lastModifiedBy>
  <cp:revision>14</cp:revision>
  <dcterms:created xsi:type="dcterms:W3CDTF">2026-08-05T13:22:00Z</dcterms:created>
  <dcterms:modified xsi:type="dcterms:W3CDTF">2026-09-15T10:10:00Z</dcterms:modified>
</cp:coreProperties>
</file>