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B429FF2" w14:textId="6ED0BAD8" w:rsidR="001D365B" w:rsidRPr="003659FE" w:rsidRDefault="001D365B" w:rsidP="00AF2F63">
      <w:pPr>
        <w:spacing w:line="240" w:lineRule="auto"/>
        <w:jc w:val="center"/>
        <w:rPr>
          <w:rFonts w:ascii="Times New Roman" w:hAnsi="Times New Roman" w:cs="Times New Roman"/>
          <w:b/>
          <w:bCs/>
          <w:sz w:val="32"/>
          <w:szCs w:val="32"/>
        </w:rPr>
      </w:pPr>
      <w:r w:rsidRPr="003659FE">
        <w:rPr>
          <w:rFonts w:ascii="Times New Roman" w:hAnsi="Times New Roman" w:cs="Times New Roman"/>
          <w:b/>
          <w:bCs/>
          <w:sz w:val="32"/>
          <w:szCs w:val="32"/>
        </w:rPr>
        <w:t>Digital Multilingual Support in University Foreign-Language Learning: Pedagogical Benefits and Limitations</w:t>
      </w:r>
    </w:p>
    <w:p w14:paraId="51529538" w14:textId="77777777" w:rsidR="008C5109" w:rsidRPr="008C5109" w:rsidRDefault="008C5109" w:rsidP="00AF2F63">
      <w:pPr>
        <w:spacing w:after="0" w:line="240" w:lineRule="auto"/>
        <w:jc w:val="center"/>
        <w:rPr>
          <w:rFonts w:ascii="Times New Roman" w:eastAsia="Times New Roman" w:hAnsi="Times New Roman" w:cs="Times New Roman"/>
          <w:b/>
          <w:bCs/>
          <w:sz w:val="32"/>
          <w:szCs w:val="32"/>
          <w:lang w:val="en-US" w:eastAsia="bg-BG"/>
          <w14:ligatures w14:val="none"/>
        </w:rPr>
      </w:pPr>
      <w:r w:rsidRPr="008C5109">
        <w:rPr>
          <w:rFonts w:ascii="Times New Roman" w:eastAsia="Times New Roman" w:hAnsi="Times New Roman" w:cs="Times New Roman"/>
          <w:b/>
          <w:bCs/>
          <w:sz w:val="32"/>
          <w:szCs w:val="32"/>
          <w:lang w:val="en-US" w:eastAsia="bg-BG"/>
          <w14:ligatures w14:val="none"/>
        </w:rPr>
        <w:t>Svetoslav Berchev</w:t>
      </w:r>
      <w:r w:rsidRPr="008C5109">
        <w:rPr>
          <w:rFonts w:ascii="Times New Roman" w:eastAsia="Times New Roman" w:hAnsi="Times New Roman" w:cs="Times New Roman"/>
          <w:sz w:val="28"/>
          <w:szCs w:val="24"/>
          <w:lang w:val="bg-BG" w:eastAsia="bg-BG"/>
          <w14:ligatures w14:val="none"/>
        </w:rPr>
        <w:t xml:space="preserve"> </w:t>
      </w:r>
    </w:p>
    <w:p w14:paraId="766E0E55" w14:textId="77777777" w:rsidR="004500C3" w:rsidRPr="003659FE" w:rsidRDefault="004500C3" w:rsidP="00AF2F63">
      <w:pPr>
        <w:spacing w:line="240" w:lineRule="auto"/>
        <w:ind w:firstLine="567"/>
        <w:jc w:val="both"/>
        <w:rPr>
          <w:rFonts w:ascii="Times New Roman" w:hAnsi="Times New Roman" w:cs="Times New Roman"/>
          <w:b/>
          <w:bCs/>
          <w:i/>
          <w:iCs/>
          <w:sz w:val="24"/>
          <w:lang w:val="en-US"/>
        </w:rPr>
      </w:pPr>
    </w:p>
    <w:p w14:paraId="709EC7C2" w14:textId="07DA1337" w:rsidR="004500C3" w:rsidRPr="00C86F79" w:rsidRDefault="004500C3" w:rsidP="00AF2F63">
      <w:pPr>
        <w:spacing w:line="240" w:lineRule="auto"/>
        <w:ind w:firstLine="567"/>
        <w:jc w:val="both"/>
        <w:rPr>
          <w:rFonts w:ascii="Times New Roman" w:hAnsi="Times New Roman" w:cs="Times New Roman"/>
          <w:i/>
          <w:iCs/>
          <w:sz w:val="24"/>
          <w:lang w:val="en-US"/>
        </w:rPr>
      </w:pPr>
      <w:r w:rsidRPr="003659FE">
        <w:rPr>
          <w:rFonts w:ascii="Times New Roman" w:hAnsi="Times New Roman" w:cs="Times New Roman"/>
          <w:b/>
          <w:bCs/>
          <w:i/>
          <w:iCs/>
          <w:sz w:val="24"/>
          <w:lang w:val="en-US"/>
        </w:rPr>
        <w:t>Abstract:</w:t>
      </w:r>
      <w:r w:rsidRPr="003659FE">
        <w:rPr>
          <w:rFonts w:ascii="Times New Roman" w:hAnsi="Times New Roman" w:cs="Times New Roman"/>
          <w:i/>
          <w:iCs/>
          <w:sz w:val="24"/>
          <w:lang w:val="en-US"/>
        </w:rPr>
        <w:t xml:space="preserve"> </w:t>
      </w:r>
      <w:r w:rsidR="008A582E" w:rsidRPr="003659FE">
        <w:rPr>
          <w:rFonts w:ascii="Times New Roman" w:hAnsi="Times New Roman" w:cs="Times New Roman"/>
          <w:i/>
          <w:iCs/>
          <w:sz w:val="24"/>
          <w:lang w:val="en-US"/>
        </w:rPr>
        <w:t>The paper examines the pedagogical benefits and limitations of digital multilingual support in university foreign-language learning. It considers digital glosses, dictionaries, translation tools and multilingual resources as forms of instructional scaffolding. The analysis identifies conditions under which they facilitate comprehension and language awareness without replacing sustained engagement with the target language.</w:t>
      </w:r>
    </w:p>
    <w:p w14:paraId="16624C4C" w14:textId="6F255616" w:rsidR="004500C3" w:rsidRPr="003659FE" w:rsidRDefault="004500C3" w:rsidP="00AF2F63">
      <w:pPr>
        <w:spacing w:line="240" w:lineRule="auto"/>
        <w:ind w:firstLine="567"/>
        <w:jc w:val="both"/>
        <w:rPr>
          <w:rFonts w:ascii="Times New Roman" w:hAnsi="Times New Roman" w:cs="Times New Roman"/>
          <w:i/>
          <w:iCs/>
          <w:sz w:val="24"/>
          <w:lang w:val="ru-RU"/>
        </w:rPr>
      </w:pPr>
      <w:r w:rsidRPr="003659FE">
        <w:rPr>
          <w:rFonts w:ascii="Times New Roman" w:hAnsi="Times New Roman" w:cs="Times New Roman"/>
          <w:b/>
          <w:bCs/>
          <w:i/>
          <w:iCs/>
          <w:sz w:val="24"/>
          <w:lang w:val="en-US"/>
        </w:rPr>
        <w:t>Keywords</w:t>
      </w:r>
      <w:r w:rsidRPr="003659FE">
        <w:rPr>
          <w:rFonts w:ascii="Times New Roman" w:hAnsi="Times New Roman" w:cs="Times New Roman"/>
          <w:b/>
          <w:bCs/>
          <w:i/>
          <w:iCs/>
          <w:sz w:val="24"/>
          <w:lang w:val="ru-RU"/>
        </w:rPr>
        <w:t>:</w:t>
      </w:r>
      <w:r w:rsidRPr="003659FE">
        <w:rPr>
          <w:rFonts w:ascii="Times New Roman" w:hAnsi="Times New Roman" w:cs="Times New Roman"/>
          <w:i/>
          <w:iCs/>
          <w:sz w:val="24"/>
          <w:lang w:val="ru-RU"/>
        </w:rPr>
        <w:t xml:space="preserve"> </w:t>
      </w:r>
      <w:r w:rsidR="008A582E" w:rsidRPr="003659FE">
        <w:rPr>
          <w:rFonts w:ascii="Times New Roman" w:hAnsi="Times New Roman" w:cs="Times New Roman"/>
          <w:i/>
          <w:iCs/>
          <w:sz w:val="24"/>
          <w:lang w:val="en-US"/>
        </w:rPr>
        <w:t>digital multilingual support, foreign-language learning, higher education, pedagogical translanguaging, digital technologies, plurilingual competence, target-language use</w:t>
      </w:r>
    </w:p>
    <w:p w14:paraId="3E301169" w14:textId="77777777" w:rsidR="00215EBF" w:rsidRPr="00C86F79" w:rsidRDefault="00215EBF" w:rsidP="00AF2F63">
      <w:pPr>
        <w:spacing w:line="240" w:lineRule="auto"/>
        <w:jc w:val="both"/>
        <w:rPr>
          <w:rFonts w:ascii="Times New Roman" w:hAnsi="Times New Roman" w:cs="Times New Roman"/>
          <w:sz w:val="28"/>
          <w:szCs w:val="28"/>
          <w:lang w:val="ru-RU"/>
        </w:rPr>
      </w:pPr>
    </w:p>
    <w:p w14:paraId="2D926857" w14:textId="2802ED5A" w:rsidR="00215EBF" w:rsidRPr="00215EBF" w:rsidRDefault="00215EBF" w:rsidP="00AF2F63">
      <w:pPr>
        <w:spacing w:line="240" w:lineRule="auto"/>
        <w:ind w:firstLine="567"/>
        <w:jc w:val="both"/>
        <w:rPr>
          <w:rFonts w:ascii="Times New Roman" w:hAnsi="Times New Roman" w:cs="Times New Roman"/>
          <w:sz w:val="28"/>
          <w:szCs w:val="28"/>
          <w:lang w:val="en-US"/>
        </w:rPr>
      </w:pPr>
      <w:r w:rsidRPr="00215EBF">
        <w:rPr>
          <w:rFonts w:ascii="Times New Roman" w:hAnsi="Times New Roman" w:cs="Times New Roman"/>
          <w:sz w:val="28"/>
          <w:szCs w:val="28"/>
          <w:lang w:val="en-US"/>
        </w:rPr>
        <w:t>The increasing accessibility of digital language resources has changed the ways in which university students approach foreign-language learning. Electronic dictionaries, multilingual glosses, parallel texts, subtitles, corpora, and translation tools allow learners to move rapidly between languages when interpreting, producing, or reformulating information. Such practices correspond with broader developments in language education that recognize learners’ existing linguistic repertoires as potential resources for learning rather than as elements that must necessarily be excluded from the educational process. The Common European Framework of Reference for Languages: Companion Volume (Council of Europe, 2020), for example, gives increased prominence to plurilingual competence and mediation, while contemporary approaches to pedagogical translanguaging emphasize the purposeful use of more than one language to support learning (</w:t>
      </w:r>
      <w:proofErr w:type="spellStart"/>
      <w:r w:rsidRPr="00215EBF">
        <w:rPr>
          <w:rFonts w:ascii="Times New Roman" w:hAnsi="Times New Roman" w:cs="Times New Roman"/>
          <w:sz w:val="28"/>
          <w:szCs w:val="28"/>
          <w:lang w:val="en-US"/>
        </w:rPr>
        <w:t>Cenoz</w:t>
      </w:r>
      <w:proofErr w:type="spellEnd"/>
      <w:r w:rsidRPr="00215EBF">
        <w:rPr>
          <w:rFonts w:ascii="Times New Roman" w:hAnsi="Times New Roman" w:cs="Times New Roman"/>
          <w:sz w:val="28"/>
          <w:szCs w:val="28"/>
          <w:lang w:val="en-US"/>
        </w:rPr>
        <w:t xml:space="preserve"> &amp; </w:t>
      </w:r>
      <w:proofErr w:type="spellStart"/>
      <w:r w:rsidRPr="00215EBF">
        <w:rPr>
          <w:rFonts w:ascii="Times New Roman" w:hAnsi="Times New Roman" w:cs="Times New Roman"/>
          <w:sz w:val="28"/>
          <w:szCs w:val="28"/>
          <w:lang w:val="en-US"/>
        </w:rPr>
        <w:t>Gorter</w:t>
      </w:r>
      <w:proofErr w:type="spellEnd"/>
      <w:r w:rsidRPr="00215EBF">
        <w:rPr>
          <w:rFonts w:ascii="Times New Roman" w:hAnsi="Times New Roman" w:cs="Times New Roman"/>
          <w:sz w:val="28"/>
          <w:szCs w:val="28"/>
          <w:lang w:val="en-US"/>
        </w:rPr>
        <w:t xml:space="preserve">, 2020; 2021). </w:t>
      </w:r>
    </w:p>
    <w:p w14:paraId="24B9F2AE" w14:textId="394F2D87" w:rsidR="00215EBF" w:rsidRPr="00215EBF" w:rsidRDefault="00215EBF" w:rsidP="00AF2F63">
      <w:pPr>
        <w:spacing w:line="240" w:lineRule="auto"/>
        <w:ind w:firstLine="567"/>
        <w:jc w:val="both"/>
        <w:rPr>
          <w:rFonts w:ascii="Times New Roman" w:hAnsi="Times New Roman" w:cs="Times New Roman"/>
          <w:sz w:val="28"/>
          <w:szCs w:val="28"/>
          <w:lang w:val="en-US"/>
        </w:rPr>
      </w:pPr>
      <w:r w:rsidRPr="00215EBF">
        <w:rPr>
          <w:rFonts w:ascii="Times New Roman" w:hAnsi="Times New Roman" w:cs="Times New Roman"/>
          <w:sz w:val="28"/>
          <w:szCs w:val="28"/>
          <w:lang w:val="en-US"/>
        </w:rPr>
        <w:t>In digital environments, however, multilingual support is available with a degree of immediacy and autonomy that substantially changes its pedagogical role. Learners can independently obtain translations, lexical equivalents, contextual examples, and explanations without direct intervention from the educator. This can facilitate comprehension, vocabulary development, participation, and independent learning, but it may also encourage excessive reliance on translation or reduce sustained processing in the target language. The educational problem therefore lies not in determining whether multilingual support should be permitted, but in identifying the conditions under which it contributes to learning without replacing the linguistic and communicative effort expected from the learner.</w:t>
      </w:r>
    </w:p>
    <w:p w14:paraId="4F6B4D90" w14:textId="6263AB92" w:rsidR="001D365B" w:rsidRPr="00215EBF" w:rsidRDefault="00215EBF" w:rsidP="00AF2F63">
      <w:pPr>
        <w:spacing w:line="240" w:lineRule="auto"/>
        <w:ind w:firstLine="567"/>
        <w:jc w:val="both"/>
        <w:rPr>
          <w:rFonts w:ascii="Times New Roman" w:hAnsi="Times New Roman" w:cs="Times New Roman"/>
          <w:sz w:val="28"/>
          <w:szCs w:val="28"/>
          <w:lang w:val="en-US"/>
        </w:rPr>
      </w:pPr>
      <w:r w:rsidRPr="00215EBF">
        <w:rPr>
          <w:rFonts w:ascii="Times New Roman" w:hAnsi="Times New Roman" w:cs="Times New Roman"/>
          <w:sz w:val="28"/>
          <w:szCs w:val="28"/>
          <w:lang w:val="en-US"/>
        </w:rPr>
        <w:t xml:space="preserve">The present paper examines the pedagogical benefits and limitations of digital multilingual support in university foreign-language learning. Particular attention is given to its functions as instructional scaffolding, its contribution to comprehension, language awareness, mediation, and learner autonomy, as well as to potential limitations related to dependence, superficial processing, reliability, and unequal digital competence. On this basis, the paper seeks to identify </w:t>
      </w:r>
      <w:r w:rsidRPr="00215EBF">
        <w:rPr>
          <w:rFonts w:ascii="Times New Roman" w:hAnsi="Times New Roman" w:cs="Times New Roman"/>
          <w:sz w:val="28"/>
          <w:szCs w:val="28"/>
          <w:lang w:val="en-US"/>
        </w:rPr>
        <w:lastRenderedPageBreak/>
        <w:t>principles for a balanced use of multilingual digital resources in which support facilitates meaningful engagement with the target language rather than becoming a substitute for it.</w:t>
      </w:r>
    </w:p>
    <w:p w14:paraId="77F72509" w14:textId="787C16CE" w:rsidR="00215EBF" w:rsidRDefault="00215EBF" w:rsidP="00AF2F63">
      <w:pPr>
        <w:spacing w:line="240" w:lineRule="auto"/>
        <w:ind w:firstLine="567"/>
        <w:jc w:val="both"/>
        <w:rPr>
          <w:rFonts w:ascii="Times New Roman" w:hAnsi="Times New Roman" w:cs="Times New Roman"/>
          <w:sz w:val="28"/>
          <w:szCs w:val="28"/>
          <w:lang w:val="en-US"/>
        </w:rPr>
      </w:pPr>
      <w:r w:rsidRPr="00215EBF">
        <w:rPr>
          <w:rFonts w:ascii="Times New Roman" w:hAnsi="Times New Roman" w:cs="Times New Roman"/>
          <w:sz w:val="28"/>
          <w:szCs w:val="28"/>
          <w:lang w:val="en-US"/>
        </w:rPr>
        <w:t>Foreign-language learning has traditionally been associated with sustained exposure to the target language and, in many instructional traditions, with limiting the use of learners’ first language. Contemporary approaches to multilingual education, however, increasingly recognize that previously acquired languages form part of the learner’s existing linguistic repertoire and may serve as resources for further language learning. This perspective does not imply abandoning the target language as the principal medium and objective of instruction. Rather, it raises the question of how other languages can be used purposefully to facilitate comprehension, comparison, mediation, and subsequent target-language production.</w:t>
      </w:r>
    </w:p>
    <w:p w14:paraId="5A8752E8" w14:textId="77777777" w:rsidR="00215EBF" w:rsidRDefault="00215EBF" w:rsidP="00AF2F63">
      <w:pPr>
        <w:spacing w:line="240" w:lineRule="auto"/>
        <w:ind w:firstLine="567"/>
        <w:jc w:val="both"/>
        <w:rPr>
          <w:rFonts w:ascii="Times New Roman" w:hAnsi="Times New Roman" w:cs="Times New Roman"/>
          <w:sz w:val="28"/>
          <w:szCs w:val="28"/>
          <w:lang w:val="en-US"/>
        </w:rPr>
      </w:pPr>
      <w:r w:rsidRPr="00215EBF">
        <w:rPr>
          <w:rFonts w:ascii="Times New Roman" w:hAnsi="Times New Roman" w:cs="Times New Roman"/>
          <w:sz w:val="28"/>
          <w:szCs w:val="28"/>
          <w:lang w:val="en-US"/>
        </w:rPr>
        <w:t xml:space="preserve">One concept particularly relevant to this development is pedagogical translanguaging. </w:t>
      </w:r>
      <w:proofErr w:type="spellStart"/>
      <w:r w:rsidRPr="00215EBF">
        <w:rPr>
          <w:rFonts w:ascii="Times New Roman" w:hAnsi="Times New Roman" w:cs="Times New Roman"/>
          <w:sz w:val="28"/>
          <w:szCs w:val="28"/>
          <w:lang w:val="en-US"/>
        </w:rPr>
        <w:t>Cenoz</w:t>
      </w:r>
      <w:proofErr w:type="spellEnd"/>
      <w:r w:rsidRPr="00215EBF">
        <w:rPr>
          <w:rFonts w:ascii="Times New Roman" w:hAnsi="Times New Roman" w:cs="Times New Roman"/>
          <w:sz w:val="28"/>
          <w:szCs w:val="28"/>
          <w:lang w:val="en-US"/>
        </w:rPr>
        <w:t xml:space="preserve"> and </w:t>
      </w:r>
      <w:proofErr w:type="spellStart"/>
      <w:r w:rsidRPr="00215EBF">
        <w:rPr>
          <w:rFonts w:ascii="Times New Roman" w:hAnsi="Times New Roman" w:cs="Times New Roman"/>
          <w:sz w:val="28"/>
          <w:szCs w:val="28"/>
          <w:lang w:val="en-US"/>
        </w:rPr>
        <w:t>Gorter</w:t>
      </w:r>
      <w:proofErr w:type="spellEnd"/>
      <w:r w:rsidRPr="00215EBF">
        <w:rPr>
          <w:rFonts w:ascii="Times New Roman" w:hAnsi="Times New Roman" w:cs="Times New Roman"/>
          <w:sz w:val="28"/>
          <w:szCs w:val="28"/>
          <w:lang w:val="en-US"/>
        </w:rPr>
        <w:t xml:space="preserve"> (2020; 2021) distinguish planned pedagogical use of more than one language from spontaneous multilingual practices that naturally occur among speakers. In an educational context, the use of another language may therefore be deliberately incorporated into a learning activity when it serves a defined purpose, such as explaining a difficult concept, comparing linguistic structures, identifying lexical relationships, or preparing learners to reformulate information in the target language. This planned dimension is important because multilingual support should not be understood simply as unrestricted switching between languages, but as an instructional resource whose use is connected with specific learning objectives.</w:t>
      </w:r>
    </w:p>
    <w:p w14:paraId="0C161C18" w14:textId="6464FCA6" w:rsidR="00215EBF" w:rsidRDefault="00215EBF" w:rsidP="00AF2F63">
      <w:pPr>
        <w:spacing w:line="240" w:lineRule="auto"/>
        <w:ind w:firstLine="567"/>
        <w:jc w:val="both"/>
        <w:rPr>
          <w:rFonts w:ascii="Times New Roman" w:hAnsi="Times New Roman" w:cs="Times New Roman"/>
          <w:sz w:val="28"/>
          <w:szCs w:val="28"/>
          <w:lang w:val="en-US"/>
        </w:rPr>
      </w:pPr>
      <w:r w:rsidRPr="00215EBF">
        <w:rPr>
          <w:rFonts w:ascii="Times New Roman" w:hAnsi="Times New Roman" w:cs="Times New Roman"/>
          <w:sz w:val="28"/>
          <w:szCs w:val="28"/>
          <w:lang w:val="en-US"/>
        </w:rPr>
        <w:t>A related perspective is provided by the concept of plurilingual competence, which emphasizes that the languages known by an individual do not function as entirely separate systems. The CEFR Companion Volume (Council of Europe, 2020) expands the original framework by giving greater prominence to plurilingual and pluricultural competence, mediation, and online interaction. Mediation is particularly relevant because learners may be required to understand information in one form or language and make it accessible to another person through explanation, summarization, reformulation, or translation. Such activities demonstrate that movement between languages can itself become part of meaningful communicative performance rather than merely a temporary solution to a lack of vocabulary.</w:t>
      </w:r>
    </w:p>
    <w:p w14:paraId="500CD86B" w14:textId="77777777" w:rsidR="00215EBF" w:rsidRDefault="00215EBF" w:rsidP="00AF2F63">
      <w:pPr>
        <w:spacing w:line="240" w:lineRule="auto"/>
        <w:ind w:firstLine="567"/>
        <w:jc w:val="both"/>
        <w:rPr>
          <w:rFonts w:ascii="Times New Roman" w:hAnsi="Times New Roman" w:cs="Times New Roman"/>
          <w:sz w:val="28"/>
          <w:szCs w:val="28"/>
          <w:lang w:val="en-US"/>
        </w:rPr>
      </w:pPr>
      <w:r w:rsidRPr="00215EBF">
        <w:rPr>
          <w:rFonts w:ascii="Times New Roman" w:hAnsi="Times New Roman" w:cs="Times New Roman"/>
          <w:sz w:val="28"/>
          <w:szCs w:val="28"/>
          <w:lang w:val="en-US"/>
        </w:rPr>
        <w:t xml:space="preserve">Digital environments substantially extend the possibilities for such practices. In the present paper, digital multilingual support refers to the purposeful use of digital resources that allow learners to draw on their first language and other known languages in order to understand, compare, process, or produce content in the target language. The concept includes electronic bilingual and multilingual dictionaries, digital glosses, parallel texts, subtitles and transcripts, multilingual corpora, translation resources, and other digitally accessible forms of cross-linguistic assistance. Recent research describes the increasing intersection between digital communication and translanguaging practices, indicating that </w:t>
      </w:r>
      <w:r w:rsidRPr="00215EBF">
        <w:rPr>
          <w:rFonts w:ascii="Times New Roman" w:hAnsi="Times New Roman" w:cs="Times New Roman"/>
          <w:sz w:val="28"/>
          <w:szCs w:val="28"/>
          <w:lang w:val="en-US"/>
        </w:rPr>
        <w:lastRenderedPageBreak/>
        <w:t>multilingual activity in technology-mediated environments has developed into a distinct area of educational inquiry (Lu &amp; Gu, 2024).</w:t>
      </w:r>
    </w:p>
    <w:p w14:paraId="61024A23" w14:textId="77777777" w:rsidR="00215EBF" w:rsidRDefault="00215EBF" w:rsidP="00AF2F63">
      <w:pPr>
        <w:spacing w:line="240" w:lineRule="auto"/>
        <w:ind w:firstLine="567"/>
        <w:jc w:val="both"/>
        <w:rPr>
          <w:rFonts w:ascii="Times New Roman" w:hAnsi="Times New Roman" w:cs="Times New Roman"/>
          <w:sz w:val="28"/>
          <w:szCs w:val="28"/>
          <w:lang w:val="en-US"/>
        </w:rPr>
      </w:pPr>
      <w:r w:rsidRPr="00215EBF">
        <w:rPr>
          <w:rFonts w:ascii="Times New Roman" w:hAnsi="Times New Roman" w:cs="Times New Roman"/>
          <w:sz w:val="28"/>
          <w:szCs w:val="28"/>
          <w:lang w:val="en-US"/>
        </w:rPr>
        <w:t>The functions of digital multilingual support can be grouped according to the type of learning difficulty or activity they address. One of its most immediate functions is support for comprehension. Learners may consult a bilingual dictionary, access a gloss, compare parallel versions of a text, or use subtitles to clarify unfamiliar vocabulary and maintain engagement with linguistically demanding material. Such resources can function as instructional scaffolding when they remove a specific obstacle without replacing the main cognitive or communicative activity.</w:t>
      </w:r>
    </w:p>
    <w:p w14:paraId="62B41A1B" w14:textId="77777777" w:rsidR="00215EBF" w:rsidRDefault="00215EBF" w:rsidP="00AF2F63">
      <w:pPr>
        <w:spacing w:line="240" w:lineRule="auto"/>
        <w:ind w:firstLine="567"/>
        <w:jc w:val="both"/>
        <w:rPr>
          <w:rFonts w:ascii="Times New Roman" w:hAnsi="Times New Roman" w:cs="Times New Roman"/>
          <w:sz w:val="28"/>
          <w:szCs w:val="28"/>
          <w:lang w:val="en-US"/>
        </w:rPr>
      </w:pPr>
      <w:r w:rsidRPr="00215EBF">
        <w:rPr>
          <w:rFonts w:ascii="Times New Roman" w:hAnsi="Times New Roman" w:cs="Times New Roman"/>
          <w:sz w:val="28"/>
          <w:szCs w:val="28"/>
          <w:lang w:val="en-US"/>
        </w:rPr>
        <w:t>A second function concerns lexical and linguistic comparison. Digital dictionaries, corpora, and multilingual reference resources allow learners to compare meanings, collocations, grammatical patterns, and contextual usage across languages. Their pedagogical value may therefore extend beyond obtaining an equivalent word. When used critically, they can encourage learners to notice differences between linguistic systems and to develop greater awareness of form, meaning, and appropriate use.</w:t>
      </w:r>
    </w:p>
    <w:p w14:paraId="2C3AE787" w14:textId="06BFC4B1" w:rsidR="00215EBF" w:rsidRDefault="00215EBF" w:rsidP="00AF2F63">
      <w:pPr>
        <w:spacing w:line="240" w:lineRule="auto"/>
        <w:ind w:firstLine="567"/>
        <w:jc w:val="both"/>
        <w:rPr>
          <w:rFonts w:ascii="Times New Roman" w:hAnsi="Times New Roman" w:cs="Times New Roman"/>
          <w:sz w:val="28"/>
          <w:szCs w:val="28"/>
          <w:lang w:val="en-US"/>
        </w:rPr>
      </w:pPr>
      <w:r w:rsidRPr="00215EBF">
        <w:rPr>
          <w:rFonts w:ascii="Times New Roman" w:hAnsi="Times New Roman" w:cs="Times New Roman"/>
          <w:sz w:val="28"/>
          <w:szCs w:val="28"/>
          <w:lang w:val="en-US"/>
        </w:rPr>
        <w:t>Digital multilingual support can also facilitate language production and mediation. Learners preparing written or spoken work may use reference resources to verify lexical choices, explore alternative formulations, or compare examples before producing language independently. Similarly, tasks requiring summarizations, explanation, or reformulation of information across languages can integrate multilingual resources into purposeful communicative activity. In these cases, the digital resource supports the preparation and processing of language but should not replace the learner’s responsibility for the final linguistic choices.</w:t>
      </w:r>
    </w:p>
    <w:p w14:paraId="31D7B0E7" w14:textId="502EBDF9" w:rsidR="00215EBF" w:rsidRDefault="00215EBF" w:rsidP="00AF2F63">
      <w:pPr>
        <w:spacing w:line="240" w:lineRule="auto"/>
        <w:ind w:firstLine="567"/>
        <w:jc w:val="both"/>
        <w:rPr>
          <w:rFonts w:ascii="Times New Roman" w:hAnsi="Times New Roman" w:cs="Times New Roman"/>
          <w:sz w:val="28"/>
          <w:szCs w:val="28"/>
          <w:lang w:val="en-US"/>
        </w:rPr>
      </w:pPr>
      <w:r w:rsidRPr="00215EBF">
        <w:rPr>
          <w:rFonts w:ascii="Times New Roman" w:hAnsi="Times New Roman" w:cs="Times New Roman"/>
          <w:sz w:val="28"/>
          <w:szCs w:val="28"/>
          <w:lang w:val="en-US"/>
        </w:rPr>
        <w:t xml:space="preserve">Finally, multilingual digital resources can support independent learning by allowing learners to resolve some difficulties without immediate intervention from the educator. This increased autonomy is particularly relevant in higher education, where learners are expected to assume greater responsibility for the selection and use of learning resources. However, access alone does not constitute effective learning. The educational value of multilingual support depends on learners’ ability to select appropriate resources, interpret the information they provide, and use that information in ways that contribute to subsequent target-language engagement. Digital multilingual support should therefore be understood not as an alternative to foreign-language use, but as a set of pedagogical resources whose value depends on the </w:t>
      </w:r>
      <w:proofErr w:type="gramStart"/>
      <w:r w:rsidRPr="00215EBF">
        <w:rPr>
          <w:rFonts w:ascii="Times New Roman" w:hAnsi="Times New Roman" w:cs="Times New Roman"/>
          <w:sz w:val="28"/>
          <w:szCs w:val="28"/>
          <w:lang w:val="en-US"/>
        </w:rPr>
        <w:t>function</w:t>
      </w:r>
      <w:proofErr w:type="gramEnd"/>
      <w:r w:rsidRPr="00215EBF">
        <w:rPr>
          <w:rFonts w:ascii="Times New Roman" w:hAnsi="Times New Roman" w:cs="Times New Roman"/>
          <w:sz w:val="28"/>
          <w:szCs w:val="28"/>
          <w:lang w:val="en-US"/>
        </w:rPr>
        <w:t xml:space="preserve"> they perform within the learning process.</w:t>
      </w:r>
    </w:p>
    <w:p w14:paraId="0D0F1095" w14:textId="77777777" w:rsidR="00215EBF" w:rsidRDefault="00215EBF" w:rsidP="00AF2F63">
      <w:pPr>
        <w:spacing w:line="240" w:lineRule="auto"/>
        <w:ind w:firstLine="567"/>
        <w:jc w:val="both"/>
        <w:rPr>
          <w:rFonts w:ascii="Times New Roman" w:hAnsi="Times New Roman" w:cs="Times New Roman"/>
          <w:sz w:val="28"/>
          <w:szCs w:val="28"/>
        </w:rPr>
      </w:pPr>
      <w:r w:rsidRPr="00215EBF">
        <w:rPr>
          <w:rFonts w:ascii="Times New Roman" w:hAnsi="Times New Roman" w:cs="Times New Roman"/>
          <w:sz w:val="28"/>
          <w:szCs w:val="28"/>
        </w:rPr>
        <w:t xml:space="preserve">The pedagogical value of digital multilingual support cannot be considered independently of the conditions under which it is used. The same resource may facilitate learning in one context and restrict it in another. A bilingual gloss, for example, can allow a learner to overcome a lexical obstacle and continue working with a demanding text, but constant access to immediate translation may also </w:t>
      </w:r>
      <w:r w:rsidRPr="00215EBF">
        <w:rPr>
          <w:rFonts w:ascii="Times New Roman" w:hAnsi="Times New Roman" w:cs="Times New Roman"/>
          <w:sz w:val="28"/>
          <w:szCs w:val="28"/>
        </w:rPr>
        <w:lastRenderedPageBreak/>
        <w:t xml:space="preserve">reduce the need to infer meaning from context. The relevant distinction is therefore not between beneficial and undesirable technologies, but between </w:t>
      </w:r>
      <w:r w:rsidRPr="00215EBF">
        <w:rPr>
          <w:rFonts w:ascii="Times New Roman" w:hAnsi="Times New Roman" w:cs="Times New Roman"/>
          <w:b/>
          <w:bCs/>
          <w:sz w:val="28"/>
          <w:szCs w:val="28"/>
        </w:rPr>
        <w:t>support that facilitates language learning and support that begins to replace it</w:t>
      </w:r>
      <w:r w:rsidRPr="00215EBF">
        <w:rPr>
          <w:rFonts w:ascii="Times New Roman" w:hAnsi="Times New Roman" w:cs="Times New Roman"/>
          <w:sz w:val="28"/>
          <w:szCs w:val="28"/>
        </w:rPr>
        <w:t>.</w:t>
      </w:r>
    </w:p>
    <w:p w14:paraId="6CDAAA7F" w14:textId="494C3EB9" w:rsidR="00215EBF" w:rsidRPr="00215EBF" w:rsidRDefault="00215EBF" w:rsidP="00AF2F63">
      <w:pPr>
        <w:spacing w:line="240" w:lineRule="auto"/>
        <w:ind w:firstLine="567"/>
        <w:jc w:val="both"/>
        <w:rPr>
          <w:rFonts w:ascii="Times New Roman" w:hAnsi="Times New Roman" w:cs="Times New Roman"/>
          <w:sz w:val="28"/>
          <w:szCs w:val="28"/>
        </w:rPr>
      </w:pPr>
      <w:r w:rsidRPr="00215EBF">
        <w:rPr>
          <w:rFonts w:ascii="Times New Roman" w:hAnsi="Times New Roman" w:cs="Times New Roman"/>
          <w:sz w:val="28"/>
          <w:szCs w:val="28"/>
        </w:rPr>
        <w:t xml:space="preserve">One of the clearest potential benefits concerns </w:t>
      </w:r>
      <w:proofErr w:type="gramStart"/>
      <w:r w:rsidRPr="00215EBF">
        <w:rPr>
          <w:rFonts w:ascii="Times New Roman" w:hAnsi="Times New Roman" w:cs="Times New Roman"/>
          <w:b/>
          <w:bCs/>
          <w:sz w:val="28"/>
          <w:szCs w:val="28"/>
        </w:rPr>
        <w:t>comprehension</w:t>
      </w:r>
      <w:proofErr w:type="gramEnd"/>
      <w:r w:rsidRPr="00215EBF">
        <w:rPr>
          <w:rFonts w:ascii="Times New Roman" w:hAnsi="Times New Roman" w:cs="Times New Roman"/>
          <w:sz w:val="28"/>
          <w:szCs w:val="28"/>
        </w:rPr>
        <w:t xml:space="preserve">. Digital dictionaries, lexical glosses, subtitles, and parallel texts can reduce difficulties caused by unfamiliar vocabulary and make linguistically demanding material more accessible. This is particularly relevant in higher education, where foreign-language learning may involve academic or specialised texts whose conceptual difficulty extends beyond learners’ current lexical resources. Evidence from research on digital reading suggests that digitally mediated resources can contribute positively to second- and foreign-language vocabulary development. Zhu, Zhang, and Irwin (2024), in a meta-analysis of digital reading studies, report significant effects on vocabulary learning and identify learner proficiency and the type of digital resource as important moderating factors. Multilingual support can therefore function as </w:t>
      </w:r>
      <w:r w:rsidRPr="00215EBF">
        <w:rPr>
          <w:rFonts w:ascii="Times New Roman" w:hAnsi="Times New Roman" w:cs="Times New Roman"/>
          <w:b/>
          <w:bCs/>
          <w:sz w:val="28"/>
          <w:szCs w:val="28"/>
        </w:rPr>
        <w:t>temporary scaffolding</w:t>
      </w:r>
      <w:r w:rsidRPr="00215EBF">
        <w:rPr>
          <w:rFonts w:ascii="Times New Roman" w:hAnsi="Times New Roman" w:cs="Times New Roman"/>
          <w:sz w:val="28"/>
          <w:szCs w:val="28"/>
        </w:rPr>
        <w:t>, allowing learners to maintain engagement with the broader learning activity rather than interrupting it for every unfamiliar linguistic element.</w:t>
      </w:r>
    </w:p>
    <w:p w14:paraId="1BCBAB8C" w14:textId="77777777" w:rsidR="00215EBF" w:rsidRPr="00215EBF" w:rsidRDefault="00215EBF" w:rsidP="00AF2F63">
      <w:pPr>
        <w:spacing w:line="240" w:lineRule="auto"/>
        <w:ind w:firstLine="567"/>
        <w:jc w:val="both"/>
        <w:rPr>
          <w:rFonts w:ascii="Times New Roman" w:hAnsi="Times New Roman" w:cs="Times New Roman"/>
          <w:sz w:val="28"/>
          <w:szCs w:val="28"/>
        </w:rPr>
      </w:pPr>
      <w:r w:rsidRPr="00215EBF">
        <w:rPr>
          <w:rFonts w:ascii="Times New Roman" w:hAnsi="Times New Roman" w:cs="Times New Roman"/>
          <w:sz w:val="28"/>
          <w:szCs w:val="28"/>
        </w:rPr>
        <w:t xml:space="preserve">The corresponding limitation is the possibility of </w:t>
      </w:r>
      <w:r w:rsidRPr="00215EBF">
        <w:rPr>
          <w:rFonts w:ascii="Times New Roman" w:hAnsi="Times New Roman" w:cs="Times New Roman"/>
          <w:b/>
          <w:bCs/>
          <w:sz w:val="28"/>
          <w:szCs w:val="28"/>
        </w:rPr>
        <w:t>reduced target-language processing</w:t>
      </w:r>
      <w:r w:rsidRPr="00215EBF">
        <w:rPr>
          <w:rFonts w:ascii="Times New Roman" w:hAnsi="Times New Roman" w:cs="Times New Roman"/>
          <w:sz w:val="28"/>
          <w:szCs w:val="28"/>
        </w:rPr>
        <w:t>. If the meaning of an unfamiliar word, phrase, or passage is immediately available in another language, learners may have little reason to examine contextual clues, morphological features, or relationships with previously acquired vocabulary. The efficiency of digital access may consequently remove part of the cognitive effort through which learning occurs. The pedagogical issue is not that direct translation is inherently inappropriate, but that its repeated use can transform a supportive resource into a habitual shortcut. Comprehension obtained through assistance should therefore be distinguished from the ability to process similar language independently.</w:t>
      </w:r>
    </w:p>
    <w:p w14:paraId="6F80D26D" w14:textId="77777777" w:rsidR="00215EBF" w:rsidRPr="00215EBF" w:rsidRDefault="00215EBF" w:rsidP="00AF2F63">
      <w:pPr>
        <w:spacing w:line="240" w:lineRule="auto"/>
        <w:ind w:firstLine="567"/>
        <w:jc w:val="both"/>
        <w:rPr>
          <w:rFonts w:ascii="Times New Roman" w:hAnsi="Times New Roman" w:cs="Times New Roman"/>
          <w:sz w:val="28"/>
          <w:szCs w:val="28"/>
        </w:rPr>
      </w:pPr>
      <w:r w:rsidRPr="00215EBF">
        <w:rPr>
          <w:rFonts w:ascii="Times New Roman" w:hAnsi="Times New Roman" w:cs="Times New Roman"/>
          <w:sz w:val="28"/>
          <w:szCs w:val="28"/>
        </w:rPr>
        <w:t xml:space="preserve">A related tension exists between </w:t>
      </w:r>
      <w:r w:rsidRPr="00215EBF">
        <w:rPr>
          <w:rFonts w:ascii="Times New Roman" w:hAnsi="Times New Roman" w:cs="Times New Roman"/>
          <w:b/>
          <w:bCs/>
          <w:sz w:val="28"/>
          <w:szCs w:val="28"/>
        </w:rPr>
        <w:t>vocabulary support and superficial lexical learning</w:t>
      </w:r>
      <w:r w:rsidRPr="00215EBF">
        <w:rPr>
          <w:rFonts w:ascii="Times New Roman" w:hAnsi="Times New Roman" w:cs="Times New Roman"/>
          <w:sz w:val="28"/>
          <w:szCs w:val="28"/>
        </w:rPr>
        <w:t>. Multilingual dictionaries and digital lexical resources can provide rapid access to meanings, examples, pronunciation, grammatical information, and collocations. When learners compare alternatives and examine contextual examples, such resources may contribute to deeper lexical awareness. Cross-linguistic comparison may also draw attention to differences in semantic range and usage that are less visible when vocabulary is learned through isolated equivalents. However, recognising or retrieving a translation does not necessarily imply that the lexical item has been acquired. Productive knowledge requires the learner to encounter, retrieve, and use the item in meaningful contexts. Digital multilingual support is therefore most valuable when lexical access is followed by subsequent processing and target-language use.</w:t>
      </w:r>
    </w:p>
    <w:p w14:paraId="3C15A51F" w14:textId="77777777" w:rsidR="00215EBF" w:rsidRPr="00215EBF" w:rsidRDefault="00215EBF" w:rsidP="00AF2F63">
      <w:pPr>
        <w:spacing w:line="240" w:lineRule="auto"/>
        <w:ind w:firstLine="567"/>
        <w:jc w:val="both"/>
        <w:rPr>
          <w:rFonts w:ascii="Times New Roman" w:hAnsi="Times New Roman" w:cs="Times New Roman"/>
          <w:sz w:val="28"/>
          <w:szCs w:val="28"/>
        </w:rPr>
      </w:pPr>
      <w:r w:rsidRPr="00215EBF">
        <w:rPr>
          <w:rFonts w:ascii="Times New Roman" w:hAnsi="Times New Roman" w:cs="Times New Roman"/>
          <w:sz w:val="28"/>
          <w:szCs w:val="28"/>
        </w:rPr>
        <w:t xml:space="preserve">Digital resources can similarly promote </w:t>
      </w:r>
      <w:r w:rsidRPr="00215EBF">
        <w:rPr>
          <w:rFonts w:ascii="Times New Roman" w:hAnsi="Times New Roman" w:cs="Times New Roman"/>
          <w:b/>
          <w:bCs/>
          <w:sz w:val="28"/>
          <w:szCs w:val="28"/>
        </w:rPr>
        <w:t>language awareness</w:t>
      </w:r>
      <w:r w:rsidRPr="00215EBF">
        <w:rPr>
          <w:rFonts w:ascii="Times New Roman" w:hAnsi="Times New Roman" w:cs="Times New Roman"/>
          <w:sz w:val="28"/>
          <w:szCs w:val="28"/>
        </w:rPr>
        <w:t xml:space="preserve"> by making linguistic comparison more accessible. Learners may contrast grammatical constructions, lexical patterns, or expressions across languages and identify similarities and differences between them. This corresponds with the principles </w:t>
      </w:r>
      <w:r w:rsidRPr="00215EBF">
        <w:rPr>
          <w:rFonts w:ascii="Times New Roman" w:hAnsi="Times New Roman" w:cs="Times New Roman"/>
          <w:sz w:val="28"/>
          <w:szCs w:val="28"/>
        </w:rPr>
        <w:lastRenderedPageBreak/>
        <w:t>of pedagogical translanguaging, in which previously acquired languages may be deliberately activated as resources for learning (</w:t>
      </w:r>
      <w:proofErr w:type="spellStart"/>
      <w:r w:rsidRPr="00215EBF">
        <w:rPr>
          <w:rFonts w:ascii="Times New Roman" w:hAnsi="Times New Roman" w:cs="Times New Roman"/>
          <w:sz w:val="28"/>
          <w:szCs w:val="28"/>
        </w:rPr>
        <w:t>Cenoz</w:t>
      </w:r>
      <w:proofErr w:type="spellEnd"/>
      <w:r w:rsidRPr="00215EBF">
        <w:rPr>
          <w:rFonts w:ascii="Times New Roman" w:hAnsi="Times New Roman" w:cs="Times New Roman"/>
          <w:sz w:val="28"/>
          <w:szCs w:val="28"/>
        </w:rPr>
        <w:t xml:space="preserve"> &amp; </w:t>
      </w:r>
      <w:proofErr w:type="spellStart"/>
      <w:r w:rsidRPr="00215EBF">
        <w:rPr>
          <w:rFonts w:ascii="Times New Roman" w:hAnsi="Times New Roman" w:cs="Times New Roman"/>
          <w:sz w:val="28"/>
          <w:szCs w:val="28"/>
        </w:rPr>
        <w:t>Gorter</w:t>
      </w:r>
      <w:proofErr w:type="spellEnd"/>
      <w:r w:rsidRPr="00215EBF">
        <w:rPr>
          <w:rFonts w:ascii="Times New Roman" w:hAnsi="Times New Roman" w:cs="Times New Roman"/>
          <w:sz w:val="28"/>
          <w:szCs w:val="28"/>
        </w:rPr>
        <w:t>, 2020; 2021). Sun’s (2024) study of university learners, for instance, reports positive outcomes from digitally mediated translanguaging in English grammar instruction and illustrates how learners’ existing linguistic knowledge can function as a cognitive bridge. Such comparison may be particularly useful when it directs attention towards how meaning is expressed differently across languages rather than simply providing equivalent forms.</w:t>
      </w:r>
    </w:p>
    <w:p w14:paraId="256C641D" w14:textId="77777777" w:rsidR="00215EBF" w:rsidRPr="00215EBF" w:rsidRDefault="00215EBF" w:rsidP="00AF2F63">
      <w:pPr>
        <w:spacing w:line="240" w:lineRule="auto"/>
        <w:ind w:firstLine="567"/>
        <w:jc w:val="both"/>
        <w:rPr>
          <w:rFonts w:ascii="Times New Roman" w:hAnsi="Times New Roman" w:cs="Times New Roman"/>
          <w:sz w:val="28"/>
          <w:szCs w:val="28"/>
        </w:rPr>
      </w:pPr>
      <w:r w:rsidRPr="00215EBF">
        <w:rPr>
          <w:rFonts w:ascii="Times New Roman" w:hAnsi="Times New Roman" w:cs="Times New Roman"/>
          <w:sz w:val="28"/>
          <w:szCs w:val="28"/>
        </w:rPr>
        <w:t xml:space="preserve">At the same time, linguistic comparison can become </w:t>
      </w:r>
      <w:r w:rsidRPr="00215EBF">
        <w:rPr>
          <w:rFonts w:ascii="Times New Roman" w:hAnsi="Times New Roman" w:cs="Times New Roman"/>
          <w:b/>
          <w:bCs/>
          <w:sz w:val="28"/>
          <w:szCs w:val="28"/>
        </w:rPr>
        <w:t>overdependence on the first language</w:t>
      </w:r>
      <w:r w:rsidRPr="00215EBF">
        <w:rPr>
          <w:rFonts w:ascii="Times New Roman" w:hAnsi="Times New Roman" w:cs="Times New Roman"/>
          <w:sz w:val="28"/>
          <w:szCs w:val="28"/>
        </w:rPr>
        <w:t xml:space="preserve"> when learners systematically approach the target language through translation. If every new structure is first interpreted through an established linguistic system, opportunities to develop more direct associations between target-language forms and meanings may be reduced. The challenge is especially relevant as proficiency increases. Support that is appropriate at an earlier stage may become unnecessarily restrictive if it remains unchanged when learners have already developed the resources required to work more independently in the target language. Multilingual support should therefore be responsive not only to the difficulty of the task but also to the learner’s current level of competence.</w:t>
      </w:r>
    </w:p>
    <w:p w14:paraId="001F94C9" w14:textId="6C1E9655" w:rsidR="00215EBF" w:rsidRPr="00215EBF" w:rsidRDefault="00215EBF" w:rsidP="00AF2F63">
      <w:pPr>
        <w:spacing w:line="240" w:lineRule="auto"/>
        <w:ind w:firstLine="567"/>
        <w:jc w:val="both"/>
        <w:rPr>
          <w:rFonts w:ascii="Times New Roman" w:hAnsi="Times New Roman" w:cs="Times New Roman"/>
          <w:sz w:val="28"/>
          <w:szCs w:val="28"/>
        </w:rPr>
      </w:pPr>
      <w:r w:rsidRPr="00215EBF">
        <w:rPr>
          <w:rFonts w:ascii="Times New Roman" w:hAnsi="Times New Roman" w:cs="Times New Roman"/>
          <w:sz w:val="28"/>
          <w:szCs w:val="28"/>
        </w:rPr>
        <w:t xml:space="preserve">This distinction becomes particularly important in relation to </w:t>
      </w:r>
      <w:r w:rsidRPr="00215EBF">
        <w:rPr>
          <w:rFonts w:ascii="Times New Roman" w:hAnsi="Times New Roman" w:cs="Times New Roman"/>
          <w:b/>
          <w:bCs/>
          <w:sz w:val="28"/>
          <w:szCs w:val="28"/>
        </w:rPr>
        <w:t>translation tools and the reliability of linguistic choices</w:t>
      </w:r>
      <w:r w:rsidRPr="00215EBF">
        <w:rPr>
          <w:rFonts w:ascii="Times New Roman" w:hAnsi="Times New Roman" w:cs="Times New Roman"/>
          <w:sz w:val="28"/>
          <w:szCs w:val="28"/>
        </w:rPr>
        <w:t xml:space="preserve">. Research on machine translation in foreign-language education has increasingly moved away from the question of whether such tools should simply be prohibited and towards how they can be integrated critically into language learning (Jolley &amp; </w:t>
      </w:r>
      <w:proofErr w:type="spellStart"/>
      <w:r w:rsidRPr="00215EBF">
        <w:rPr>
          <w:rFonts w:ascii="Times New Roman" w:hAnsi="Times New Roman" w:cs="Times New Roman"/>
          <w:sz w:val="28"/>
          <w:szCs w:val="28"/>
        </w:rPr>
        <w:t>Maimone</w:t>
      </w:r>
      <w:proofErr w:type="spellEnd"/>
      <w:r w:rsidRPr="00215EBF">
        <w:rPr>
          <w:rFonts w:ascii="Times New Roman" w:hAnsi="Times New Roman" w:cs="Times New Roman"/>
          <w:sz w:val="28"/>
          <w:szCs w:val="28"/>
        </w:rPr>
        <w:t xml:space="preserve">, 2022; </w:t>
      </w:r>
      <w:proofErr w:type="spellStart"/>
      <w:r w:rsidRPr="00215EBF">
        <w:rPr>
          <w:rFonts w:ascii="Times New Roman" w:hAnsi="Times New Roman" w:cs="Times New Roman"/>
          <w:sz w:val="28"/>
          <w:szCs w:val="28"/>
        </w:rPr>
        <w:t>Urlaub</w:t>
      </w:r>
      <w:proofErr w:type="spellEnd"/>
      <w:r w:rsidRPr="00215EBF">
        <w:rPr>
          <w:rFonts w:ascii="Times New Roman" w:hAnsi="Times New Roman" w:cs="Times New Roman"/>
          <w:sz w:val="28"/>
          <w:szCs w:val="28"/>
        </w:rPr>
        <w:t xml:space="preserve"> &amp; </w:t>
      </w:r>
      <w:proofErr w:type="spellStart"/>
      <w:r w:rsidRPr="00215EBF">
        <w:rPr>
          <w:rFonts w:ascii="Times New Roman" w:hAnsi="Times New Roman" w:cs="Times New Roman"/>
          <w:sz w:val="28"/>
          <w:szCs w:val="28"/>
        </w:rPr>
        <w:t>Dessein</w:t>
      </w:r>
      <w:proofErr w:type="spellEnd"/>
      <w:r w:rsidRPr="00215EBF">
        <w:rPr>
          <w:rFonts w:ascii="Times New Roman" w:hAnsi="Times New Roman" w:cs="Times New Roman"/>
          <w:sz w:val="28"/>
          <w:szCs w:val="28"/>
        </w:rPr>
        <w:t xml:space="preserve">, 2022). Digital translation systems can provide useful support for comprehension and production, but their output may contain lexical, pragmatic, stylistic, or context-related choices that require evaluation. </w:t>
      </w:r>
      <w:proofErr w:type="spellStart"/>
      <w:r w:rsidRPr="00215EBF">
        <w:rPr>
          <w:rFonts w:ascii="Times New Roman" w:hAnsi="Times New Roman" w:cs="Times New Roman"/>
          <w:sz w:val="28"/>
          <w:szCs w:val="28"/>
        </w:rPr>
        <w:t>Urlaub</w:t>
      </w:r>
      <w:proofErr w:type="spellEnd"/>
      <w:r w:rsidRPr="00215EBF">
        <w:rPr>
          <w:rFonts w:ascii="Times New Roman" w:hAnsi="Times New Roman" w:cs="Times New Roman"/>
          <w:sz w:val="28"/>
          <w:szCs w:val="28"/>
        </w:rPr>
        <w:t xml:space="preserve"> and </w:t>
      </w:r>
      <w:proofErr w:type="spellStart"/>
      <w:r w:rsidRPr="00215EBF">
        <w:rPr>
          <w:rFonts w:ascii="Times New Roman" w:hAnsi="Times New Roman" w:cs="Times New Roman"/>
          <w:sz w:val="28"/>
          <w:szCs w:val="28"/>
        </w:rPr>
        <w:t>Dessein</w:t>
      </w:r>
      <w:proofErr w:type="spellEnd"/>
      <w:r w:rsidRPr="00215EBF">
        <w:rPr>
          <w:rFonts w:ascii="Times New Roman" w:hAnsi="Times New Roman" w:cs="Times New Roman"/>
          <w:sz w:val="28"/>
          <w:szCs w:val="28"/>
        </w:rPr>
        <w:t xml:space="preserve"> (2022), for example, draw attention to continuing limitations in the treatment of </w:t>
      </w:r>
      <w:r w:rsidR="00F74506" w:rsidRPr="00215EBF">
        <w:rPr>
          <w:rFonts w:ascii="Times New Roman" w:hAnsi="Times New Roman" w:cs="Times New Roman"/>
          <w:sz w:val="28"/>
          <w:szCs w:val="28"/>
        </w:rPr>
        <w:t>sociocultural</w:t>
      </w:r>
      <w:r w:rsidRPr="00215EBF">
        <w:rPr>
          <w:rFonts w:ascii="Times New Roman" w:hAnsi="Times New Roman" w:cs="Times New Roman"/>
          <w:sz w:val="28"/>
          <w:szCs w:val="28"/>
        </w:rPr>
        <w:t xml:space="preserve"> complex language. Consequently, learners require the ability to examine rather than merely accept digitally provided linguistic solutions.</w:t>
      </w:r>
    </w:p>
    <w:p w14:paraId="569B9BAA" w14:textId="77777777" w:rsidR="00215EBF" w:rsidRPr="00215EBF" w:rsidRDefault="00215EBF" w:rsidP="00AF2F63">
      <w:pPr>
        <w:spacing w:line="240" w:lineRule="auto"/>
        <w:ind w:firstLine="567"/>
        <w:jc w:val="both"/>
        <w:rPr>
          <w:rFonts w:ascii="Times New Roman" w:hAnsi="Times New Roman" w:cs="Times New Roman"/>
          <w:sz w:val="28"/>
          <w:szCs w:val="28"/>
        </w:rPr>
      </w:pPr>
      <w:r w:rsidRPr="00215EBF">
        <w:rPr>
          <w:rFonts w:ascii="Times New Roman" w:hAnsi="Times New Roman" w:cs="Times New Roman"/>
          <w:sz w:val="28"/>
          <w:szCs w:val="28"/>
        </w:rPr>
        <w:t xml:space="preserve">This need has led to growing attention to </w:t>
      </w:r>
      <w:r w:rsidRPr="00215EBF">
        <w:rPr>
          <w:rFonts w:ascii="Times New Roman" w:hAnsi="Times New Roman" w:cs="Times New Roman"/>
          <w:b/>
          <w:bCs/>
          <w:sz w:val="28"/>
          <w:szCs w:val="28"/>
        </w:rPr>
        <w:t>machine-translation literacy</w:t>
      </w:r>
      <w:r w:rsidRPr="00215EBF">
        <w:rPr>
          <w:rFonts w:ascii="Times New Roman" w:hAnsi="Times New Roman" w:cs="Times New Roman"/>
          <w:sz w:val="28"/>
          <w:szCs w:val="28"/>
        </w:rPr>
        <w:t xml:space="preserve"> as part of contemporary language education. </w:t>
      </w:r>
      <w:proofErr w:type="spellStart"/>
      <w:r w:rsidRPr="00215EBF">
        <w:rPr>
          <w:rFonts w:ascii="Times New Roman" w:hAnsi="Times New Roman" w:cs="Times New Roman"/>
          <w:sz w:val="28"/>
          <w:szCs w:val="28"/>
        </w:rPr>
        <w:t>Loock</w:t>
      </w:r>
      <w:proofErr w:type="spellEnd"/>
      <w:r w:rsidRPr="00215EBF">
        <w:rPr>
          <w:rFonts w:ascii="Times New Roman" w:hAnsi="Times New Roman" w:cs="Times New Roman"/>
          <w:sz w:val="28"/>
          <w:szCs w:val="28"/>
        </w:rPr>
        <w:t xml:space="preserve">, </w:t>
      </w:r>
      <w:proofErr w:type="spellStart"/>
      <w:r w:rsidRPr="00215EBF">
        <w:rPr>
          <w:rFonts w:ascii="Times New Roman" w:hAnsi="Times New Roman" w:cs="Times New Roman"/>
          <w:sz w:val="28"/>
          <w:szCs w:val="28"/>
        </w:rPr>
        <w:t>Léchauguette</w:t>
      </w:r>
      <w:proofErr w:type="spellEnd"/>
      <w:r w:rsidRPr="00215EBF">
        <w:rPr>
          <w:rFonts w:ascii="Times New Roman" w:hAnsi="Times New Roman" w:cs="Times New Roman"/>
          <w:sz w:val="28"/>
          <w:szCs w:val="28"/>
        </w:rPr>
        <w:t>, and Holt (2022) argue that university language learners should be taught to use online translation critically, including the ability to identify and correct errors and to understand relevant technical and ethical considerations. From a pedagogical perspective, this shifts the educator’s role from controlling access to digital resources towards developing learners’ capacity to evaluate them. The availability of multilingual digital support therefore increases rather than eliminates the need for informed pedagogical guidance.</w:t>
      </w:r>
    </w:p>
    <w:p w14:paraId="30D5126F" w14:textId="77777777" w:rsidR="00215EBF" w:rsidRPr="00215EBF" w:rsidRDefault="00215EBF" w:rsidP="00AF2F63">
      <w:pPr>
        <w:spacing w:line="240" w:lineRule="auto"/>
        <w:ind w:firstLine="567"/>
        <w:jc w:val="both"/>
        <w:rPr>
          <w:rFonts w:ascii="Times New Roman" w:hAnsi="Times New Roman" w:cs="Times New Roman"/>
          <w:sz w:val="28"/>
          <w:szCs w:val="28"/>
        </w:rPr>
      </w:pPr>
      <w:r w:rsidRPr="00215EBF">
        <w:rPr>
          <w:rFonts w:ascii="Times New Roman" w:hAnsi="Times New Roman" w:cs="Times New Roman"/>
          <w:sz w:val="28"/>
          <w:szCs w:val="28"/>
        </w:rPr>
        <w:t xml:space="preserve">However, increased accessibility creates a further tension between </w:t>
      </w:r>
      <w:r w:rsidRPr="00215EBF">
        <w:rPr>
          <w:rFonts w:ascii="Times New Roman" w:hAnsi="Times New Roman" w:cs="Times New Roman"/>
          <w:b/>
          <w:bCs/>
          <w:sz w:val="28"/>
          <w:szCs w:val="28"/>
        </w:rPr>
        <w:t>participation and sustained target-language interaction</w:t>
      </w:r>
      <w:r w:rsidRPr="00215EBF">
        <w:rPr>
          <w:rFonts w:ascii="Times New Roman" w:hAnsi="Times New Roman" w:cs="Times New Roman"/>
          <w:sz w:val="28"/>
          <w:szCs w:val="28"/>
        </w:rPr>
        <w:t xml:space="preserve">. If multilingual support becomes the default mode whenever communication becomes difficult, learners may complete the intellectual component of a task while reducing the amount of interaction conducted through the language they are expected to </w:t>
      </w:r>
      <w:r w:rsidRPr="00215EBF">
        <w:rPr>
          <w:rFonts w:ascii="Times New Roman" w:hAnsi="Times New Roman" w:cs="Times New Roman"/>
          <w:sz w:val="28"/>
          <w:szCs w:val="28"/>
        </w:rPr>
        <w:lastRenderedPageBreak/>
        <w:t>develop. The central pedagogical question is therefore whether support creates access to target-language activity or provides an alternative route around it. A successful form of scaffolding should enable learners to return to the target language with greater understanding and greater capacity to participate.</w:t>
      </w:r>
    </w:p>
    <w:p w14:paraId="103BF901" w14:textId="3961FBBB" w:rsidR="00F74506" w:rsidRPr="00215EBF" w:rsidRDefault="00215EBF" w:rsidP="00AF2F63">
      <w:pPr>
        <w:spacing w:line="240" w:lineRule="auto"/>
        <w:ind w:firstLine="567"/>
        <w:jc w:val="both"/>
        <w:rPr>
          <w:rFonts w:ascii="Times New Roman" w:hAnsi="Times New Roman" w:cs="Times New Roman"/>
          <w:sz w:val="28"/>
          <w:szCs w:val="28"/>
        </w:rPr>
      </w:pPr>
      <w:r w:rsidRPr="00215EBF">
        <w:rPr>
          <w:rFonts w:ascii="Times New Roman" w:hAnsi="Times New Roman" w:cs="Times New Roman"/>
          <w:sz w:val="28"/>
          <w:szCs w:val="28"/>
        </w:rPr>
        <w:t xml:space="preserve">Taken together, these considerations demonstrate that the principal pedagogical issue is </w:t>
      </w:r>
      <w:r w:rsidRPr="00215EBF">
        <w:rPr>
          <w:rFonts w:ascii="Times New Roman" w:hAnsi="Times New Roman" w:cs="Times New Roman"/>
          <w:b/>
          <w:bCs/>
          <w:sz w:val="28"/>
          <w:szCs w:val="28"/>
        </w:rPr>
        <w:t>not whether multilingual digital resources should be used, but how their use is regulated within the learning process</w:t>
      </w:r>
      <w:r w:rsidRPr="00215EBF">
        <w:rPr>
          <w:rFonts w:ascii="Times New Roman" w:hAnsi="Times New Roman" w:cs="Times New Roman"/>
          <w:sz w:val="28"/>
          <w:szCs w:val="28"/>
        </w:rPr>
        <w:t>. Their benefits are most evident when they provide access, clarification, comparison, and temporary support. Their limitations emerge when assistance develops into substitution, dependence, or reduced engagement with the target language. The distinction between these outcomes cannot be determined by the technology alone; it depends on the purpose of the activity, the learner’s proficiency, the amount of support provided, and what learners are expected to do with the information after accessing it. These factors form the basis for establishing conditions for a more balanced pedagogical use of digital multilingual support.</w:t>
      </w:r>
    </w:p>
    <w:p w14:paraId="575C73FB" w14:textId="7099FFE7" w:rsidR="00F74506" w:rsidRPr="00F74506" w:rsidRDefault="00F74506" w:rsidP="00AF2F63">
      <w:pPr>
        <w:spacing w:line="240" w:lineRule="auto"/>
        <w:ind w:firstLine="567"/>
        <w:jc w:val="both"/>
        <w:rPr>
          <w:rFonts w:ascii="Times New Roman" w:hAnsi="Times New Roman" w:cs="Times New Roman"/>
          <w:sz w:val="28"/>
          <w:szCs w:val="28"/>
        </w:rPr>
      </w:pPr>
      <w:r w:rsidRPr="00F74506">
        <w:rPr>
          <w:rFonts w:ascii="Times New Roman" w:hAnsi="Times New Roman" w:cs="Times New Roman"/>
          <w:sz w:val="28"/>
          <w:szCs w:val="28"/>
        </w:rPr>
        <w:t>The limitations discussed above do not suggest that multilingual digital resources should be restricted as a general principle. Rather, they indicate that their educational value depends on how they are incorporated into the learning process. A balanced approach requires multilingual support to remain purposeful, proportionate, responsive to learner proficiency, progressively reduced when appropriate, critically verified, and ultimately connected with meaningful target-language use. These conditions can be organised around three closely related pedagogical considerations: purpose and proportion, proficiency and progression, and verification and production.</w:t>
      </w:r>
    </w:p>
    <w:p w14:paraId="7E0D407F" w14:textId="3D840019" w:rsidR="00F74506" w:rsidRPr="00F74506" w:rsidRDefault="00F74506" w:rsidP="00AF2F63">
      <w:pPr>
        <w:spacing w:line="240" w:lineRule="auto"/>
        <w:ind w:firstLine="567"/>
        <w:jc w:val="both"/>
        <w:rPr>
          <w:rFonts w:ascii="Times New Roman" w:hAnsi="Times New Roman" w:cs="Times New Roman"/>
          <w:sz w:val="28"/>
          <w:szCs w:val="28"/>
        </w:rPr>
      </w:pPr>
      <w:r w:rsidRPr="00F74506">
        <w:rPr>
          <w:rFonts w:ascii="Times New Roman" w:hAnsi="Times New Roman" w:cs="Times New Roman"/>
          <w:sz w:val="28"/>
          <w:szCs w:val="28"/>
        </w:rPr>
        <w:t xml:space="preserve">The first condition </w:t>
      </w:r>
      <w:r w:rsidR="00207A56">
        <w:rPr>
          <w:rFonts w:ascii="Times New Roman" w:hAnsi="Times New Roman" w:cs="Times New Roman"/>
          <w:sz w:val="28"/>
          <w:szCs w:val="28"/>
        </w:rPr>
        <w:t>relates to</w:t>
      </w:r>
      <w:r w:rsidRPr="00F74506">
        <w:rPr>
          <w:rFonts w:ascii="Times New Roman" w:hAnsi="Times New Roman" w:cs="Times New Roman"/>
          <w:sz w:val="28"/>
          <w:szCs w:val="28"/>
        </w:rPr>
        <w:t xml:space="preserve"> purpose and proportion. Multilingual support should be introduced because it addresses a specific learning need, not simply because a digital resource is readily available. Purpose is closely related to the amount of assistance provided. Support should be sufficient to remove an unnecessary obstacle without eliminating the linguistic challenge through which learning is expected to occur. If every unfamiliar lexical item is immediately translated, for example, learners have limited reason to draw on contextual information or previously acquired language. Conversely, insufficient support may make a task inaccessible and shift learners’ attention from its communicative purpose towards resolving basic linguistic difficulties. The appropriate level of support is therefore not fixed. It depends on the complexity of the material, the objectives of the task, and the linguistic resources already available to the learners. From this perspective, multilingual assistance functions most effectively as scaffolding rather than substitution.</w:t>
      </w:r>
    </w:p>
    <w:p w14:paraId="38A7F6F0" w14:textId="43CD135E" w:rsidR="00F74506" w:rsidRPr="00F74506" w:rsidRDefault="00F74506" w:rsidP="00AF2F63">
      <w:pPr>
        <w:spacing w:line="240" w:lineRule="auto"/>
        <w:ind w:firstLine="567"/>
        <w:jc w:val="both"/>
        <w:rPr>
          <w:rFonts w:ascii="Times New Roman" w:hAnsi="Times New Roman" w:cs="Times New Roman"/>
          <w:sz w:val="28"/>
          <w:szCs w:val="28"/>
        </w:rPr>
      </w:pPr>
      <w:r w:rsidRPr="00F74506">
        <w:rPr>
          <w:rFonts w:ascii="Times New Roman" w:hAnsi="Times New Roman" w:cs="Times New Roman"/>
          <w:sz w:val="28"/>
          <w:szCs w:val="28"/>
        </w:rPr>
        <w:t xml:space="preserve">A second condition involves proficiency and progression. Learners at different stages of foreign-language development cannot be expected to use multilingual resources in identical ways. At lower levels, direct lexical equivalents, bilingual explanations, and translated instructions may enable participation in activities that would otherwise exceed learners’ available linguistic resources. As proficiency develops, however, the same degree of </w:t>
      </w:r>
      <w:r w:rsidRPr="00F74506">
        <w:rPr>
          <w:rFonts w:ascii="Times New Roman" w:hAnsi="Times New Roman" w:cs="Times New Roman"/>
          <w:sz w:val="28"/>
          <w:szCs w:val="28"/>
        </w:rPr>
        <w:lastRenderedPageBreak/>
        <w:t>support may become unnecessary and may even restrict opportunities for more independent target-language processing. The pedagogical question is therefore not only whether support is appropriate, but also whether its form remains appropriate as learners progress.</w:t>
      </w:r>
    </w:p>
    <w:p w14:paraId="407C1AA8" w14:textId="2D6CE646" w:rsidR="00F74506" w:rsidRPr="00F74506" w:rsidRDefault="00F74506" w:rsidP="00AF2F63">
      <w:pPr>
        <w:spacing w:line="240" w:lineRule="auto"/>
        <w:ind w:firstLine="567"/>
        <w:jc w:val="both"/>
        <w:rPr>
          <w:rFonts w:ascii="Times New Roman" w:hAnsi="Times New Roman" w:cs="Times New Roman"/>
          <w:sz w:val="28"/>
          <w:szCs w:val="28"/>
        </w:rPr>
      </w:pPr>
      <w:r w:rsidRPr="00F74506">
        <w:rPr>
          <w:rFonts w:ascii="Times New Roman" w:hAnsi="Times New Roman" w:cs="Times New Roman"/>
          <w:sz w:val="28"/>
          <w:szCs w:val="28"/>
        </w:rPr>
        <w:t>This implies a gradual adjustment of multilingual support. Direct first-language assistance can progressively be replaced by bilingual comparison, target-language definitions, contextual inference, and independent reformulation. Such progression can be represented as:</w:t>
      </w:r>
    </w:p>
    <w:p w14:paraId="74177259" w14:textId="77777777" w:rsidR="00F74506" w:rsidRPr="00F74506" w:rsidRDefault="00F74506" w:rsidP="00AF2F63">
      <w:pPr>
        <w:spacing w:line="240" w:lineRule="auto"/>
        <w:ind w:firstLine="567"/>
        <w:jc w:val="both"/>
        <w:rPr>
          <w:rFonts w:ascii="Times New Roman" w:hAnsi="Times New Roman" w:cs="Times New Roman"/>
          <w:i/>
          <w:iCs/>
          <w:sz w:val="28"/>
          <w:szCs w:val="28"/>
        </w:rPr>
      </w:pPr>
      <w:r w:rsidRPr="00F74506">
        <w:rPr>
          <w:rFonts w:ascii="Times New Roman" w:hAnsi="Times New Roman" w:cs="Times New Roman"/>
          <w:i/>
          <w:iCs/>
          <w:sz w:val="28"/>
          <w:szCs w:val="28"/>
        </w:rPr>
        <w:t>first-language clarification → bilingual comparison → target-language explanation → independent target-language processing</w:t>
      </w:r>
    </w:p>
    <w:p w14:paraId="65F16E2F" w14:textId="448F2D63" w:rsidR="00F74506" w:rsidRPr="00F74506" w:rsidRDefault="00F74506" w:rsidP="00AF2F63">
      <w:pPr>
        <w:spacing w:line="240" w:lineRule="auto"/>
        <w:ind w:firstLine="567"/>
        <w:jc w:val="both"/>
        <w:rPr>
          <w:rFonts w:ascii="Times New Roman" w:hAnsi="Times New Roman" w:cs="Times New Roman"/>
          <w:sz w:val="28"/>
          <w:szCs w:val="28"/>
        </w:rPr>
      </w:pPr>
      <w:r w:rsidRPr="00F74506">
        <w:rPr>
          <w:rFonts w:ascii="Times New Roman" w:hAnsi="Times New Roman" w:cs="Times New Roman"/>
          <w:sz w:val="28"/>
          <w:szCs w:val="28"/>
        </w:rPr>
        <w:t>The sequence should not be interpreted as a rigid linear model. Learners may still require multilingual support when encountering specialised terminology, unfamiliar genres, or conceptually demanding material at advanced levels. The essential principle is that support should respond to actual learning needs rather than become a permanent default strategy. In higher education, this is particularly important because increased proficiency should normally be accompanied by greater responsibility for selecting and regulating learning strategies.</w:t>
      </w:r>
    </w:p>
    <w:p w14:paraId="7A1CEE8B" w14:textId="77777777" w:rsidR="00F74506" w:rsidRPr="00F74506" w:rsidRDefault="00F74506" w:rsidP="00AF2F63">
      <w:pPr>
        <w:spacing w:line="240" w:lineRule="auto"/>
        <w:ind w:firstLine="567"/>
        <w:jc w:val="both"/>
        <w:rPr>
          <w:rFonts w:ascii="Times New Roman" w:hAnsi="Times New Roman" w:cs="Times New Roman"/>
          <w:sz w:val="28"/>
          <w:szCs w:val="28"/>
        </w:rPr>
      </w:pPr>
      <w:r w:rsidRPr="00F74506">
        <w:rPr>
          <w:rFonts w:ascii="Times New Roman" w:hAnsi="Times New Roman" w:cs="Times New Roman"/>
          <w:sz w:val="28"/>
          <w:szCs w:val="28"/>
        </w:rPr>
        <w:t>The third condition concerns verification and production. The immediate availability of multilingual digital resources makes critical evaluation an increasingly important component of language learning. Learners should not be expected merely to retrieve linguistic information, but to determine whether that information is accurate, contextually appropriate, and suitable for the communicative purpose of the task. This is especially relevant to translation technologies, whose output may appear linguistically convincing while still containing inappropriate lexical, stylistic, pragmatic, or register-related choices. Research on machine-translation literacy consequently emphasises the importance of teaching learners to examine and revise digitally produced language rather than accept it uncritically (</w:t>
      </w:r>
      <w:proofErr w:type="spellStart"/>
      <w:r w:rsidRPr="00F74506">
        <w:rPr>
          <w:rFonts w:ascii="Times New Roman" w:hAnsi="Times New Roman" w:cs="Times New Roman"/>
          <w:sz w:val="28"/>
          <w:szCs w:val="28"/>
        </w:rPr>
        <w:t>Loock</w:t>
      </w:r>
      <w:proofErr w:type="spellEnd"/>
      <w:r w:rsidRPr="00F74506">
        <w:rPr>
          <w:rFonts w:ascii="Times New Roman" w:hAnsi="Times New Roman" w:cs="Times New Roman"/>
          <w:sz w:val="28"/>
          <w:szCs w:val="28"/>
        </w:rPr>
        <w:t xml:space="preserve">, </w:t>
      </w:r>
      <w:proofErr w:type="spellStart"/>
      <w:r w:rsidRPr="00F74506">
        <w:rPr>
          <w:rFonts w:ascii="Times New Roman" w:hAnsi="Times New Roman" w:cs="Times New Roman"/>
          <w:sz w:val="28"/>
          <w:szCs w:val="28"/>
        </w:rPr>
        <w:t>Léchauguette</w:t>
      </w:r>
      <w:proofErr w:type="spellEnd"/>
      <w:r w:rsidRPr="00F74506">
        <w:rPr>
          <w:rFonts w:ascii="Times New Roman" w:hAnsi="Times New Roman" w:cs="Times New Roman"/>
          <w:sz w:val="28"/>
          <w:szCs w:val="28"/>
        </w:rPr>
        <w:t xml:space="preserve">, &amp; Holt, 2022; </w:t>
      </w:r>
      <w:proofErr w:type="spellStart"/>
      <w:r w:rsidRPr="00F74506">
        <w:rPr>
          <w:rFonts w:ascii="Times New Roman" w:hAnsi="Times New Roman" w:cs="Times New Roman"/>
          <w:sz w:val="28"/>
          <w:szCs w:val="28"/>
        </w:rPr>
        <w:t>Urlaub</w:t>
      </w:r>
      <w:proofErr w:type="spellEnd"/>
      <w:r w:rsidRPr="00F74506">
        <w:rPr>
          <w:rFonts w:ascii="Times New Roman" w:hAnsi="Times New Roman" w:cs="Times New Roman"/>
          <w:sz w:val="28"/>
          <w:szCs w:val="28"/>
        </w:rPr>
        <w:t xml:space="preserve"> &amp; </w:t>
      </w:r>
      <w:proofErr w:type="spellStart"/>
      <w:r w:rsidRPr="00F74506">
        <w:rPr>
          <w:rFonts w:ascii="Times New Roman" w:hAnsi="Times New Roman" w:cs="Times New Roman"/>
          <w:sz w:val="28"/>
          <w:szCs w:val="28"/>
        </w:rPr>
        <w:t>Dessein</w:t>
      </w:r>
      <w:proofErr w:type="spellEnd"/>
      <w:r w:rsidRPr="00F74506">
        <w:rPr>
          <w:rFonts w:ascii="Times New Roman" w:hAnsi="Times New Roman" w:cs="Times New Roman"/>
          <w:sz w:val="28"/>
          <w:szCs w:val="28"/>
        </w:rPr>
        <w:t>, 2022).</w:t>
      </w:r>
    </w:p>
    <w:p w14:paraId="64DB1A5C" w14:textId="77777777" w:rsidR="00F74506" w:rsidRDefault="00F74506" w:rsidP="00AF2F63">
      <w:pPr>
        <w:spacing w:line="240" w:lineRule="auto"/>
        <w:ind w:firstLine="567"/>
        <w:jc w:val="both"/>
        <w:rPr>
          <w:rFonts w:ascii="Times New Roman" w:hAnsi="Times New Roman" w:cs="Times New Roman"/>
          <w:sz w:val="28"/>
          <w:szCs w:val="28"/>
        </w:rPr>
      </w:pPr>
      <w:r w:rsidRPr="00F74506">
        <w:rPr>
          <w:rFonts w:ascii="Times New Roman" w:hAnsi="Times New Roman" w:cs="Times New Roman"/>
          <w:sz w:val="28"/>
          <w:szCs w:val="28"/>
        </w:rPr>
        <w:t>Critical verification can involve comparing more than one resource, examining authentic contextual examples, checking collocations, considering register and audience, and explaining why one linguistic choice is preferable to another. Such practices transform digital support from a mechanism for obtaining ready-made answers into an opportunity for language awareness and informed decision-making. The educator’s role therefore remains important, but changes in emphasis: rather than functioning primarily as the source of linguistic information, the educator supports learners in evaluating resources, recognising limitations, and developing criteria for responsible use.</w:t>
      </w:r>
    </w:p>
    <w:p w14:paraId="06E75275" w14:textId="379832A1" w:rsidR="00F74506" w:rsidRPr="00F74506" w:rsidRDefault="00F74506" w:rsidP="00AF2F63">
      <w:pPr>
        <w:spacing w:line="240" w:lineRule="auto"/>
        <w:ind w:firstLine="567"/>
        <w:jc w:val="both"/>
        <w:rPr>
          <w:rFonts w:ascii="Times New Roman" w:hAnsi="Times New Roman" w:cs="Times New Roman"/>
          <w:sz w:val="28"/>
          <w:szCs w:val="28"/>
        </w:rPr>
      </w:pPr>
      <w:r w:rsidRPr="00F74506">
        <w:rPr>
          <w:rFonts w:ascii="Times New Roman" w:hAnsi="Times New Roman" w:cs="Times New Roman"/>
          <w:sz w:val="28"/>
          <w:szCs w:val="28"/>
        </w:rPr>
        <w:t xml:space="preserve">Verification alone, however, does not ensure that multilingual support contributes to foreign-language development. The information obtained through another language should ultimately be connected with target-language processing or production. A learner may consult a bilingual resource to clarify meaning, but the subsequent activity should require that understanding to be used through the </w:t>
      </w:r>
      <w:r w:rsidRPr="00F74506">
        <w:rPr>
          <w:rFonts w:ascii="Times New Roman" w:hAnsi="Times New Roman" w:cs="Times New Roman"/>
          <w:sz w:val="28"/>
          <w:szCs w:val="28"/>
        </w:rPr>
        <w:lastRenderedPageBreak/>
        <w:t>foreign language whenever this corresponds to the learning objective. For example, learners may identify the meaning of an unfamiliar expression, compare several possible equivalents, verify its contextual use, and then employ it in an original written or spoken contribution. Similarly, information accessed through the first language may be summarised, explained, or reformulated for another audience in the target language.</w:t>
      </w:r>
      <w:r>
        <w:rPr>
          <w:rFonts w:ascii="Times New Roman" w:hAnsi="Times New Roman" w:cs="Times New Roman"/>
          <w:sz w:val="28"/>
          <w:szCs w:val="28"/>
        </w:rPr>
        <w:t xml:space="preserve"> </w:t>
      </w:r>
      <w:r w:rsidRPr="00F74506">
        <w:rPr>
          <w:rFonts w:ascii="Times New Roman" w:hAnsi="Times New Roman" w:cs="Times New Roman"/>
          <w:sz w:val="28"/>
          <w:szCs w:val="28"/>
        </w:rPr>
        <w:t>This relationship can be expressed through a simple pedagogical sequence:</w:t>
      </w:r>
    </w:p>
    <w:p w14:paraId="54B16D7D" w14:textId="6FD753DD" w:rsidR="00F74506" w:rsidRPr="00F74506" w:rsidRDefault="00F74506" w:rsidP="00AF2F63">
      <w:pPr>
        <w:spacing w:line="240" w:lineRule="auto"/>
        <w:ind w:firstLine="567"/>
        <w:jc w:val="both"/>
        <w:rPr>
          <w:rFonts w:ascii="Times New Roman" w:hAnsi="Times New Roman" w:cs="Times New Roman"/>
          <w:i/>
          <w:iCs/>
          <w:sz w:val="28"/>
          <w:szCs w:val="28"/>
        </w:rPr>
      </w:pPr>
      <w:r w:rsidRPr="00F74506">
        <w:rPr>
          <w:rFonts w:ascii="Times New Roman" w:hAnsi="Times New Roman" w:cs="Times New Roman"/>
          <w:i/>
          <w:iCs/>
          <w:sz w:val="28"/>
          <w:szCs w:val="28"/>
        </w:rPr>
        <w:t>access → clarification → comparison → verification → reformulation → target-language use</w:t>
      </w:r>
    </w:p>
    <w:p w14:paraId="4C0E13D6" w14:textId="77777777" w:rsidR="00F74506" w:rsidRDefault="00F74506" w:rsidP="00AF2F63">
      <w:pPr>
        <w:spacing w:line="240" w:lineRule="auto"/>
        <w:ind w:firstLine="567"/>
        <w:jc w:val="both"/>
        <w:rPr>
          <w:rFonts w:ascii="Times New Roman" w:hAnsi="Times New Roman" w:cs="Times New Roman"/>
          <w:sz w:val="28"/>
          <w:szCs w:val="28"/>
        </w:rPr>
      </w:pPr>
      <w:r w:rsidRPr="00F74506">
        <w:rPr>
          <w:rFonts w:ascii="Times New Roman" w:hAnsi="Times New Roman" w:cs="Times New Roman"/>
          <w:sz w:val="28"/>
          <w:szCs w:val="28"/>
        </w:rPr>
        <w:t>The sequence addresses the principal tensions identified in the preceding section. Comprehension support is followed by independent processing; vocabulary access is followed by contextual use; autonomy is connected with critical evaluation; and participation supported through another language ultimately returns to meaningful communication in the target language. Multilingual resources therefore remain part of the learning process without becoming its final product.</w:t>
      </w:r>
    </w:p>
    <w:p w14:paraId="41FB151B" w14:textId="7947A190" w:rsidR="00215EBF" w:rsidRDefault="00F74506" w:rsidP="00AF2F63">
      <w:pPr>
        <w:spacing w:line="240" w:lineRule="auto"/>
        <w:ind w:firstLine="567"/>
        <w:jc w:val="both"/>
        <w:rPr>
          <w:rFonts w:ascii="Times New Roman" w:hAnsi="Times New Roman" w:cs="Times New Roman"/>
          <w:sz w:val="28"/>
          <w:szCs w:val="28"/>
        </w:rPr>
      </w:pPr>
      <w:r w:rsidRPr="00F74506">
        <w:rPr>
          <w:rFonts w:ascii="Times New Roman" w:hAnsi="Times New Roman" w:cs="Times New Roman"/>
          <w:sz w:val="28"/>
          <w:szCs w:val="28"/>
        </w:rPr>
        <w:t>Taken together, these conditions suggest that the effective use of digital multilingual support depends less on the particular technology than on the pedagogical decisions surrounding it. Purpose determines why support is needed; proportion regulates how much assistance is provided; proficiency relates support to learners’ current linguistic resources; progression prevents unnecessary long-term dependence; verification develops critical use of digital information; and production ensures that assistance contributes to subsequent target-language performance. Digital multilingual support can therefore be regarded as pedagogically justified when it expands learners’ access to meaningful language activity while preserving the need to interpret, evaluate, and communicate through the foreign language.</w:t>
      </w:r>
      <w:r>
        <w:rPr>
          <w:rFonts w:ascii="Times New Roman" w:hAnsi="Times New Roman" w:cs="Times New Roman"/>
          <w:sz w:val="28"/>
          <w:szCs w:val="28"/>
        </w:rPr>
        <w:t xml:space="preserve"> </w:t>
      </w:r>
      <w:r w:rsidRPr="00F74506">
        <w:rPr>
          <w:rFonts w:ascii="Times New Roman" w:hAnsi="Times New Roman" w:cs="Times New Roman"/>
          <w:sz w:val="28"/>
          <w:szCs w:val="28"/>
        </w:rPr>
        <w:t>The central principle is that multilingual support should facilitate engagement with the target language rather than provide an alternative to it. When used in this way, the learner’s existing linguistic repertoire becomes a resource for developing further competence, while the target language retains its central role as both the object and medium of learning.</w:t>
      </w:r>
    </w:p>
    <w:p w14:paraId="26C1CF0A" w14:textId="77777777" w:rsidR="00207A56" w:rsidRDefault="00207A56" w:rsidP="00AF2F63">
      <w:pPr>
        <w:spacing w:line="240" w:lineRule="auto"/>
        <w:jc w:val="both"/>
        <w:rPr>
          <w:rFonts w:ascii="Times New Roman" w:hAnsi="Times New Roman" w:cs="Times New Roman"/>
          <w:b/>
          <w:bCs/>
          <w:sz w:val="28"/>
          <w:szCs w:val="28"/>
        </w:rPr>
      </w:pPr>
    </w:p>
    <w:p w14:paraId="08FB32DD" w14:textId="0C049481" w:rsidR="00C86F79" w:rsidRPr="00C86F79" w:rsidRDefault="00C86F79" w:rsidP="00AF2F63">
      <w:pPr>
        <w:spacing w:line="240" w:lineRule="auto"/>
        <w:jc w:val="both"/>
        <w:rPr>
          <w:rFonts w:ascii="Times New Roman" w:hAnsi="Times New Roman" w:cs="Times New Roman"/>
          <w:b/>
          <w:bCs/>
          <w:sz w:val="28"/>
          <w:szCs w:val="28"/>
        </w:rPr>
      </w:pPr>
      <w:r w:rsidRPr="00C86F79">
        <w:rPr>
          <w:rFonts w:ascii="Times New Roman" w:hAnsi="Times New Roman" w:cs="Times New Roman"/>
          <w:b/>
          <w:bCs/>
          <w:sz w:val="28"/>
          <w:szCs w:val="28"/>
        </w:rPr>
        <w:t>References</w:t>
      </w:r>
    </w:p>
    <w:p w14:paraId="17F06E64" w14:textId="589ABA49" w:rsidR="00C86F79" w:rsidRPr="00C86F79" w:rsidRDefault="00C86F79" w:rsidP="00AF2F63">
      <w:pPr>
        <w:pStyle w:val="ListParagraph"/>
        <w:numPr>
          <w:ilvl w:val="0"/>
          <w:numId w:val="1"/>
        </w:numPr>
        <w:spacing w:line="240" w:lineRule="auto"/>
        <w:jc w:val="both"/>
        <w:rPr>
          <w:rFonts w:ascii="Times New Roman" w:hAnsi="Times New Roman" w:cs="Times New Roman"/>
          <w:sz w:val="28"/>
          <w:szCs w:val="28"/>
        </w:rPr>
      </w:pPr>
      <w:r w:rsidRPr="00C86F79">
        <w:rPr>
          <w:rFonts w:ascii="Times New Roman" w:hAnsi="Times New Roman" w:cs="Times New Roman"/>
          <w:sz w:val="28"/>
          <w:szCs w:val="28"/>
        </w:rPr>
        <w:t xml:space="preserve">Bonacina-Pugh, F., da Costa Cabral, I., &amp; Huang, J. (2021). </w:t>
      </w:r>
      <w:r w:rsidRPr="00C86F79">
        <w:rPr>
          <w:rFonts w:ascii="Times New Roman" w:hAnsi="Times New Roman" w:cs="Times New Roman"/>
          <w:i/>
          <w:iCs/>
          <w:sz w:val="28"/>
          <w:szCs w:val="28"/>
        </w:rPr>
        <w:t>Translanguaging in education. Language Teaching, 54(4), 439–471</w:t>
      </w:r>
      <w:r w:rsidRPr="00C86F79">
        <w:rPr>
          <w:rFonts w:ascii="Times New Roman" w:hAnsi="Times New Roman" w:cs="Times New Roman"/>
          <w:sz w:val="28"/>
          <w:szCs w:val="28"/>
        </w:rPr>
        <w:t xml:space="preserve">. </w:t>
      </w:r>
      <w:hyperlink r:id="rId5" w:history="1">
        <w:r w:rsidRPr="00A91C5A">
          <w:rPr>
            <w:rStyle w:val="Hyperlink"/>
            <w:rFonts w:ascii="Times New Roman" w:hAnsi="Times New Roman" w:cs="Times New Roman"/>
            <w:sz w:val="28"/>
            <w:szCs w:val="28"/>
          </w:rPr>
          <w:t>https://doi.org/10.1017/S0261444821000173</w:t>
        </w:r>
      </w:hyperlink>
      <w:r>
        <w:rPr>
          <w:rFonts w:ascii="Times New Roman" w:hAnsi="Times New Roman" w:cs="Times New Roman"/>
          <w:sz w:val="28"/>
          <w:szCs w:val="28"/>
        </w:rPr>
        <w:t xml:space="preserve"> </w:t>
      </w:r>
    </w:p>
    <w:p w14:paraId="73806FD8" w14:textId="4F345BF1" w:rsidR="00C86F79" w:rsidRPr="00C86F79" w:rsidRDefault="00C86F79" w:rsidP="00AF2F63">
      <w:pPr>
        <w:pStyle w:val="ListParagraph"/>
        <w:numPr>
          <w:ilvl w:val="0"/>
          <w:numId w:val="1"/>
        </w:numPr>
        <w:spacing w:line="240" w:lineRule="auto"/>
        <w:jc w:val="both"/>
        <w:rPr>
          <w:rFonts w:ascii="Times New Roman" w:hAnsi="Times New Roman" w:cs="Times New Roman"/>
          <w:sz w:val="28"/>
          <w:szCs w:val="28"/>
          <w:lang w:val="de-DE"/>
        </w:rPr>
      </w:pPr>
      <w:proofErr w:type="spellStart"/>
      <w:r w:rsidRPr="00C86F79">
        <w:rPr>
          <w:rFonts w:ascii="Times New Roman" w:hAnsi="Times New Roman" w:cs="Times New Roman"/>
          <w:sz w:val="28"/>
          <w:szCs w:val="28"/>
        </w:rPr>
        <w:t>Cenoz</w:t>
      </w:r>
      <w:proofErr w:type="spellEnd"/>
      <w:r w:rsidRPr="00C86F79">
        <w:rPr>
          <w:rFonts w:ascii="Times New Roman" w:hAnsi="Times New Roman" w:cs="Times New Roman"/>
          <w:sz w:val="28"/>
          <w:szCs w:val="28"/>
        </w:rPr>
        <w:t xml:space="preserve">, J., &amp; Gorter, D. (2020). </w:t>
      </w:r>
      <w:r w:rsidRPr="00C86F79">
        <w:rPr>
          <w:rFonts w:ascii="Times New Roman" w:hAnsi="Times New Roman" w:cs="Times New Roman"/>
          <w:i/>
          <w:iCs/>
          <w:sz w:val="28"/>
          <w:szCs w:val="28"/>
        </w:rPr>
        <w:t xml:space="preserve">Pedagogical translanguaging: An introduction. </w:t>
      </w:r>
      <w:r w:rsidRPr="00C86F79">
        <w:rPr>
          <w:rFonts w:ascii="Times New Roman" w:hAnsi="Times New Roman" w:cs="Times New Roman"/>
          <w:i/>
          <w:iCs/>
          <w:sz w:val="28"/>
          <w:szCs w:val="28"/>
          <w:lang w:val="de-DE"/>
        </w:rPr>
        <w:t>System, 92, 102269</w:t>
      </w:r>
      <w:r w:rsidRPr="00C86F79">
        <w:rPr>
          <w:rFonts w:ascii="Times New Roman" w:hAnsi="Times New Roman" w:cs="Times New Roman"/>
          <w:sz w:val="28"/>
          <w:szCs w:val="28"/>
          <w:lang w:val="de-DE"/>
        </w:rPr>
        <w:t xml:space="preserve">. </w:t>
      </w:r>
      <w:hyperlink r:id="rId6" w:history="1">
        <w:r w:rsidRPr="00A91C5A">
          <w:rPr>
            <w:rStyle w:val="Hyperlink"/>
            <w:rFonts w:ascii="Times New Roman" w:hAnsi="Times New Roman" w:cs="Times New Roman"/>
            <w:sz w:val="28"/>
            <w:szCs w:val="28"/>
            <w:lang w:val="de-DE"/>
          </w:rPr>
          <w:t>https://doi.org/10.1016/j.system.2020.102269</w:t>
        </w:r>
      </w:hyperlink>
      <w:r>
        <w:rPr>
          <w:rFonts w:ascii="Times New Roman" w:hAnsi="Times New Roman" w:cs="Times New Roman"/>
          <w:sz w:val="28"/>
          <w:szCs w:val="28"/>
          <w:lang w:val="de-DE"/>
        </w:rPr>
        <w:t xml:space="preserve"> </w:t>
      </w:r>
    </w:p>
    <w:p w14:paraId="07E4764E" w14:textId="77777777" w:rsidR="00C86F79" w:rsidRPr="00C86F79" w:rsidRDefault="00C86F79" w:rsidP="00AF2F63">
      <w:pPr>
        <w:pStyle w:val="ListParagraph"/>
        <w:numPr>
          <w:ilvl w:val="0"/>
          <w:numId w:val="1"/>
        </w:numPr>
        <w:spacing w:line="240" w:lineRule="auto"/>
        <w:jc w:val="both"/>
        <w:rPr>
          <w:rFonts w:ascii="Times New Roman" w:hAnsi="Times New Roman" w:cs="Times New Roman"/>
          <w:sz w:val="28"/>
          <w:szCs w:val="28"/>
        </w:rPr>
      </w:pPr>
      <w:proofErr w:type="spellStart"/>
      <w:r w:rsidRPr="00AF2F63">
        <w:rPr>
          <w:rFonts w:ascii="Times New Roman" w:hAnsi="Times New Roman" w:cs="Times New Roman"/>
          <w:sz w:val="28"/>
          <w:szCs w:val="28"/>
          <w:lang w:val="en-US"/>
        </w:rPr>
        <w:t>Cenoz</w:t>
      </w:r>
      <w:proofErr w:type="spellEnd"/>
      <w:r w:rsidRPr="00AF2F63">
        <w:rPr>
          <w:rFonts w:ascii="Times New Roman" w:hAnsi="Times New Roman" w:cs="Times New Roman"/>
          <w:sz w:val="28"/>
          <w:szCs w:val="28"/>
          <w:lang w:val="en-US"/>
        </w:rPr>
        <w:t xml:space="preserve">, J., &amp; </w:t>
      </w:r>
      <w:proofErr w:type="spellStart"/>
      <w:r w:rsidRPr="00AF2F63">
        <w:rPr>
          <w:rFonts w:ascii="Times New Roman" w:hAnsi="Times New Roman" w:cs="Times New Roman"/>
          <w:sz w:val="28"/>
          <w:szCs w:val="28"/>
          <w:lang w:val="en-US"/>
        </w:rPr>
        <w:t>Gorter</w:t>
      </w:r>
      <w:proofErr w:type="spellEnd"/>
      <w:r w:rsidRPr="00AF2F63">
        <w:rPr>
          <w:rFonts w:ascii="Times New Roman" w:hAnsi="Times New Roman" w:cs="Times New Roman"/>
          <w:sz w:val="28"/>
          <w:szCs w:val="28"/>
          <w:lang w:val="en-US"/>
        </w:rPr>
        <w:t xml:space="preserve">, D. (2021). </w:t>
      </w:r>
      <w:r w:rsidRPr="00C86F79">
        <w:rPr>
          <w:rFonts w:ascii="Times New Roman" w:hAnsi="Times New Roman" w:cs="Times New Roman"/>
          <w:i/>
          <w:iCs/>
          <w:sz w:val="28"/>
          <w:szCs w:val="28"/>
        </w:rPr>
        <w:t xml:space="preserve">Pedagogical </w:t>
      </w:r>
      <w:proofErr w:type="spellStart"/>
      <w:r w:rsidRPr="00C86F79">
        <w:rPr>
          <w:rFonts w:ascii="Times New Roman" w:hAnsi="Times New Roman" w:cs="Times New Roman"/>
          <w:i/>
          <w:iCs/>
          <w:sz w:val="28"/>
          <w:szCs w:val="28"/>
        </w:rPr>
        <w:t>translanguaging</w:t>
      </w:r>
      <w:proofErr w:type="spellEnd"/>
      <w:r w:rsidRPr="00C86F79">
        <w:rPr>
          <w:rFonts w:ascii="Times New Roman" w:hAnsi="Times New Roman" w:cs="Times New Roman"/>
          <w:i/>
          <w:iCs/>
          <w:sz w:val="28"/>
          <w:szCs w:val="28"/>
        </w:rPr>
        <w:t>.</w:t>
      </w:r>
      <w:r w:rsidRPr="00C86F79">
        <w:rPr>
          <w:rFonts w:ascii="Times New Roman" w:hAnsi="Times New Roman" w:cs="Times New Roman"/>
          <w:sz w:val="28"/>
          <w:szCs w:val="28"/>
        </w:rPr>
        <w:t xml:space="preserve"> Cambridge University Press.</w:t>
      </w:r>
    </w:p>
    <w:p w14:paraId="7B3B2315" w14:textId="77777777" w:rsidR="00C86F79" w:rsidRPr="00C86F79" w:rsidRDefault="00C86F79" w:rsidP="00AF2F63">
      <w:pPr>
        <w:pStyle w:val="ListParagraph"/>
        <w:numPr>
          <w:ilvl w:val="0"/>
          <w:numId w:val="1"/>
        </w:numPr>
        <w:spacing w:line="240" w:lineRule="auto"/>
        <w:jc w:val="both"/>
        <w:rPr>
          <w:rFonts w:ascii="Times New Roman" w:hAnsi="Times New Roman" w:cs="Times New Roman"/>
          <w:sz w:val="28"/>
          <w:szCs w:val="28"/>
        </w:rPr>
      </w:pPr>
      <w:r w:rsidRPr="00C86F79">
        <w:rPr>
          <w:rFonts w:ascii="Times New Roman" w:hAnsi="Times New Roman" w:cs="Times New Roman"/>
          <w:sz w:val="28"/>
          <w:szCs w:val="28"/>
        </w:rPr>
        <w:lastRenderedPageBreak/>
        <w:t xml:space="preserve">Council of Europe. (2020). </w:t>
      </w:r>
      <w:r w:rsidRPr="00C86F79">
        <w:rPr>
          <w:rFonts w:ascii="Times New Roman" w:hAnsi="Times New Roman" w:cs="Times New Roman"/>
          <w:i/>
          <w:iCs/>
          <w:sz w:val="28"/>
          <w:szCs w:val="28"/>
        </w:rPr>
        <w:t>Common European framework of reference for languages: Learning, teaching, assessment – Companion volume</w:t>
      </w:r>
      <w:r w:rsidRPr="00C86F79">
        <w:rPr>
          <w:rFonts w:ascii="Times New Roman" w:hAnsi="Times New Roman" w:cs="Times New Roman"/>
          <w:sz w:val="28"/>
          <w:szCs w:val="28"/>
        </w:rPr>
        <w:t>. Council of Europe Publishing.</w:t>
      </w:r>
    </w:p>
    <w:p w14:paraId="5B6C18F5" w14:textId="3DA82258" w:rsidR="00C86F79" w:rsidRPr="00C86F79" w:rsidRDefault="00C86F79" w:rsidP="00AF2F63">
      <w:pPr>
        <w:pStyle w:val="ListParagraph"/>
        <w:numPr>
          <w:ilvl w:val="0"/>
          <w:numId w:val="1"/>
        </w:numPr>
        <w:spacing w:line="240" w:lineRule="auto"/>
        <w:jc w:val="both"/>
        <w:rPr>
          <w:rFonts w:ascii="Times New Roman" w:hAnsi="Times New Roman" w:cs="Times New Roman"/>
          <w:sz w:val="28"/>
          <w:szCs w:val="28"/>
        </w:rPr>
      </w:pPr>
      <w:r w:rsidRPr="00C86F79">
        <w:rPr>
          <w:rFonts w:ascii="Times New Roman" w:hAnsi="Times New Roman" w:cs="Times New Roman"/>
          <w:sz w:val="28"/>
          <w:szCs w:val="28"/>
        </w:rPr>
        <w:t>Jolley, J. R., &amp; Maimone, L. (2022). T</w:t>
      </w:r>
      <w:r w:rsidRPr="00C86F79">
        <w:rPr>
          <w:rFonts w:ascii="Times New Roman" w:hAnsi="Times New Roman" w:cs="Times New Roman"/>
          <w:i/>
          <w:iCs/>
          <w:sz w:val="28"/>
          <w:szCs w:val="28"/>
        </w:rPr>
        <w:t>hirty years of machine translation in language teaching and learning: A review of the literature. L2 Journal, 14(1), 26–44</w:t>
      </w:r>
      <w:r w:rsidRPr="00C86F79">
        <w:rPr>
          <w:rFonts w:ascii="Times New Roman" w:hAnsi="Times New Roman" w:cs="Times New Roman"/>
          <w:sz w:val="28"/>
          <w:szCs w:val="28"/>
        </w:rPr>
        <w:t xml:space="preserve">. </w:t>
      </w:r>
      <w:hyperlink r:id="rId7" w:history="1">
        <w:r w:rsidRPr="00A91C5A">
          <w:rPr>
            <w:rStyle w:val="Hyperlink"/>
            <w:rFonts w:ascii="Times New Roman" w:hAnsi="Times New Roman" w:cs="Times New Roman"/>
            <w:sz w:val="28"/>
            <w:szCs w:val="28"/>
          </w:rPr>
          <w:t>https://doi.org/10.5070/L214151760</w:t>
        </w:r>
      </w:hyperlink>
      <w:r>
        <w:rPr>
          <w:rFonts w:ascii="Times New Roman" w:hAnsi="Times New Roman" w:cs="Times New Roman"/>
          <w:sz w:val="28"/>
          <w:szCs w:val="28"/>
        </w:rPr>
        <w:t xml:space="preserve"> </w:t>
      </w:r>
    </w:p>
    <w:p w14:paraId="564D6AD2" w14:textId="362B189D" w:rsidR="00C86F79" w:rsidRPr="00C86F79" w:rsidRDefault="00C86F79" w:rsidP="00AF2F63">
      <w:pPr>
        <w:pStyle w:val="ListParagraph"/>
        <w:numPr>
          <w:ilvl w:val="0"/>
          <w:numId w:val="1"/>
        </w:numPr>
        <w:spacing w:line="240" w:lineRule="auto"/>
        <w:jc w:val="both"/>
        <w:rPr>
          <w:rFonts w:ascii="Times New Roman" w:hAnsi="Times New Roman" w:cs="Times New Roman"/>
          <w:sz w:val="28"/>
          <w:szCs w:val="28"/>
        </w:rPr>
      </w:pPr>
      <w:r w:rsidRPr="00C86F79">
        <w:rPr>
          <w:rFonts w:ascii="Times New Roman" w:hAnsi="Times New Roman" w:cs="Times New Roman"/>
          <w:sz w:val="28"/>
          <w:szCs w:val="28"/>
        </w:rPr>
        <w:t xml:space="preserve">Loock, R., </w:t>
      </w:r>
      <w:proofErr w:type="spellStart"/>
      <w:r w:rsidRPr="00C86F79">
        <w:rPr>
          <w:rFonts w:ascii="Times New Roman" w:hAnsi="Times New Roman" w:cs="Times New Roman"/>
          <w:sz w:val="28"/>
          <w:szCs w:val="28"/>
        </w:rPr>
        <w:t>Léchauguette</w:t>
      </w:r>
      <w:proofErr w:type="spellEnd"/>
      <w:r w:rsidRPr="00C86F79">
        <w:rPr>
          <w:rFonts w:ascii="Times New Roman" w:hAnsi="Times New Roman" w:cs="Times New Roman"/>
          <w:sz w:val="28"/>
          <w:szCs w:val="28"/>
        </w:rPr>
        <w:t xml:space="preserve">, S., &amp; Holt, B. (2022). </w:t>
      </w:r>
      <w:r w:rsidRPr="00C86F79">
        <w:rPr>
          <w:rFonts w:ascii="Times New Roman" w:hAnsi="Times New Roman" w:cs="Times New Roman"/>
          <w:i/>
          <w:iCs/>
          <w:sz w:val="28"/>
          <w:szCs w:val="28"/>
        </w:rPr>
        <w:t>Dealing with the “elephant in the classroom”: Developing language students’ machine translation literacy. Australian Journal of Applied Linguistics, 5(3), 118–134.</w:t>
      </w:r>
      <w:r w:rsidRPr="00C86F79">
        <w:rPr>
          <w:rFonts w:ascii="Times New Roman" w:hAnsi="Times New Roman" w:cs="Times New Roman"/>
          <w:sz w:val="28"/>
          <w:szCs w:val="28"/>
        </w:rPr>
        <w:t xml:space="preserve"> </w:t>
      </w:r>
      <w:hyperlink r:id="rId8" w:history="1">
        <w:r w:rsidRPr="00A91C5A">
          <w:rPr>
            <w:rStyle w:val="Hyperlink"/>
            <w:rFonts w:ascii="Times New Roman" w:hAnsi="Times New Roman" w:cs="Times New Roman"/>
            <w:sz w:val="28"/>
            <w:szCs w:val="28"/>
          </w:rPr>
          <w:t>https://doi.org/10.29140/ajal.v5n3.53si2</w:t>
        </w:r>
      </w:hyperlink>
      <w:r>
        <w:rPr>
          <w:rFonts w:ascii="Times New Roman" w:hAnsi="Times New Roman" w:cs="Times New Roman"/>
          <w:sz w:val="28"/>
          <w:szCs w:val="28"/>
        </w:rPr>
        <w:t xml:space="preserve"> </w:t>
      </w:r>
    </w:p>
    <w:p w14:paraId="0DF1ACB5" w14:textId="65D44AB9" w:rsidR="00C86F79" w:rsidRPr="00C86F79" w:rsidRDefault="00C86F79" w:rsidP="00AF2F63">
      <w:pPr>
        <w:pStyle w:val="ListParagraph"/>
        <w:numPr>
          <w:ilvl w:val="0"/>
          <w:numId w:val="1"/>
        </w:numPr>
        <w:spacing w:line="240" w:lineRule="auto"/>
        <w:jc w:val="both"/>
        <w:rPr>
          <w:rFonts w:ascii="Times New Roman" w:hAnsi="Times New Roman" w:cs="Times New Roman"/>
          <w:sz w:val="28"/>
          <w:szCs w:val="28"/>
        </w:rPr>
      </w:pPr>
      <w:r w:rsidRPr="00C86F79">
        <w:rPr>
          <w:rFonts w:ascii="Times New Roman" w:hAnsi="Times New Roman" w:cs="Times New Roman"/>
          <w:sz w:val="28"/>
          <w:szCs w:val="28"/>
        </w:rPr>
        <w:t xml:space="preserve">Lu, C., &amp; Gu, M. Y. M. (2024). </w:t>
      </w:r>
      <w:r w:rsidRPr="00C86F79">
        <w:rPr>
          <w:rFonts w:ascii="Times New Roman" w:hAnsi="Times New Roman" w:cs="Times New Roman"/>
          <w:i/>
          <w:iCs/>
          <w:sz w:val="28"/>
          <w:szCs w:val="28"/>
        </w:rPr>
        <w:t xml:space="preserve">Review of research on digital translanguaging among teachers and students: A visual analysis through </w:t>
      </w:r>
      <w:proofErr w:type="spellStart"/>
      <w:r w:rsidRPr="00C86F79">
        <w:rPr>
          <w:rFonts w:ascii="Times New Roman" w:hAnsi="Times New Roman" w:cs="Times New Roman"/>
          <w:i/>
          <w:iCs/>
          <w:sz w:val="28"/>
          <w:szCs w:val="28"/>
        </w:rPr>
        <w:t>CiteSpace</w:t>
      </w:r>
      <w:proofErr w:type="spellEnd"/>
      <w:r w:rsidRPr="00C86F79">
        <w:rPr>
          <w:rFonts w:ascii="Times New Roman" w:hAnsi="Times New Roman" w:cs="Times New Roman"/>
          <w:i/>
          <w:iCs/>
          <w:sz w:val="28"/>
          <w:szCs w:val="28"/>
        </w:rPr>
        <w:t>. System, 123, 103314.</w:t>
      </w:r>
      <w:r w:rsidRPr="00C86F79">
        <w:rPr>
          <w:rFonts w:ascii="Times New Roman" w:hAnsi="Times New Roman" w:cs="Times New Roman"/>
          <w:sz w:val="28"/>
          <w:szCs w:val="28"/>
        </w:rPr>
        <w:t xml:space="preserve"> </w:t>
      </w:r>
      <w:hyperlink r:id="rId9" w:history="1">
        <w:r w:rsidRPr="00A91C5A">
          <w:rPr>
            <w:rStyle w:val="Hyperlink"/>
            <w:rFonts w:ascii="Times New Roman" w:hAnsi="Times New Roman" w:cs="Times New Roman"/>
            <w:sz w:val="28"/>
            <w:szCs w:val="28"/>
          </w:rPr>
          <w:t>https://doi.org/10.1016/j.system.2024.103314</w:t>
        </w:r>
      </w:hyperlink>
      <w:r>
        <w:rPr>
          <w:rFonts w:ascii="Times New Roman" w:hAnsi="Times New Roman" w:cs="Times New Roman"/>
          <w:sz w:val="28"/>
          <w:szCs w:val="28"/>
        </w:rPr>
        <w:t xml:space="preserve"> </w:t>
      </w:r>
    </w:p>
    <w:p w14:paraId="15A3D036" w14:textId="624D331A" w:rsidR="00C86F79" w:rsidRPr="00C86F79" w:rsidRDefault="00C86F79" w:rsidP="00AF2F63">
      <w:pPr>
        <w:pStyle w:val="ListParagraph"/>
        <w:numPr>
          <w:ilvl w:val="0"/>
          <w:numId w:val="1"/>
        </w:numPr>
        <w:spacing w:line="240" w:lineRule="auto"/>
        <w:jc w:val="both"/>
        <w:rPr>
          <w:rFonts w:ascii="Times New Roman" w:hAnsi="Times New Roman" w:cs="Times New Roman"/>
          <w:sz w:val="28"/>
          <w:szCs w:val="28"/>
        </w:rPr>
      </w:pPr>
      <w:proofErr w:type="spellStart"/>
      <w:r w:rsidRPr="00C86F79">
        <w:rPr>
          <w:rFonts w:ascii="Times New Roman" w:hAnsi="Times New Roman" w:cs="Times New Roman"/>
          <w:sz w:val="28"/>
          <w:szCs w:val="28"/>
        </w:rPr>
        <w:t>Prilutskaya</w:t>
      </w:r>
      <w:proofErr w:type="spellEnd"/>
      <w:r w:rsidRPr="00C86F79">
        <w:rPr>
          <w:rFonts w:ascii="Times New Roman" w:hAnsi="Times New Roman" w:cs="Times New Roman"/>
          <w:sz w:val="28"/>
          <w:szCs w:val="28"/>
        </w:rPr>
        <w:t xml:space="preserve">, M. (2021). </w:t>
      </w:r>
      <w:r w:rsidRPr="00C86F79">
        <w:rPr>
          <w:rFonts w:ascii="Times New Roman" w:hAnsi="Times New Roman" w:cs="Times New Roman"/>
          <w:i/>
          <w:iCs/>
          <w:sz w:val="28"/>
          <w:szCs w:val="28"/>
        </w:rPr>
        <w:t>Examining pedagogical translanguaging: A systematic review of the literature. Languages, 6(4), 180.</w:t>
      </w:r>
      <w:r w:rsidRPr="00C86F79">
        <w:rPr>
          <w:rFonts w:ascii="Times New Roman" w:hAnsi="Times New Roman" w:cs="Times New Roman"/>
          <w:sz w:val="28"/>
          <w:szCs w:val="28"/>
        </w:rPr>
        <w:t xml:space="preserve"> </w:t>
      </w:r>
      <w:hyperlink r:id="rId10" w:history="1">
        <w:r w:rsidRPr="00A91C5A">
          <w:rPr>
            <w:rStyle w:val="Hyperlink"/>
            <w:rFonts w:ascii="Times New Roman" w:hAnsi="Times New Roman" w:cs="Times New Roman"/>
            <w:sz w:val="28"/>
            <w:szCs w:val="28"/>
          </w:rPr>
          <w:t>https://doi.org/10.3390/languages6040180</w:t>
        </w:r>
      </w:hyperlink>
      <w:r>
        <w:rPr>
          <w:rFonts w:ascii="Times New Roman" w:hAnsi="Times New Roman" w:cs="Times New Roman"/>
          <w:sz w:val="28"/>
          <w:szCs w:val="28"/>
        </w:rPr>
        <w:t xml:space="preserve"> </w:t>
      </w:r>
    </w:p>
    <w:p w14:paraId="2689B269" w14:textId="1FA150ED" w:rsidR="00C86F79" w:rsidRPr="00C86F79" w:rsidRDefault="00C86F79" w:rsidP="00AF2F63">
      <w:pPr>
        <w:pStyle w:val="ListParagraph"/>
        <w:numPr>
          <w:ilvl w:val="0"/>
          <w:numId w:val="1"/>
        </w:numPr>
        <w:spacing w:line="240" w:lineRule="auto"/>
        <w:jc w:val="both"/>
        <w:rPr>
          <w:rFonts w:ascii="Times New Roman" w:hAnsi="Times New Roman" w:cs="Times New Roman"/>
          <w:sz w:val="28"/>
          <w:szCs w:val="28"/>
        </w:rPr>
      </w:pPr>
      <w:r w:rsidRPr="00C86F79">
        <w:rPr>
          <w:rFonts w:ascii="Times New Roman" w:hAnsi="Times New Roman" w:cs="Times New Roman"/>
          <w:sz w:val="28"/>
          <w:szCs w:val="28"/>
        </w:rPr>
        <w:t xml:space="preserve">Sun, L. (2024). </w:t>
      </w:r>
      <w:r w:rsidRPr="00C86F79">
        <w:rPr>
          <w:rFonts w:ascii="Times New Roman" w:hAnsi="Times New Roman" w:cs="Times New Roman"/>
          <w:i/>
          <w:iCs/>
          <w:sz w:val="28"/>
          <w:szCs w:val="28"/>
        </w:rPr>
        <w:t xml:space="preserve">Translanguaging pedagogy on the digital stage: Exploring Chinese undergraduates’ English grammar learning through </w:t>
      </w:r>
      <w:proofErr w:type="spellStart"/>
      <w:r w:rsidRPr="00C86F79">
        <w:rPr>
          <w:rFonts w:ascii="Times New Roman" w:hAnsi="Times New Roman" w:cs="Times New Roman"/>
          <w:i/>
          <w:iCs/>
          <w:sz w:val="28"/>
          <w:szCs w:val="28"/>
        </w:rPr>
        <w:t>DingTalk</w:t>
      </w:r>
      <w:proofErr w:type="spellEnd"/>
      <w:r w:rsidRPr="00C86F79">
        <w:rPr>
          <w:rFonts w:ascii="Times New Roman" w:hAnsi="Times New Roman" w:cs="Times New Roman"/>
          <w:i/>
          <w:iCs/>
          <w:sz w:val="28"/>
          <w:szCs w:val="28"/>
        </w:rPr>
        <w:t xml:space="preserve"> platform. Humanities and Social Sciences Communications, 11, 1245.</w:t>
      </w:r>
      <w:r w:rsidRPr="00C86F79">
        <w:rPr>
          <w:rFonts w:ascii="Times New Roman" w:hAnsi="Times New Roman" w:cs="Times New Roman"/>
          <w:sz w:val="28"/>
          <w:szCs w:val="28"/>
        </w:rPr>
        <w:t xml:space="preserve"> </w:t>
      </w:r>
      <w:hyperlink r:id="rId11" w:history="1">
        <w:r w:rsidRPr="00A91C5A">
          <w:rPr>
            <w:rStyle w:val="Hyperlink"/>
            <w:rFonts w:ascii="Times New Roman" w:hAnsi="Times New Roman" w:cs="Times New Roman"/>
            <w:sz w:val="28"/>
            <w:szCs w:val="28"/>
          </w:rPr>
          <w:t>https://doi.org/10.1057/s41599-024-03771-2</w:t>
        </w:r>
      </w:hyperlink>
      <w:r>
        <w:rPr>
          <w:rFonts w:ascii="Times New Roman" w:hAnsi="Times New Roman" w:cs="Times New Roman"/>
          <w:sz w:val="28"/>
          <w:szCs w:val="28"/>
        </w:rPr>
        <w:t xml:space="preserve"> </w:t>
      </w:r>
    </w:p>
    <w:p w14:paraId="668DAE04" w14:textId="050D95B4" w:rsidR="00C86F79" w:rsidRPr="00C86F79" w:rsidRDefault="00C86F79" w:rsidP="00AF2F63">
      <w:pPr>
        <w:pStyle w:val="ListParagraph"/>
        <w:numPr>
          <w:ilvl w:val="0"/>
          <w:numId w:val="1"/>
        </w:numPr>
        <w:spacing w:line="240" w:lineRule="auto"/>
        <w:jc w:val="both"/>
        <w:rPr>
          <w:rFonts w:ascii="Times New Roman" w:hAnsi="Times New Roman" w:cs="Times New Roman"/>
          <w:sz w:val="28"/>
          <w:szCs w:val="28"/>
        </w:rPr>
      </w:pPr>
      <w:r w:rsidRPr="00C86F79">
        <w:rPr>
          <w:rFonts w:ascii="Times New Roman" w:hAnsi="Times New Roman" w:cs="Times New Roman"/>
          <w:sz w:val="28"/>
          <w:szCs w:val="28"/>
        </w:rPr>
        <w:t xml:space="preserve">Urlaub, P., &amp; </w:t>
      </w:r>
      <w:proofErr w:type="spellStart"/>
      <w:r w:rsidRPr="00C86F79">
        <w:rPr>
          <w:rFonts w:ascii="Times New Roman" w:hAnsi="Times New Roman" w:cs="Times New Roman"/>
          <w:sz w:val="28"/>
          <w:szCs w:val="28"/>
        </w:rPr>
        <w:t>Dessein</w:t>
      </w:r>
      <w:proofErr w:type="spellEnd"/>
      <w:r w:rsidRPr="00C86F79">
        <w:rPr>
          <w:rFonts w:ascii="Times New Roman" w:hAnsi="Times New Roman" w:cs="Times New Roman"/>
          <w:sz w:val="28"/>
          <w:szCs w:val="28"/>
        </w:rPr>
        <w:t xml:space="preserve">, E. (2022). </w:t>
      </w:r>
      <w:r w:rsidRPr="00C86F79">
        <w:rPr>
          <w:rFonts w:ascii="Times New Roman" w:hAnsi="Times New Roman" w:cs="Times New Roman"/>
          <w:i/>
          <w:iCs/>
          <w:sz w:val="28"/>
          <w:szCs w:val="28"/>
        </w:rPr>
        <w:t>Machine translation and foreign language education. Frontiers in Artificial Intelligence, 5, 936111</w:t>
      </w:r>
      <w:r w:rsidRPr="00C86F79">
        <w:rPr>
          <w:rFonts w:ascii="Times New Roman" w:hAnsi="Times New Roman" w:cs="Times New Roman"/>
          <w:sz w:val="28"/>
          <w:szCs w:val="28"/>
        </w:rPr>
        <w:t xml:space="preserve">. </w:t>
      </w:r>
      <w:hyperlink r:id="rId12" w:history="1">
        <w:r w:rsidRPr="00A91C5A">
          <w:rPr>
            <w:rStyle w:val="Hyperlink"/>
            <w:rFonts w:ascii="Times New Roman" w:hAnsi="Times New Roman" w:cs="Times New Roman"/>
            <w:sz w:val="28"/>
            <w:szCs w:val="28"/>
          </w:rPr>
          <w:t>https://doi.org/10.3389/frai.2022.936111</w:t>
        </w:r>
      </w:hyperlink>
      <w:r>
        <w:rPr>
          <w:rFonts w:ascii="Times New Roman" w:hAnsi="Times New Roman" w:cs="Times New Roman"/>
          <w:sz w:val="28"/>
          <w:szCs w:val="28"/>
        </w:rPr>
        <w:t xml:space="preserve"> </w:t>
      </w:r>
    </w:p>
    <w:p w14:paraId="241E0246" w14:textId="4B885B5E" w:rsidR="00C86F79" w:rsidRDefault="00C86F79" w:rsidP="00AF2F63">
      <w:pPr>
        <w:pStyle w:val="ListParagraph"/>
        <w:numPr>
          <w:ilvl w:val="0"/>
          <w:numId w:val="1"/>
        </w:numPr>
        <w:spacing w:line="240" w:lineRule="auto"/>
        <w:jc w:val="both"/>
        <w:rPr>
          <w:rFonts w:ascii="Times New Roman" w:hAnsi="Times New Roman" w:cs="Times New Roman"/>
          <w:sz w:val="28"/>
          <w:szCs w:val="28"/>
        </w:rPr>
      </w:pPr>
      <w:r w:rsidRPr="00C86F79">
        <w:rPr>
          <w:rFonts w:ascii="Times New Roman" w:hAnsi="Times New Roman" w:cs="Times New Roman"/>
          <w:sz w:val="28"/>
          <w:szCs w:val="28"/>
          <w:lang w:val="de-DE"/>
        </w:rPr>
        <w:t xml:space="preserve">Zhu, T., Zhang, Y., &amp; Irwin, D. (2024). </w:t>
      </w:r>
      <w:r w:rsidRPr="00C86F79">
        <w:rPr>
          <w:rFonts w:ascii="Times New Roman" w:hAnsi="Times New Roman" w:cs="Times New Roman"/>
          <w:i/>
          <w:iCs/>
          <w:sz w:val="28"/>
          <w:szCs w:val="28"/>
        </w:rPr>
        <w:t>Second and foreign language vocabulary learning through digital reading: A meta-analysis. Education and Information Technologies, 29, 4531–4563</w:t>
      </w:r>
      <w:r w:rsidRPr="00C86F79">
        <w:rPr>
          <w:rFonts w:ascii="Times New Roman" w:hAnsi="Times New Roman" w:cs="Times New Roman"/>
          <w:sz w:val="28"/>
          <w:szCs w:val="28"/>
        </w:rPr>
        <w:t xml:space="preserve">. </w:t>
      </w:r>
      <w:hyperlink r:id="rId13" w:history="1">
        <w:r w:rsidRPr="00A91C5A">
          <w:rPr>
            <w:rStyle w:val="Hyperlink"/>
            <w:rFonts w:ascii="Times New Roman" w:hAnsi="Times New Roman" w:cs="Times New Roman"/>
            <w:sz w:val="28"/>
            <w:szCs w:val="28"/>
          </w:rPr>
          <w:t>https://doi.org/10.1007/s10639-023-11969-1</w:t>
        </w:r>
      </w:hyperlink>
      <w:r>
        <w:rPr>
          <w:rFonts w:ascii="Times New Roman" w:hAnsi="Times New Roman" w:cs="Times New Roman"/>
          <w:sz w:val="28"/>
          <w:szCs w:val="28"/>
        </w:rPr>
        <w:t xml:space="preserve"> </w:t>
      </w:r>
    </w:p>
    <w:p w14:paraId="4925F9E4" w14:textId="2C163A7F" w:rsidR="00AF2F63" w:rsidRDefault="00AF2F63" w:rsidP="00AF2F63">
      <w:pPr>
        <w:spacing w:line="240" w:lineRule="auto"/>
        <w:jc w:val="both"/>
        <w:rPr>
          <w:rFonts w:ascii="Times New Roman" w:hAnsi="Times New Roman" w:cs="Times New Roman"/>
          <w:sz w:val="28"/>
          <w:szCs w:val="28"/>
        </w:rPr>
      </w:pPr>
    </w:p>
    <w:p w14:paraId="6985C78F" w14:textId="77777777" w:rsidR="00AF2F63" w:rsidRPr="00AF2F63" w:rsidRDefault="00AF2F63" w:rsidP="00AF2F63">
      <w:pPr>
        <w:spacing w:after="0" w:line="240" w:lineRule="auto"/>
        <w:jc w:val="both"/>
        <w:rPr>
          <w:rFonts w:ascii="Times New Roman" w:eastAsia="Times New Roman" w:hAnsi="Times New Roman" w:cs="Times New Roman"/>
          <w:i/>
          <w:iCs/>
          <w:sz w:val="24"/>
          <w:szCs w:val="24"/>
          <w:lang w:val="bg-BG" w:eastAsia="bg-BG"/>
          <w14:ligatures w14:val="none"/>
        </w:rPr>
      </w:pPr>
      <w:r w:rsidRPr="00AF2F63">
        <w:rPr>
          <w:rFonts w:ascii="Times New Roman" w:eastAsia="Times New Roman" w:hAnsi="Times New Roman" w:cs="Times New Roman"/>
          <w:i/>
          <w:iCs/>
          <w:sz w:val="24"/>
          <w:szCs w:val="24"/>
          <w:lang w:val="en-US" w:eastAsia="bg-BG"/>
          <w14:ligatures w14:val="none"/>
        </w:rPr>
        <w:t>Svetoslav</w:t>
      </w:r>
      <w:r w:rsidRPr="00AF2F63">
        <w:rPr>
          <w:rFonts w:ascii="Times New Roman" w:eastAsia="Times New Roman" w:hAnsi="Times New Roman" w:cs="Times New Roman"/>
          <w:i/>
          <w:iCs/>
          <w:sz w:val="24"/>
          <w:szCs w:val="24"/>
          <w:lang w:val="bg-BG" w:eastAsia="bg-BG"/>
          <w14:ligatures w14:val="none"/>
        </w:rPr>
        <w:t xml:space="preserve"> </w:t>
      </w:r>
      <w:r w:rsidRPr="00AF2F63">
        <w:rPr>
          <w:rFonts w:ascii="Times New Roman" w:eastAsia="Times New Roman" w:hAnsi="Times New Roman" w:cs="Times New Roman"/>
          <w:i/>
          <w:iCs/>
          <w:sz w:val="24"/>
          <w:szCs w:val="24"/>
          <w:lang w:val="en-US" w:eastAsia="bg-BG"/>
          <w14:ligatures w14:val="none"/>
        </w:rPr>
        <w:t>Danielov</w:t>
      </w:r>
      <w:r w:rsidRPr="00AF2F63">
        <w:rPr>
          <w:rFonts w:ascii="Times New Roman" w:eastAsia="Times New Roman" w:hAnsi="Times New Roman" w:cs="Times New Roman"/>
          <w:i/>
          <w:iCs/>
          <w:sz w:val="24"/>
          <w:szCs w:val="24"/>
          <w:lang w:val="bg-BG" w:eastAsia="bg-BG"/>
          <w14:ligatures w14:val="none"/>
        </w:rPr>
        <w:t xml:space="preserve"> </w:t>
      </w:r>
      <w:r w:rsidRPr="00AF2F63">
        <w:rPr>
          <w:rFonts w:ascii="Times New Roman" w:eastAsia="Times New Roman" w:hAnsi="Times New Roman" w:cs="Times New Roman"/>
          <w:i/>
          <w:iCs/>
          <w:sz w:val="24"/>
          <w:szCs w:val="24"/>
          <w:lang w:val="en-US" w:eastAsia="bg-BG"/>
          <w14:ligatures w14:val="none"/>
        </w:rPr>
        <w:t>Berchev, PhD</w:t>
      </w:r>
    </w:p>
    <w:p w14:paraId="4C45A6F2" w14:textId="77777777" w:rsidR="00AF2F63" w:rsidRPr="00AF2F63" w:rsidRDefault="00AF2F63" w:rsidP="00AF2F63">
      <w:pPr>
        <w:spacing w:after="0" w:line="240" w:lineRule="auto"/>
        <w:jc w:val="both"/>
        <w:rPr>
          <w:rFonts w:ascii="Times New Roman" w:eastAsia="Times New Roman" w:hAnsi="Times New Roman" w:cs="Times New Roman"/>
          <w:i/>
          <w:iCs/>
          <w:sz w:val="24"/>
          <w:szCs w:val="24"/>
          <w:lang w:val="bg-BG" w:eastAsia="bg-BG"/>
          <w14:ligatures w14:val="none"/>
        </w:rPr>
      </w:pPr>
      <w:r w:rsidRPr="00AF2F63">
        <w:rPr>
          <w:rFonts w:ascii="Times New Roman" w:eastAsia="Times New Roman" w:hAnsi="Times New Roman" w:cs="Times New Roman"/>
          <w:i/>
          <w:iCs/>
          <w:sz w:val="24"/>
          <w:szCs w:val="24"/>
          <w:lang w:val="bg-BG" w:eastAsia="bg-BG"/>
          <w14:ligatures w14:val="none"/>
        </w:rPr>
        <w:t>“</w:t>
      </w:r>
      <w:r w:rsidRPr="00AF2F63">
        <w:rPr>
          <w:rFonts w:ascii="Times New Roman" w:eastAsia="Times New Roman" w:hAnsi="Times New Roman" w:cs="Times New Roman"/>
          <w:i/>
          <w:iCs/>
          <w:sz w:val="24"/>
          <w:szCs w:val="24"/>
          <w:lang w:val="en-US" w:eastAsia="bg-BG"/>
          <w14:ligatures w14:val="none"/>
        </w:rPr>
        <w:t>Vasil</w:t>
      </w:r>
      <w:r w:rsidRPr="00AF2F63">
        <w:rPr>
          <w:rFonts w:ascii="Times New Roman" w:eastAsia="Times New Roman" w:hAnsi="Times New Roman" w:cs="Times New Roman"/>
          <w:i/>
          <w:iCs/>
          <w:sz w:val="24"/>
          <w:szCs w:val="24"/>
          <w:lang w:val="bg-BG" w:eastAsia="bg-BG"/>
          <w14:ligatures w14:val="none"/>
        </w:rPr>
        <w:t xml:space="preserve"> </w:t>
      </w:r>
      <w:proofErr w:type="spellStart"/>
      <w:r w:rsidRPr="00AF2F63">
        <w:rPr>
          <w:rFonts w:ascii="Times New Roman" w:eastAsia="Times New Roman" w:hAnsi="Times New Roman" w:cs="Times New Roman"/>
          <w:i/>
          <w:iCs/>
          <w:sz w:val="24"/>
          <w:szCs w:val="24"/>
          <w:lang w:val="en-US" w:eastAsia="bg-BG"/>
          <w14:ligatures w14:val="none"/>
        </w:rPr>
        <w:t>Levski</w:t>
      </w:r>
      <w:proofErr w:type="spellEnd"/>
      <w:r w:rsidRPr="00AF2F63">
        <w:rPr>
          <w:rFonts w:ascii="Times New Roman" w:eastAsia="Times New Roman" w:hAnsi="Times New Roman" w:cs="Times New Roman"/>
          <w:i/>
          <w:iCs/>
          <w:sz w:val="24"/>
          <w:szCs w:val="24"/>
          <w:lang w:val="bg-BG" w:eastAsia="bg-BG"/>
          <w14:ligatures w14:val="none"/>
        </w:rPr>
        <w:t>”</w:t>
      </w:r>
      <w:r w:rsidRPr="00AF2F63">
        <w:rPr>
          <w:rFonts w:ascii="Times New Roman" w:eastAsia="Times New Roman" w:hAnsi="Times New Roman" w:cs="Times New Roman"/>
          <w:i/>
          <w:iCs/>
          <w:sz w:val="24"/>
          <w:szCs w:val="24"/>
          <w:lang w:val="en-US" w:eastAsia="bg-BG"/>
          <w14:ligatures w14:val="none"/>
        </w:rPr>
        <w:t>National</w:t>
      </w:r>
      <w:r w:rsidRPr="00AF2F63">
        <w:rPr>
          <w:rFonts w:ascii="Times New Roman" w:eastAsia="Times New Roman" w:hAnsi="Times New Roman" w:cs="Times New Roman"/>
          <w:i/>
          <w:iCs/>
          <w:sz w:val="24"/>
          <w:szCs w:val="24"/>
          <w:lang w:val="bg-BG" w:eastAsia="bg-BG"/>
          <w14:ligatures w14:val="none"/>
        </w:rPr>
        <w:t xml:space="preserve"> </w:t>
      </w:r>
      <w:r w:rsidRPr="00AF2F63">
        <w:rPr>
          <w:rFonts w:ascii="Times New Roman" w:eastAsia="Times New Roman" w:hAnsi="Times New Roman" w:cs="Times New Roman"/>
          <w:i/>
          <w:iCs/>
          <w:sz w:val="24"/>
          <w:szCs w:val="24"/>
          <w:lang w:val="en-US" w:eastAsia="bg-BG"/>
          <w14:ligatures w14:val="none"/>
        </w:rPr>
        <w:t>Military</w:t>
      </w:r>
      <w:r w:rsidRPr="00AF2F63">
        <w:rPr>
          <w:rFonts w:ascii="Times New Roman" w:eastAsia="Times New Roman" w:hAnsi="Times New Roman" w:cs="Times New Roman"/>
          <w:i/>
          <w:iCs/>
          <w:sz w:val="24"/>
          <w:szCs w:val="24"/>
          <w:lang w:val="bg-BG" w:eastAsia="bg-BG"/>
          <w14:ligatures w14:val="none"/>
        </w:rPr>
        <w:t xml:space="preserve"> </w:t>
      </w:r>
      <w:r w:rsidRPr="00AF2F63">
        <w:rPr>
          <w:rFonts w:ascii="Times New Roman" w:eastAsia="Times New Roman" w:hAnsi="Times New Roman" w:cs="Times New Roman"/>
          <w:i/>
          <w:iCs/>
          <w:sz w:val="24"/>
          <w:szCs w:val="24"/>
          <w:lang w:val="en-US" w:eastAsia="bg-BG"/>
          <w14:ligatures w14:val="none"/>
        </w:rPr>
        <w:t>University</w:t>
      </w:r>
    </w:p>
    <w:p w14:paraId="272269BB" w14:textId="77777777" w:rsidR="00AF2F63" w:rsidRPr="00AF2F63" w:rsidRDefault="00AF2F63" w:rsidP="00AF2F63">
      <w:pPr>
        <w:spacing w:after="0" w:line="240" w:lineRule="auto"/>
        <w:jc w:val="both"/>
        <w:rPr>
          <w:rFonts w:ascii="Times New Roman" w:eastAsia="Times New Roman" w:hAnsi="Times New Roman" w:cs="Times New Roman"/>
          <w:i/>
          <w:iCs/>
          <w:sz w:val="24"/>
          <w:szCs w:val="24"/>
          <w:lang w:val="bg-BG" w:eastAsia="bg-BG"/>
          <w14:ligatures w14:val="none"/>
        </w:rPr>
      </w:pPr>
      <w:r w:rsidRPr="00AF2F63">
        <w:rPr>
          <w:rFonts w:ascii="Times New Roman" w:eastAsia="Times New Roman" w:hAnsi="Times New Roman" w:cs="Times New Roman"/>
          <w:i/>
          <w:iCs/>
          <w:sz w:val="24"/>
          <w:szCs w:val="24"/>
          <w:lang w:val="bg-BG" w:eastAsia="bg-BG"/>
          <w14:ligatures w14:val="none"/>
        </w:rPr>
        <w:t xml:space="preserve">+359889552666, </w:t>
      </w:r>
      <w:proofErr w:type="spellStart"/>
      <w:r w:rsidRPr="00AF2F63">
        <w:rPr>
          <w:rFonts w:ascii="Times New Roman" w:eastAsia="Times New Roman" w:hAnsi="Times New Roman" w:cs="Times New Roman"/>
          <w:i/>
          <w:iCs/>
          <w:sz w:val="24"/>
          <w:szCs w:val="24"/>
          <w:lang w:val="en-US" w:eastAsia="bg-BG"/>
          <w14:ligatures w14:val="none"/>
        </w:rPr>
        <w:t>svetoslavberchev</w:t>
      </w:r>
      <w:proofErr w:type="spellEnd"/>
      <w:r w:rsidRPr="00AF2F63">
        <w:rPr>
          <w:rFonts w:ascii="Times New Roman" w:eastAsia="Times New Roman" w:hAnsi="Times New Roman" w:cs="Times New Roman"/>
          <w:i/>
          <w:iCs/>
          <w:sz w:val="24"/>
          <w:szCs w:val="24"/>
          <w:lang w:val="bg-BG" w:eastAsia="bg-BG"/>
          <w14:ligatures w14:val="none"/>
        </w:rPr>
        <w:t>@</w:t>
      </w:r>
      <w:r w:rsidRPr="00AF2F63">
        <w:rPr>
          <w:rFonts w:ascii="Times New Roman" w:eastAsia="Times New Roman" w:hAnsi="Times New Roman" w:cs="Times New Roman"/>
          <w:i/>
          <w:iCs/>
          <w:sz w:val="24"/>
          <w:szCs w:val="24"/>
          <w:lang w:val="en-US" w:eastAsia="bg-BG"/>
          <w14:ligatures w14:val="none"/>
        </w:rPr>
        <w:t>yahoo</w:t>
      </w:r>
      <w:r w:rsidRPr="00AF2F63">
        <w:rPr>
          <w:rFonts w:ascii="Times New Roman" w:eastAsia="Times New Roman" w:hAnsi="Times New Roman" w:cs="Times New Roman"/>
          <w:i/>
          <w:iCs/>
          <w:sz w:val="24"/>
          <w:szCs w:val="24"/>
          <w:lang w:val="bg-BG" w:eastAsia="bg-BG"/>
          <w14:ligatures w14:val="none"/>
        </w:rPr>
        <w:t>.</w:t>
      </w:r>
      <w:r w:rsidRPr="00AF2F63">
        <w:rPr>
          <w:rFonts w:ascii="Times New Roman" w:eastAsia="Times New Roman" w:hAnsi="Times New Roman" w:cs="Times New Roman"/>
          <w:i/>
          <w:iCs/>
          <w:sz w:val="24"/>
          <w:szCs w:val="24"/>
          <w:lang w:val="en-US" w:eastAsia="bg-BG"/>
          <w14:ligatures w14:val="none"/>
        </w:rPr>
        <w:t>com</w:t>
      </w:r>
    </w:p>
    <w:p w14:paraId="6BCEF27A" w14:textId="77777777" w:rsidR="00AF2F63" w:rsidRPr="00AF2F63" w:rsidRDefault="00AF2F63" w:rsidP="00AF2F63">
      <w:pPr>
        <w:spacing w:line="240" w:lineRule="auto"/>
        <w:jc w:val="both"/>
        <w:rPr>
          <w:rFonts w:ascii="Times New Roman" w:hAnsi="Times New Roman" w:cs="Times New Roman"/>
          <w:sz w:val="28"/>
          <w:szCs w:val="28"/>
        </w:rPr>
      </w:pPr>
    </w:p>
    <w:sectPr w:rsidR="00AF2F63" w:rsidRPr="00AF2F63" w:rsidSect="004C3D64">
      <w:pgSz w:w="11906" w:h="16838" w:code="9"/>
      <w:pgMar w:top="1134" w:right="1134" w:bottom="851"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E092908"/>
    <w:multiLevelType w:val="hybridMultilevel"/>
    <w:tmpl w:val="92403A32"/>
    <w:lvl w:ilvl="0" w:tplc="0809000F">
      <w:start w:val="1"/>
      <w:numFmt w:val="decimal"/>
      <w:lvlText w:val="%1."/>
      <w:lvlJc w:val="left"/>
      <w:pPr>
        <w:ind w:left="643" w:hanging="360"/>
      </w:pPr>
    </w:lvl>
    <w:lvl w:ilvl="1" w:tplc="08090019" w:tentative="1">
      <w:start w:val="1"/>
      <w:numFmt w:val="lowerLetter"/>
      <w:lvlText w:val="%2."/>
      <w:lvlJc w:val="left"/>
      <w:pPr>
        <w:ind w:left="1363" w:hanging="360"/>
      </w:pPr>
    </w:lvl>
    <w:lvl w:ilvl="2" w:tplc="0809001B" w:tentative="1">
      <w:start w:val="1"/>
      <w:numFmt w:val="lowerRoman"/>
      <w:lvlText w:val="%3."/>
      <w:lvlJc w:val="right"/>
      <w:pPr>
        <w:ind w:left="2083" w:hanging="180"/>
      </w:pPr>
    </w:lvl>
    <w:lvl w:ilvl="3" w:tplc="0809000F" w:tentative="1">
      <w:start w:val="1"/>
      <w:numFmt w:val="decimal"/>
      <w:lvlText w:val="%4."/>
      <w:lvlJc w:val="left"/>
      <w:pPr>
        <w:ind w:left="2803" w:hanging="360"/>
      </w:pPr>
    </w:lvl>
    <w:lvl w:ilvl="4" w:tplc="08090019" w:tentative="1">
      <w:start w:val="1"/>
      <w:numFmt w:val="lowerLetter"/>
      <w:lvlText w:val="%5."/>
      <w:lvlJc w:val="left"/>
      <w:pPr>
        <w:ind w:left="3523" w:hanging="360"/>
      </w:pPr>
    </w:lvl>
    <w:lvl w:ilvl="5" w:tplc="0809001B" w:tentative="1">
      <w:start w:val="1"/>
      <w:numFmt w:val="lowerRoman"/>
      <w:lvlText w:val="%6."/>
      <w:lvlJc w:val="right"/>
      <w:pPr>
        <w:ind w:left="4243" w:hanging="180"/>
      </w:pPr>
    </w:lvl>
    <w:lvl w:ilvl="6" w:tplc="0809000F" w:tentative="1">
      <w:start w:val="1"/>
      <w:numFmt w:val="decimal"/>
      <w:lvlText w:val="%7."/>
      <w:lvlJc w:val="left"/>
      <w:pPr>
        <w:ind w:left="4963" w:hanging="360"/>
      </w:pPr>
    </w:lvl>
    <w:lvl w:ilvl="7" w:tplc="08090019" w:tentative="1">
      <w:start w:val="1"/>
      <w:numFmt w:val="lowerLetter"/>
      <w:lvlText w:val="%8."/>
      <w:lvlJc w:val="left"/>
      <w:pPr>
        <w:ind w:left="5683" w:hanging="360"/>
      </w:pPr>
    </w:lvl>
    <w:lvl w:ilvl="8" w:tplc="0809001B" w:tentative="1">
      <w:start w:val="1"/>
      <w:numFmt w:val="lowerRoman"/>
      <w:lvlText w:val="%9."/>
      <w:lvlJc w:val="right"/>
      <w:pPr>
        <w:ind w:left="6403"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66075"/>
    <w:rsid w:val="000844B6"/>
    <w:rsid w:val="000E2A77"/>
    <w:rsid w:val="001B33C7"/>
    <w:rsid w:val="001B5DE6"/>
    <w:rsid w:val="001D365B"/>
    <w:rsid w:val="00207A56"/>
    <w:rsid w:val="00215EBF"/>
    <w:rsid w:val="003659FE"/>
    <w:rsid w:val="0039319F"/>
    <w:rsid w:val="00442123"/>
    <w:rsid w:val="004500C3"/>
    <w:rsid w:val="004B2F21"/>
    <w:rsid w:val="004C3D64"/>
    <w:rsid w:val="008A582E"/>
    <w:rsid w:val="008C5109"/>
    <w:rsid w:val="00AF2F63"/>
    <w:rsid w:val="00C86F79"/>
    <w:rsid w:val="00CA4EED"/>
    <w:rsid w:val="00D569FC"/>
    <w:rsid w:val="00E44C38"/>
    <w:rsid w:val="00F66075"/>
    <w:rsid w:val="00F74506"/>
  </w:rsids>
  <m:mathPr>
    <m:mathFont m:val="Cambria Math"/>
    <m:brkBin m:val="before"/>
    <m:brkBinSub m:val="--"/>
    <m:smallFrac m:val="0"/>
    <m:dispDef/>
    <m:lMargin m:val="0"/>
    <m:rMargin m:val="0"/>
    <m:defJc m:val="centerGroup"/>
    <m:wrapIndent m:val="1440"/>
    <m:intLim m:val="subSup"/>
    <m:naryLim m:val="undOvr"/>
  </m:mathPr>
  <w:themeFontLang w:val="bg-BG"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B5E24A"/>
  <w15:chartTrackingRefBased/>
  <w15:docId w15:val="{1B58A493-6761-45AB-98C7-42BFF95158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66075"/>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F66075"/>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F66075"/>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F66075"/>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F66075"/>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F6607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6607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6607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6607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66075"/>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F66075"/>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F66075"/>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F66075"/>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F66075"/>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F6607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6607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6607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66075"/>
    <w:rPr>
      <w:rFonts w:eastAsiaTheme="majorEastAsia" w:cstheme="majorBidi"/>
      <w:color w:val="272727" w:themeColor="text1" w:themeTint="D8"/>
    </w:rPr>
  </w:style>
  <w:style w:type="paragraph" w:styleId="Title">
    <w:name w:val="Title"/>
    <w:basedOn w:val="Normal"/>
    <w:next w:val="Normal"/>
    <w:link w:val="TitleChar"/>
    <w:uiPriority w:val="10"/>
    <w:qFormat/>
    <w:rsid w:val="00F6607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6607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6607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6607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66075"/>
    <w:pPr>
      <w:spacing w:before="160"/>
      <w:jc w:val="center"/>
    </w:pPr>
    <w:rPr>
      <w:i/>
      <w:iCs/>
      <w:color w:val="404040" w:themeColor="text1" w:themeTint="BF"/>
    </w:rPr>
  </w:style>
  <w:style w:type="character" w:customStyle="1" w:styleId="QuoteChar">
    <w:name w:val="Quote Char"/>
    <w:basedOn w:val="DefaultParagraphFont"/>
    <w:link w:val="Quote"/>
    <w:uiPriority w:val="29"/>
    <w:rsid w:val="00F66075"/>
    <w:rPr>
      <w:i/>
      <w:iCs/>
      <w:color w:val="404040" w:themeColor="text1" w:themeTint="BF"/>
    </w:rPr>
  </w:style>
  <w:style w:type="paragraph" w:styleId="ListParagraph">
    <w:name w:val="List Paragraph"/>
    <w:basedOn w:val="Normal"/>
    <w:uiPriority w:val="34"/>
    <w:qFormat/>
    <w:rsid w:val="00F66075"/>
    <w:pPr>
      <w:ind w:left="720"/>
      <w:contextualSpacing/>
    </w:pPr>
  </w:style>
  <w:style w:type="character" w:styleId="IntenseEmphasis">
    <w:name w:val="Intense Emphasis"/>
    <w:basedOn w:val="DefaultParagraphFont"/>
    <w:uiPriority w:val="21"/>
    <w:qFormat/>
    <w:rsid w:val="00F66075"/>
    <w:rPr>
      <w:i/>
      <w:iCs/>
      <w:color w:val="2F5496" w:themeColor="accent1" w:themeShade="BF"/>
    </w:rPr>
  </w:style>
  <w:style w:type="paragraph" w:styleId="IntenseQuote">
    <w:name w:val="Intense Quote"/>
    <w:basedOn w:val="Normal"/>
    <w:next w:val="Normal"/>
    <w:link w:val="IntenseQuoteChar"/>
    <w:uiPriority w:val="30"/>
    <w:qFormat/>
    <w:rsid w:val="00F66075"/>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F66075"/>
    <w:rPr>
      <w:i/>
      <w:iCs/>
      <w:color w:val="2F5496" w:themeColor="accent1" w:themeShade="BF"/>
    </w:rPr>
  </w:style>
  <w:style w:type="character" w:styleId="IntenseReference">
    <w:name w:val="Intense Reference"/>
    <w:basedOn w:val="DefaultParagraphFont"/>
    <w:uiPriority w:val="32"/>
    <w:qFormat/>
    <w:rsid w:val="00F66075"/>
    <w:rPr>
      <w:b/>
      <w:bCs/>
      <w:smallCaps/>
      <w:color w:val="2F5496" w:themeColor="accent1" w:themeShade="BF"/>
      <w:spacing w:val="5"/>
    </w:rPr>
  </w:style>
  <w:style w:type="character" w:styleId="Hyperlink">
    <w:name w:val="Hyperlink"/>
    <w:basedOn w:val="DefaultParagraphFont"/>
    <w:uiPriority w:val="99"/>
    <w:unhideWhenUsed/>
    <w:rsid w:val="00C86F79"/>
    <w:rPr>
      <w:color w:val="0563C1" w:themeColor="hyperlink"/>
      <w:u w:val="single"/>
    </w:rPr>
  </w:style>
  <w:style w:type="character" w:styleId="UnresolvedMention">
    <w:name w:val="Unresolved Mention"/>
    <w:basedOn w:val="DefaultParagraphFont"/>
    <w:uiPriority w:val="99"/>
    <w:semiHidden/>
    <w:unhideWhenUsed/>
    <w:rsid w:val="00C86F7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11800257">
      <w:bodyDiv w:val="1"/>
      <w:marLeft w:val="0"/>
      <w:marRight w:val="0"/>
      <w:marTop w:val="0"/>
      <w:marBottom w:val="0"/>
      <w:divBdr>
        <w:top w:val="none" w:sz="0" w:space="0" w:color="auto"/>
        <w:left w:val="none" w:sz="0" w:space="0" w:color="auto"/>
        <w:bottom w:val="none" w:sz="0" w:space="0" w:color="auto"/>
        <w:right w:val="none" w:sz="0" w:space="0" w:color="auto"/>
      </w:divBdr>
    </w:div>
    <w:div w:id="688020527">
      <w:bodyDiv w:val="1"/>
      <w:marLeft w:val="0"/>
      <w:marRight w:val="0"/>
      <w:marTop w:val="0"/>
      <w:marBottom w:val="0"/>
      <w:divBdr>
        <w:top w:val="none" w:sz="0" w:space="0" w:color="auto"/>
        <w:left w:val="none" w:sz="0" w:space="0" w:color="auto"/>
        <w:bottom w:val="none" w:sz="0" w:space="0" w:color="auto"/>
        <w:right w:val="none" w:sz="0" w:space="0" w:color="auto"/>
      </w:divBdr>
    </w:div>
    <w:div w:id="13940827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29140/ajal.v5n3.53si2" TargetMode="External"/><Relationship Id="rId13" Type="http://schemas.openxmlformats.org/officeDocument/2006/relationships/hyperlink" Target="https://doi.org/10.1007/s10639-023-11969-1" TargetMode="External"/><Relationship Id="rId3" Type="http://schemas.openxmlformats.org/officeDocument/2006/relationships/settings" Target="settings.xml"/><Relationship Id="rId7" Type="http://schemas.openxmlformats.org/officeDocument/2006/relationships/hyperlink" Target="https://doi.org/10.5070/L214151760" TargetMode="External"/><Relationship Id="rId12" Type="http://schemas.openxmlformats.org/officeDocument/2006/relationships/hyperlink" Target="https://doi.org/10.3389/frai.2022.936111"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doi.org/10.1016/j.system.2020.102269" TargetMode="External"/><Relationship Id="rId11" Type="http://schemas.openxmlformats.org/officeDocument/2006/relationships/hyperlink" Target="https://doi.org/10.1057/s41599-024-03771-2" TargetMode="External"/><Relationship Id="rId5" Type="http://schemas.openxmlformats.org/officeDocument/2006/relationships/hyperlink" Target="https://doi.org/10.1017/S0261444821000173" TargetMode="External"/><Relationship Id="rId15" Type="http://schemas.openxmlformats.org/officeDocument/2006/relationships/theme" Target="theme/theme1.xml"/><Relationship Id="rId10" Type="http://schemas.openxmlformats.org/officeDocument/2006/relationships/hyperlink" Target="https://doi.org/10.3390/languages6040180" TargetMode="External"/><Relationship Id="rId4" Type="http://schemas.openxmlformats.org/officeDocument/2006/relationships/webSettings" Target="webSettings.xml"/><Relationship Id="rId9" Type="http://schemas.openxmlformats.org/officeDocument/2006/relationships/hyperlink" Target="https://doi.org/10.1016/j.system.2024.103314" TargetMode="External"/><Relationship Id="rId14" Type="http://schemas.openxmlformats.org/officeDocument/2006/relationships/fontTable" Target="fontTable.xml"/></Relationships>
</file>

<file path=word/theme/theme1.xml><?xml version="1.0" encoding="utf-8"?>
<a:theme xmlns:a="http://schemas.openxmlformats.org/drawingml/2006/main" name="Тема на Office">
  <a:themeElements>
    <a:clrScheme name="О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9</Pages>
  <Words>4065</Words>
  <Characters>23172</Characters>
  <Application>Microsoft Office Word</Application>
  <DocSecurity>0</DocSecurity>
  <Lines>193</Lines>
  <Paragraphs>54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27183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Svetoslav Berchev</dc:creator>
  <cp:keywords/>
  <dc:description/>
  <cp:lastModifiedBy>Svetoslav</cp:lastModifiedBy>
  <cp:revision>2</cp:revision>
  <dcterms:created xsi:type="dcterms:W3CDTF">2026-09-10T12:48:00Z</dcterms:created>
  <dcterms:modified xsi:type="dcterms:W3CDTF">2026-09-10T12:48:00Z</dcterms:modified>
</cp:coreProperties>
</file>