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A21A5" w14:textId="76C13B1E" w:rsidR="00734973" w:rsidRPr="00AE36CA" w:rsidRDefault="00113BF4" w:rsidP="002955C0">
      <w:pPr>
        <w:jc w:val="center"/>
        <w:rPr>
          <w:b/>
          <w:bCs/>
          <w:sz w:val="32"/>
          <w:szCs w:val="32"/>
          <w:lang w:val="en-US"/>
        </w:rPr>
      </w:pPr>
      <w:r w:rsidRPr="00AE36CA">
        <w:rPr>
          <w:b/>
          <w:bCs/>
          <w:sz w:val="32"/>
          <w:szCs w:val="32"/>
          <w:lang w:val="en-US"/>
        </w:rPr>
        <w:t>Assessing Digital Tasks in Foreign-Language Education</w:t>
      </w:r>
    </w:p>
    <w:p w14:paraId="71D48C7C" w14:textId="77777777" w:rsidR="00113BF4" w:rsidRPr="00AE36CA" w:rsidRDefault="00113BF4" w:rsidP="002955C0">
      <w:pPr>
        <w:jc w:val="center"/>
        <w:rPr>
          <w:szCs w:val="28"/>
          <w:lang w:val="en-US"/>
        </w:rPr>
      </w:pPr>
    </w:p>
    <w:p w14:paraId="00854E1D" w14:textId="42DFF227" w:rsidR="00050527" w:rsidRPr="00050527" w:rsidRDefault="00A85F59" w:rsidP="002955C0">
      <w:pPr>
        <w:jc w:val="center"/>
        <w:rPr>
          <w:b/>
          <w:bCs/>
          <w:sz w:val="32"/>
          <w:szCs w:val="32"/>
          <w:lang w:val="en-US"/>
        </w:rPr>
      </w:pPr>
      <w:r w:rsidRPr="00AE36CA">
        <w:rPr>
          <w:b/>
          <w:bCs/>
          <w:sz w:val="32"/>
          <w:szCs w:val="32"/>
          <w:lang w:val="en-US"/>
        </w:rPr>
        <w:t>Svetoslav Berchev</w:t>
      </w:r>
      <w:r w:rsidR="00050527" w:rsidRPr="00050527">
        <w:t xml:space="preserve"> </w:t>
      </w:r>
    </w:p>
    <w:p w14:paraId="7A52EC45" w14:textId="24599C3C" w:rsidR="00050527" w:rsidRPr="00050527" w:rsidRDefault="00050527" w:rsidP="002955C0">
      <w:pPr>
        <w:jc w:val="center"/>
        <w:rPr>
          <w:b/>
          <w:bCs/>
          <w:sz w:val="32"/>
          <w:szCs w:val="32"/>
          <w:lang w:val="en-US"/>
        </w:rPr>
      </w:pPr>
      <w:r w:rsidRPr="00050527">
        <w:rPr>
          <w:b/>
          <w:bCs/>
          <w:sz w:val="32"/>
          <w:szCs w:val="32"/>
          <w:lang w:val="en-US"/>
        </w:rPr>
        <w:t xml:space="preserve">“Vasil </w:t>
      </w:r>
      <w:proofErr w:type="spellStart"/>
      <w:r w:rsidRPr="00050527">
        <w:rPr>
          <w:b/>
          <w:bCs/>
          <w:sz w:val="32"/>
          <w:szCs w:val="32"/>
          <w:lang w:val="en-US"/>
        </w:rPr>
        <w:t>Levski</w:t>
      </w:r>
      <w:proofErr w:type="spellEnd"/>
      <w:r w:rsidRPr="00050527">
        <w:rPr>
          <w:b/>
          <w:bCs/>
          <w:sz w:val="32"/>
          <w:szCs w:val="32"/>
          <w:lang w:val="en-US"/>
        </w:rPr>
        <w:t>” National Military University</w:t>
      </w:r>
    </w:p>
    <w:p w14:paraId="2119962D" w14:textId="5A3F1421" w:rsidR="00734973" w:rsidRPr="00AE36CA" w:rsidRDefault="00050527" w:rsidP="002955C0">
      <w:pPr>
        <w:jc w:val="center"/>
        <w:rPr>
          <w:b/>
          <w:bCs/>
          <w:sz w:val="32"/>
          <w:szCs w:val="32"/>
          <w:lang w:val="en-US"/>
        </w:rPr>
      </w:pPr>
      <w:r w:rsidRPr="00050527">
        <w:rPr>
          <w:b/>
          <w:bCs/>
          <w:sz w:val="32"/>
          <w:szCs w:val="32"/>
          <w:lang w:val="en-US"/>
        </w:rPr>
        <w:t>ORCID ID: 0009-0008-0203-3136</w:t>
      </w:r>
    </w:p>
    <w:p w14:paraId="2F943BD0" w14:textId="77777777" w:rsidR="00734973" w:rsidRPr="00AE36CA" w:rsidRDefault="00734973" w:rsidP="002955C0">
      <w:pPr>
        <w:ind w:firstLine="567"/>
        <w:jc w:val="both"/>
        <w:rPr>
          <w:b/>
          <w:bCs/>
          <w:i/>
          <w:iCs/>
          <w:sz w:val="24"/>
          <w:lang w:val="en-US"/>
        </w:rPr>
      </w:pPr>
    </w:p>
    <w:p w14:paraId="039ABCAE" w14:textId="77777777" w:rsidR="009844F6" w:rsidRPr="00AE36CA" w:rsidRDefault="009844F6" w:rsidP="002955C0">
      <w:pPr>
        <w:ind w:firstLine="567"/>
        <w:jc w:val="both"/>
        <w:rPr>
          <w:b/>
          <w:bCs/>
          <w:i/>
          <w:iCs/>
          <w:sz w:val="24"/>
          <w:lang w:val="en-US"/>
        </w:rPr>
      </w:pPr>
    </w:p>
    <w:p w14:paraId="0156768F" w14:textId="79887919" w:rsidR="00734973" w:rsidRPr="00AE36CA" w:rsidRDefault="00734973" w:rsidP="002955C0">
      <w:pPr>
        <w:ind w:firstLine="567"/>
        <w:jc w:val="both"/>
        <w:rPr>
          <w:i/>
          <w:iCs/>
          <w:sz w:val="24"/>
          <w:lang w:val="en-US"/>
        </w:rPr>
      </w:pPr>
      <w:r w:rsidRPr="00AE36CA">
        <w:rPr>
          <w:b/>
          <w:bCs/>
          <w:i/>
          <w:iCs/>
          <w:sz w:val="24"/>
          <w:lang w:val="en-US"/>
        </w:rPr>
        <w:t>Abstract:</w:t>
      </w:r>
      <w:r w:rsidRPr="00AE36CA">
        <w:rPr>
          <w:i/>
          <w:iCs/>
          <w:sz w:val="24"/>
          <w:lang w:val="en-US"/>
        </w:rPr>
        <w:t xml:space="preserve"> </w:t>
      </w:r>
      <w:r w:rsidR="00702608" w:rsidRPr="00AE36CA">
        <w:rPr>
          <w:i/>
          <w:iCs/>
          <w:sz w:val="24"/>
          <w:lang w:val="en-US"/>
        </w:rPr>
        <w:t>The paper examines the pedagogical challenges of assessing digital tasks in foreign-language education. It focuses on the balance between language performance, task achievement, communicative effectiveness, and the functional use of technology. Based on recent literature, it proposes key assessment dimensions and argues that digital elements should be evaluated only when they directly support the learning objectives.</w:t>
      </w:r>
    </w:p>
    <w:p w14:paraId="6D0F08B7" w14:textId="77777777" w:rsidR="00734973" w:rsidRPr="00AE36CA" w:rsidRDefault="00734973" w:rsidP="002955C0">
      <w:pPr>
        <w:ind w:firstLine="567"/>
        <w:jc w:val="both"/>
        <w:rPr>
          <w:szCs w:val="28"/>
          <w:lang w:val="en-US"/>
        </w:rPr>
      </w:pPr>
    </w:p>
    <w:p w14:paraId="74CE3A3B" w14:textId="334C8144" w:rsidR="00734973" w:rsidRPr="00AE36CA" w:rsidRDefault="00734973" w:rsidP="002955C0">
      <w:pPr>
        <w:ind w:firstLine="567"/>
        <w:jc w:val="both"/>
        <w:rPr>
          <w:i/>
          <w:iCs/>
          <w:sz w:val="24"/>
          <w:lang w:val="en-US"/>
        </w:rPr>
      </w:pPr>
      <w:r w:rsidRPr="00AE36CA">
        <w:rPr>
          <w:b/>
          <w:bCs/>
          <w:i/>
          <w:iCs/>
          <w:sz w:val="24"/>
          <w:lang w:val="en-US"/>
        </w:rPr>
        <w:t>Keywords:</w:t>
      </w:r>
      <w:r w:rsidRPr="00AE36CA">
        <w:rPr>
          <w:i/>
          <w:iCs/>
          <w:sz w:val="24"/>
          <w:lang w:val="en-US"/>
        </w:rPr>
        <w:t xml:space="preserve"> </w:t>
      </w:r>
      <w:r w:rsidR="00F3709C" w:rsidRPr="00AE36CA">
        <w:rPr>
          <w:i/>
          <w:iCs/>
          <w:sz w:val="24"/>
          <w:lang w:val="en-US"/>
        </w:rPr>
        <w:t>digital tasks, foreign-language education, assessment, higher education, language competence, digital technologies, assessment criteria</w:t>
      </w:r>
    </w:p>
    <w:p w14:paraId="522490A7" w14:textId="59FFBED0" w:rsidR="00CA4EED" w:rsidRPr="00AE36CA" w:rsidRDefault="00CA4EED" w:rsidP="002955C0">
      <w:pPr>
        <w:rPr>
          <w:lang w:val="en-US"/>
        </w:rPr>
      </w:pPr>
    </w:p>
    <w:p w14:paraId="434818AA" w14:textId="3FE70933" w:rsidR="009844F6" w:rsidRPr="00AE36CA" w:rsidRDefault="009844F6" w:rsidP="002955C0">
      <w:pPr>
        <w:rPr>
          <w:lang w:val="en-US"/>
        </w:rPr>
      </w:pPr>
    </w:p>
    <w:p w14:paraId="1E3F78FB" w14:textId="45F49A3A" w:rsidR="009844F6" w:rsidRPr="00AE36CA" w:rsidRDefault="009844F6" w:rsidP="002955C0">
      <w:pPr>
        <w:ind w:firstLine="567"/>
        <w:jc w:val="both"/>
        <w:rPr>
          <w:szCs w:val="28"/>
          <w:lang w:val="en-US"/>
        </w:rPr>
      </w:pPr>
      <w:r w:rsidRPr="00AE36CA">
        <w:rPr>
          <w:szCs w:val="28"/>
          <w:lang w:val="en-US"/>
        </w:rPr>
        <w:t>The integration of digital technologies into foreign-language education has expanded both the range of learning activities available to learners and the ways in which language competence can be demonstrated. Digital environments now support activities that extend beyond the electronic reproduction of conventional exercises and include collaborative writing, multimedia presentations, audio and video assignments, digital posters, online discussions, interactive projects, and other forms of technology-mediated language use. Such activities can combine linguistic production with interaction, content creation, collaboration, and the purposeful use of different modes of communication. In this respect, digital tasks increasingly reflect the communicative conditions in which language is used outside the classroom, where written, spoken, visual, and digitally mediated forms of communication often occur simultaneously.</w:t>
      </w:r>
    </w:p>
    <w:p w14:paraId="17B4AD54" w14:textId="3755A6A2" w:rsidR="009844F6" w:rsidRPr="00AE36CA" w:rsidRDefault="009844F6" w:rsidP="002955C0">
      <w:pPr>
        <w:ind w:firstLine="567"/>
        <w:jc w:val="both"/>
        <w:rPr>
          <w:szCs w:val="28"/>
          <w:lang w:val="en-US"/>
        </w:rPr>
      </w:pPr>
      <w:r w:rsidRPr="00AE36CA">
        <w:rPr>
          <w:szCs w:val="28"/>
          <w:lang w:val="en-US"/>
        </w:rPr>
        <w:t xml:space="preserve">This development is consistent with the broader understanding of language use presented in the Common European Framework of Reference for Languages: Companion Volume (Council of Europe, 2020), which expands the description of communicative activity through concepts such as online interaction, mediation, and the learner’s role as a social agent. Digital environments therefore provide opportunities for foreign-language learning that cannot always be adequately represented through traditional written or oral assignments alone. At the same time, the growing complexity of these tasks raises a corresponding question concerning their pedagogically valid assessment. When a learning product combines language, content, visual </w:t>
      </w:r>
      <w:r w:rsidR="00050527" w:rsidRPr="00AE36CA">
        <w:rPr>
          <w:szCs w:val="28"/>
          <w:lang w:val="en-US"/>
        </w:rPr>
        <w:t>organization</w:t>
      </w:r>
      <w:r w:rsidRPr="00AE36CA">
        <w:rPr>
          <w:szCs w:val="28"/>
          <w:lang w:val="en-US"/>
        </w:rPr>
        <w:t>, technical elements, interaction, and collaboration, the object of assessment may become less clearly defined.</w:t>
      </w:r>
    </w:p>
    <w:p w14:paraId="48F82E7F" w14:textId="0E743A5A" w:rsidR="009844F6" w:rsidRPr="00AE36CA" w:rsidRDefault="009844F6" w:rsidP="002955C0">
      <w:pPr>
        <w:ind w:firstLine="567"/>
        <w:jc w:val="both"/>
        <w:rPr>
          <w:szCs w:val="28"/>
          <w:lang w:val="en-US"/>
        </w:rPr>
      </w:pPr>
      <w:r w:rsidRPr="00AE36CA">
        <w:rPr>
          <w:szCs w:val="28"/>
          <w:lang w:val="en-US"/>
        </w:rPr>
        <w:t xml:space="preserve">The problem is particularly important in higher education, where assessment is expected to provide evidence that specified learning outcomes have been achieved. From the perspective of constructive alignment, assessment tasks and criteria </w:t>
      </w:r>
      <w:r w:rsidRPr="00AE36CA">
        <w:rPr>
          <w:i/>
          <w:iCs/>
          <w:szCs w:val="28"/>
          <w:lang w:val="en-US"/>
        </w:rPr>
        <w:t>should correspond directly</w:t>
      </w:r>
      <w:r w:rsidRPr="00AE36CA">
        <w:rPr>
          <w:szCs w:val="28"/>
          <w:lang w:val="en-US"/>
        </w:rPr>
        <w:t xml:space="preserve"> to the intended outcomes of the learning process (Biggs, Tang, &amp; Kennedy, 2022). The introduction of technology does not alter this principle. A technically sophisticated product cannot in itself be </w:t>
      </w:r>
      <w:r w:rsidRPr="00AE36CA">
        <w:rPr>
          <w:szCs w:val="28"/>
          <w:lang w:val="en-US"/>
        </w:rPr>
        <w:lastRenderedPageBreak/>
        <w:t>regarded as evidence of higher foreign-language competence, just as limited technical complexity should not automatically reduce the evaluation of a linguistically and communicatively successful performance. The pedagogical challenge is therefore not simply to introduce additional criteria for digital work, but to determine which characteristics of a digital task constitute relevant evidence of language learning and which remain secondary to its educational purpose.</w:t>
      </w:r>
    </w:p>
    <w:p w14:paraId="06F0EFA7" w14:textId="253BA08F" w:rsidR="009844F6" w:rsidRPr="00AE36CA" w:rsidRDefault="009844F6" w:rsidP="002955C0">
      <w:pPr>
        <w:ind w:firstLine="567"/>
        <w:jc w:val="both"/>
        <w:rPr>
          <w:szCs w:val="28"/>
          <w:lang w:val="en-US"/>
        </w:rPr>
      </w:pPr>
      <w:r w:rsidRPr="00AE36CA">
        <w:rPr>
          <w:szCs w:val="28"/>
          <w:lang w:val="en-US"/>
        </w:rPr>
        <w:t xml:space="preserve">This distinction has become increasingly significant in research on digitally mediated second-language production. Hafner and Ho (2020) identify assessment as an </w:t>
      </w:r>
      <w:proofErr w:type="spellStart"/>
      <w:r w:rsidRPr="00AE36CA">
        <w:rPr>
          <w:szCs w:val="28"/>
          <w:lang w:val="en-US"/>
        </w:rPr>
        <w:t>underresearched</w:t>
      </w:r>
      <w:proofErr w:type="spellEnd"/>
      <w:r w:rsidRPr="00AE36CA">
        <w:rPr>
          <w:szCs w:val="28"/>
          <w:lang w:val="en-US"/>
        </w:rPr>
        <w:t xml:space="preserve"> aspect of digital multimodal composing and emphasize the difficulty of determining which dimensions of learners’ performance should be assessed and at what stages of the task. Their process-based perspective further suggests that assessment may involve not only the final product but also planning, design, feedback, revision, and reflection. Jiang, Yu, and Lee (2022) extend the discussion by demonstrating that digital products should also be considered in relation to their communicative purpose, genre, audience, and the functional selection of different modes. More recent research continues to identify assessment, feedback, and task design as areas requiring further theoretical and empirical development in second-language digital practices (Jiang &amp; Hafner, 202</w:t>
      </w:r>
      <w:r w:rsidR="00592063">
        <w:rPr>
          <w:szCs w:val="28"/>
        </w:rPr>
        <w:t>5</w:t>
      </w:r>
      <w:r w:rsidRPr="00AE36CA">
        <w:rPr>
          <w:szCs w:val="28"/>
          <w:lang w:val="en-US"/>
        </w:rPr>
        <w:t>).</w:t>
      </w:r>
    </w:p>
    <w:p w14:paraId="3680106C" w14:textId="47038A0D" w:rsidR="009844F6" w:rsidRPr="00AE36CA" w:rsidRDefault="009844F6" w:rsidP="002955C0">
      <w:pPr>
        <w:ind w:firstLine="567"/>
        <w:jc w:val="both"/>
        <w:rPr>
          <w:szCs w:val="28"/>
          <w:lang w:val="en-US"/>
        </w:rPr>
      </w:pPr>
      <w:r w:rsidRPr="00AE36CA">
        <w:rPr>
          <w:szCs w:val="28"/>
          <w:lang w:val="en-US"/>
        </w:rPr>
        <w:t xml:space="preserve">For the purposes of the present paper, </w:t>
      </w:r>
      <w:r w:rsidRPr="00AE36CA">
        <w:rPr>
          <w:i/>
          <w:iCs/>
          <w:szCs w:val="28"/>
          <w:lang w:val="en-US"/>
        </w:rPr>
        <w:t>digital tasks are understood as learning activities mediated by digital technologies</w:t>
      </w:r>
      <w:r w:rsidRPr="00AE36CA">
        <w:rPr>
          <w:szCs w:val="28"/>
          <w:lang w:val="en-US"/>
        </w:rPr>
        <w:t xml:space="preserve"> in which learners use the foreign language to create, present, exchange, or collaboratively develop content in accordance with specified educational and communicative objectives. This definition distinguishes them from conventional exercises that are merely delivered electronically. The pedagogical value of a digital task is therefore not determined by the presence of technology itself, but by the way in which technology supports language use, interaction, meaning-making, or the completion of a purposeful learning activity.</w:t>
      </w:r>
    </w:p>
    <w:p w14:paraId="4E2F9BD5" w14:textId="77777777" w:rsidR="00AE36CA" w:rsidRPr="00AE36CA" w:rsidRDefault="009844F6" w:rsidP="002955C0">
      <w:pPr>
        <w:ind w:firstLine="567"/>
        <w:jc w:val="both"/>
        <w:rPr>
          <w:szCs w:val="28"/>
          <w:lang w:val="en-US"/>
        </w:rPr>
      </w:pPr>
      <w:r w:rsidRPr="00AE36CA">
        <w:rPr>
          <w:szCs w:val="28"/>
          <w:lang w:val="en-US"/>
        </w:rPr>
        <w:t>The central issue addressed in the paper is how such tasks can be assessed without allowing technical performance, visual complexity, or digital competence to overshadow the foreign-language learning objectives for which the task has been designed. The study adopts a theoretical review approach and draws on recent research in foreign-language education, digital and multimodal learning, language assessment, and higher-education pedagogy. Its purpose is to identify the principal challenges associated with the assessment of digital tasks and to systematize pedagogically relevant dimensions for their evaluation. Particular attention is given to the relationship between foreign-language performance, task achievement, communicative effectiveness, the functional use of digital elements, and the learning process. On this basis, the paper seeks to formulate principles for balanced assessment in which technology contributes to the demonstration of learning without becoming an independent measure of achievement unless digital competence is itself an intended learning outcome.</w:t>
      </w:r>
    </w:p>
    <w:p w14:paraId="1EFAF817" w14:textId="03B83C63" w:rsidR="00AE36CA" w:rsidRPr="00AE36CA" w:rsidRDefault="009844F6" w:rsidP="002955C0">
      <w:pPr>
        <w:ind w:firstLine="567"/>
        <w:jc w:val="both"/>
        <w:rPr>
          <w:szCs w:val="28"/>
          <w:lang w:val="en-US"/>
        </w:rPr>
      </w:pPr>
      <w:r w:rsidRPr="00AE36CA">
        <w:rPr>
          <w:szCs w:val="28"/>
          <w:lang w:val="en-US"/>
        </w:rPr>
        <w:t xml:space="preserve">The concept of a </w:t>
      </w:r>
      <w:r w:rsidRPr="00AE36CA">
        <w:rPr>
          <w:rStyle w:val="Emphasis"/>
          <w:rFonts w:eastAsiaTheme="majorEastAsia"/>
          <w:szCs w:val="28"/>
          <w:lang w:val="en-US"/>
        </w:rPr>
        <w:t>task</w:t>
      </w:r>
      <w:r w:rsidRPr="00AE36CA">
        <w:rPr>
          <w:szCs w:val="28"/>
          <w:lang w:val="en-US"/>
        </w:rPr>
        <w:t xml:space="preserve"> has a well-established position in foreign-language pedagogy and is closely associated with approaches that place meaningful language use at the </w:t>
      </w:r>
      <w:r w:rsidR="00050527" w:rsidRPr="00AE36CA">
        <w:rPr>
          <w:szCs w:val="28"/>
          <w:lang w:val="en-US"/>
        </w:rPr>
        <w:t>center</w:t>
      </w:r>
      <w:r w:rsidRPr="00AE36CA">
        <w:rPr>
          <w:szCs w:val="28"/>
          <w:lang w:val="en-US"/>
        </w:rPr>
        <w:t xml:space="preserve"> of the learning process. In task-based language teaching, a task is generally understood as a purposeful activity in which learners </w:t>
      </w:r>
      <w:r w:rsidRPr="00AE36CA">
        <w:rPr>
          <w:szCs w:val="28"/>
          <w:lang w:val="en-US"/>
        </w:rPr>
        <w:lastRenderedPageBreak/>
        <w:t>use available linguistic resources to achieve a defined outcome, with primary attention directed towards meaning rather than the isolated reproduction of predetermined language forms (Ellis, 2003). This distinction remains relevant in digital environments. The use of technology does not automatically transform an exercise into a task; rather, it changes the conditions under which the activity is performed and may extend the possibilities for interaction, collaboration, access to information, and the creation of communicative products.</w:t>
      </w:r>
    </w:p>
    <w:p w14:paraId="3BFBCD51" w14:textId="3EA1D219" w:rsidR="00AE36CA" w:rsidRPr="00AE36CA" w:rsidRDefault="009844F6" w:rsidP="002955C0">
      <w:pPr>
        <w:ind w:firstLine="567"/>
        <w:jc w:val="both"/>
        <w:rPr>
          <w:szCs w:val="28"/>
          <w:lang w:val="en-US"/>
        </w:rPr>
      </w:pPr>
      <w:r w:rsidRPr="00AE36CA">
        <w:rPr>
          <w:szCs w:val="28"/>
          <w:lang w:val="en-US"/>
        </w:rPr>
        <w:t xml:space="preserve">Accordingly, a distinction should be made between a </w:t>
      </w:r>
      <w:r w:rsidR="00050527" w:rsidRPr="00AE36CA">
        <w:rPr>
          <w:rStyle w:val="Strong"/>
          <w:rFonts w:eastAsiaTheme="majorEastAsia"/>
          <w:szCs w:val="28"/>
          <w:lang w:val="en-US"/>
        </w:rPr>
        <w:t>digitized</w:t>
      </w:r>
      <w:r w:rsidRPr="00AE36CA">
        <w:rPr>
          <w:rStyle w:val="Strong"/>
          <w:rFonts w:eastAsiaTheme="majorEastAsia"/>
          <w:szCs w:val="28"/>
          <w:lang w:val="en-US"/>
        </w:rPr>
        <w:t xml:space="preserve"> exercise</w:t>
      </w:r>
      <w:r w:rsidRPr="00AE36CA">
        <w:rPr>
          <w:szCs w:val="28"/>
          <w:lang w:val="en-US"/>
        </w:rPr>
        <w:t xml:space="preserve"> and a </w:t>
      </w:r>
      <w:r w:rsidRPr="00AE36CA">
        <w:rPr>
          <w:rStyle w:val="Strong"/>
          <w:rFonts w:eastAsiaTheme="majorEastAsia"/>
          <w:szCs w:val="28"/>
          <w:lang w:val="en-US"/>
        </w:rPr>
        <w:t>digital task</w:t>
      </w:r>
      <w:r w:rsidRPr="00AE36CA">
        <w:rPr>
          <w:szCs w:val="28"/>
          <w:lang w:val="en-US"/>
        </w:rPr>
        <w:t>. An electronically delivered grammar exercise, vocabulary matching activity, or automatically scored multiple-choice test may reproduce an established instructional format through a digital medium without substantially changing its pedagogical purpose. Such activities can be useful components of foreign-language instruction, particularly for practice, consolidation, and formative checking, but their digital form is primarily a mode of delivery. A digital task, by contrast, requires learners to use the target language in order to achieve a communicative or content-related objective through the affordances of a digital environment. Technology becomes part of the conditions under which meaning is created, exchanged, negotiated, or presented rather than merely a substitute for paper-based materials.</w:t>
      </w:r>
    </w:p>
    <w:p w14:paraId="1B079302" w14:textId="58040826" w:rsidR="00AE36CA" w:rsidRPr="00AE36CA" w:rsidRDefault="009844F6" w:rsidP="002955C0">
      <w:pPr>
        <w:ind w:firstLine="567"/>
        <w:jc w:val="both"/>
        <w:rPr>
          <w:szCs w:val="28"/>
          <w:lang w:val="en-US"/>
        </w:rPr>
      </w:pPr>
      <w:r w:rsidRPr="00AE36CA">
        <w:rPr>
          <w:szCs w:val="28"/>
          <w:lang w:val="en-US"/>
        </w:rPr>
        <w:t>This distinction corresponds with the development of technology-mediated task-based language teaching. Smith and González-</w:t>
      </w:r>
      <w:proofErr w:type="spellStart"/>
      <w:r w:rsidRPr="00AE36CA">
        <w:rPr>
          <w:szCs w:val="28"/>
          <w:lang w:val="en-US"/>
        </w:rPr>
        <w:t>Lloret</w:t>
      </w:r>
      <w:proofErr w:type="spellEnd"/>
      <w:r w:rsidRPr="00AE36CA">
        <w:rPr>
          <w:szCs w:val="28"/>
          <w:lang w:val="en-US"/>
        </w:rPr>
        <w:t xml:space="preserve"> (2021) </w:t>
      </w:r>
      <w:r w:rsidR="00050527" w:rsidRPr="00AE36CA">
        <w:rPr>
          <w:szCs w:val="28"/>
          <w:lang w:val="en-US"/>
        </w:rPr>
        <w:t>emphasize</w:t>
      </w:r>
      <w:r w:rsidRPr="00AE36CA">
        <w:rPr>
          <w:szCs w:val="28"/>
          <w:lang w:val="en-US"/>
        </w:rPr>
        <w:t xml:space="preserve"> that technologies should not be selected independently of the pedagogical task; their value depends on the relationship between technological affordances, learning objectives, task characteristics, and the particular educational context. From this perspective, the educational significance of a digital tool is determined by what it enables learners to do with language. A shared online document, for example, may facilitate collaborative writing and revision; an audio or video environment may create conditions for spoken production and interaction; while an online discussion space may enable asynchronous exchanges that require learners to formulate, reconsider, and respond to arguments. The technological medium therefore supports the task, but does not constitute its pedagogical purpose.</w:t>
      </w:r>
    </w:p>
    <w:p w14:paraId="55C5056B" w14:textId="4AA31B0F" w:rsidR="00AE36CA" w:rsidRPr="00AE36CA" w:rsidRDefault="009844F6" w:rsidP="002955C0">
      <w:pPr>
        <w:ind w:firstLine="567"/>
        <w:jc w:val="both"/>
        <w:rPr>
          <w:szCs w:val="28"/>
          <w:lang w:val="en-US"/>
        </w:rPr>
      </w:pPr>
      <w:r w:rsidRPr="00AE36CA">
        <w:rPr>
          <w:szCs w:val="28"/>
          <w:lang w:val="en-US"/>
        </w:rPr>
        <w:t xml:space="preserve">The expansion of digitally mediated language use is also reflected in the CEFR Companion Volume (Council of Europe, 2020), which includes descriptors for online interaction and places greater emphasis on mediation, collaboration, and learners’ participation as social agents. Online communication frequently involves combinations of written and spoken language, visual information, hyperlinks, images, audio, and other semiotic resources. Consequently, foreign-language tasks conducted in digital environments may require learners not only to produce linguistically appropriate language, but also to select, </w:t>
      </w:r>
      <w:r w:rsidR="00050527" w:rsidRPr="00AE36CA">
        <w:rPr>
          <w:szCs w:val="28"/>
          <w:lang w:val="en-US"/>
        </w:rPr>
        <w:t>organize</w:t>
      </w:r>
      <w:r w:rsidRPr="00AE36CA">
        <w:rPr>
          <w:szCs w:val="28"/>
          <w:lang w:val="en-US"/>
        </w:rPr>
        <w:t>, and communicate information effectively for a specific audience and purpose. The integration of several modes of communication is particularly evident in activities such as multimedia presentations, video assignments, digital posters, collaborative projects, and other forms of digital composing. However, the presence of multiple modes does not mean that all of them should automatically become independent objects of assessment. Their pedagogical relevance depends on the objectives established for the particular task.</w:t>
      </w:r>
    </w:p>
    <w:p w14:paraId="6647CF3E" w14:textId="100819D4" w:rsidR="00AE36CA" w:rsidRPr="00AE36CA" w:rsidRDefault="009844F6" w:rsidP="002955C0">
      <w:pPr>
        <w:ind w:firstLine="567"/>
        <w:jc w:val="both"/>
        <w:rPr>
          <w:szCs w:val="28"/>
          <w:lang w:val="en-US"/>
        </w:rPr>
      </w:pPr>
      <w:r w:rsidRPr="00AE36CA">
        <w:rPr>
          <w:szCs w:val="28"/>
          <w:lang w:val="en-US"/>
        </w:rPr>
        <w:lastRenderedPageBreak/>
        <w:t xml:space="preserve">For the purposes of the present analysis, digital tasks in foreign-language education can be grouped according to their predominant communicative function. </w:t>
      </w:r>
      <w:r w:rsidRPr="00AE36CA">
        <w:rPr>
          <w:rStyle w:val="Strong"/>
          <w:rFonts w:eastAsiaTheme="majorEastAsia"/>
          <w:szCs w:val="28"/>
          <w:lang w:val="en-US"/>
        </w:rPr>
        <w:t>Production-oriented tasks</w:t>
      </w:r>
      <w:r w:rsidRPr="00AE36CA">
        <w:rPr>
          <w:szCs w:val="28"/>
          <w:lang w:val="en-US"/>
        </w:rPr>
        <w:t xml:space="preserve"> require learners to create written or spoken content, as in blogs, recorded presentations, podcasts, or video assignments. </w:t>
      </w:r>
      <w:r w:rsidRPr="00AE36CA">
        <w:rPr>
          <w:rStyle w:val="Strong"/>
          <w:rFonts w:eastAsiaTheme="majorEastAsia"/>
          <w:szCs w:val="28"/>
          <w:lang w:val="en-US"/>
        </w:rPr>
        <w:t>Interaction-oriented tasks</w:t>
      </w:r>
      <w:r w:rsidRPr="00AE36CA">
        <w:rPr>
          <w:szCs w:val="28"/>
          <w:lang w:val="en-US"/>
        </w:rPr>
        <w:t xml:space="preserve"> involve exchanges between participants through online discussions, shared platforms, or synchronous and asynchronous communication. </w:t>
      </w:r>
      <w:r w:rsidRPr="00AE36CA">
        <w:rPr>
          <w:rStyle w:val="Strong"/>
          <w:rFonts w:eastAsiaTheme="majorEastAsia"/>
          <w:szCs w:val="28"/>
          <w:lang w:val="en-US"/>
        </w:rPr>
        <w:t>Collaborative tasks</w:t>
      </w:r>
      <w:r w:rsidRPr="00AE36CA">
        <w:rPr>
          <w:szCs w:val="28"/>
          <w:lang w:val="en-US"/>
        </w:rPr>
        <w:t xml:space="preserve"> require learners to jointly develop a product, solve a problem, or </w:t>
      </w:r>
      <w:r w:rsidR="00050527" w:rsidRPr="00AE36CA">
        <w:rPr>
          <w:szCs w:val="28"/>
          <w:lang w:val="en-US"/>
        </w:rPr>
        <w:t>organize</w:t>
      </w:r>
      <w:r w:rsidRPr="00AE36CA">
        <w:rPr>
          <w:szCs w:val="28"/>
          <w:lang w:val="en-US"/>
        </w:rPr>
        <w:t xml:space="preserve"> information through digital environments. </w:t>
      </w:r>
      <w:r w:rsidRPr="00AE36CA">
        <w:rPr>
          <w:rStyle w:val="Strong"/>
          <w:rFonts w:eastAsiaTheme="majorEastAsia"/>
          <w:szCs w:val="28"/>
          <w:lang w:val="en-US"/>
        </w:rPr>
        <w:t>Presentation and mediation tasks</w:t>
      </w:r>
      <w:r w:rsidRPr="00AE36CA">
        <w:rPr>
          <w:szCs w:val="28"/>
          <w:lang w:val="en-US"/>
        </w:rPr>
        <w:t xml:space="preserve"> involve selecting, reformulating, </w:t>
      </w:r>
      <w:r w:rsidR="00050527" w:rsidRPr="00AE36CA">
        <w:rPr>
          <w:szCs w:val="28"/>
          <w:lang w:val="en-US"/>
        </w:rPr>
        <w:t>summarizing</w:t>
      </w:r>
      <w:r w:rsidRPr="00AE36CA">
        <w:rPr>
          <w:szCs w:val="28"/>
          <w:lang w:val="en-US"/>
        </w:rPr>
        <w:t>, or communicating information to a particular audience, often by combining linguistic and non-linguistic resources. In practice, these categories frequently overlap. A collaborative presentation, for example, may involve reading source materials, negotiating meaning with peers, producing written content, delivering spoken language, and adapting information to the needs of an audience.</w:t>
      </w:r>
    </w:p>
    <w:p w14:paraId="3CA1A19F" w14:textId="77777777" w:rsidR="00AE36CA" w:rsidRPr="00AE36CA" w:rsidRDefault="009844F6" w:rsidP="002955C0">
      <w:pPr>
        <w:ind w:firstLine="567"/>
        <w:jc w:val="both"/>
        <w:rPr>
          <w:szCs w:val="28"/>
          <w:lang w:val="en-US"/>
        </w:rPr>
      </w:pPr>
      <w:r w:rsidRPr="00AE36CA">
        <w:rPr>
          <w:szCs w:val="28"/>
          <w:lang w:val="en-US"/>
        </w:rPr>
        <w:t>The multimodal character of some digital tasks further distinguishes them from more conventional language exercises. Research on digital multimodal composing has shown that learners may need to coordinate linguistic, visual, auditory, and spatial resources in order to construct meaning (Hafner &amp; Ho, 2020; Jiang, Yu, &amp; Lee, 2022). Such activities can provide opportunities for authentic and purposeful language use, but they also complicate the relationship between the learning task and its assessment. A technically polished multimedia product may contain limited or inaccurate language, whereas a comparatively simple digital product may demonstrate strong linguistic competence and fulfil the communicative purpose effectively. Similarly, collaborative production can create meaningful opportunities for language use while making individual contribution more difficult to identify.</w:t>
      </w:r>
    </w:p>
    <w:p w14:paraId="325EF38C" w14:textId="77777777" w:rsidR="00AE36CA" w:rsidRPr="00AE36CA" w:rsidRDefault="009844F6" w:rsidP="002955C0">
      <w:pPr>
        <w:ind w:firstLine="567"/>
        <w:jc w:val="both"/>
        <w:rPr>
          <w:szCs w:val="28"/>
          <w:lang w:val="en-US"/>
        </w:rPr>
      </w:pPr>
      <w:r w:rsidRPr="00AE36CA">
        <w:rPr>
          <w:szCs w:val="28"/>
          <w:lang w:val="en-US"/>
        </w:rPr>
        <w:t xml:space="preserve">Digital tasks should therefore be understood primarily in terms of their </w:t>
      </w:r>
      <w:r w:rsidRPr="00AE36CA">
        <w:rPr>
          <w:rStyle w:val="Strong"/>
          <w:rFonts w:eastAsiaTheme="majorEastAsia"/>
          <w:szCs w:val="28"/>
          <w:lang w:val="en-US"/>
        </w:rPr>
        <w:t>pedagogical and communicative function</w:t>
      </w:r>
      <w:r w:rsidRPr="00AE36CA">
        <w:rPr>
          <w:szCs w:val="28"/>
          <w:lang w:val="en-US"/>
        </w:rPr>
        <w:t>, rather than their technological complexity. The defining question is not which technology has been used, but what learners are expected to achieve through the foreign language and what evidence of learning the task is intended to provide. This understanding establishes an important basis for assessment: if technology functions as a means through which linguistic and communicative objectives are pursued, assessment criteria should reflect those objectives accordingly. Only where the purposeful use of digital resources constitutes an explicit learning outcome should technical or multimodal performance acquire a substantial independent role in the evaluation.</w:t>
      </w:r>
    </w:p>
    <w:p w14:paraId="4AE99661" w14:textId="16653F47" w:rsidR="00AE36CA" w:rsidRPr="00AE36CA" w:rsidRDefault="00AE36CA" w:rsidP="002955C0">
      <w:pPr>
        <w:ind w:firstLine="567"/>
        <w:jc w:val="both"/>
        <w:rPr>
          <w:szCs w:val="28"/>
          <w:lang w:val="en-US"/>
        </w:rPr>
      </w:pPr>
      <w:r w:rsidRPr="00AE36CA">
        <w:rPr>
          <w:szCs w:val="28"/>
          <w:lang w:val="en-US"/>
        </w:rPr>
        <w:t xml:space="preserve">The assessment of digital tasks presents a broader pedagogical challenge than the evaluation of conventional language exercises because the learner’s performance may involve several interrelated components. Linguistic accuracy and range remain important, but they may appear alongside content selection, communicative </w:t>
      </w:r>
      <w:r w:rsidR="00050527" w:rsidRPr="00AE36CA">
        <w:rPr>
          <w:szCs w:val="28"/>
          <w:lang w:val="en-US"/>
        </w:rPr>
        <w:t>organization</w:t>
      </w:r>
      <w:r w:rsidRPr="00AE36CA">
        <w:rPr>
          <w:szCs w:val="28"/>
          <w:lang w:val="en-US"/>
        </w:rPr>
        <w:t xml:space="preserve">, collaboration, visual representation, oral delivery, and the use of digital resources. The principal difficulty is therefore to determine which aspects provide valid evidence of the intended learning outcomes and how much weight each of them should receive. Without such differentiation, </w:t>
      </w:r>
      <w:r w:rsidRPr="00AE36CA">
        <w:rPr>
          <w:szCs w:val="28"/>
          <w:lang w:val="en-US"/>
        </w:rPr>
        <w:lastRenderedPageBreak/>
        <w:t>assessment may inadvertently reward technical sophistication rather than foreign-language achievement.</w:t>
      </w:r>
    </w:p>
    <w:p w14:paraId="2F971CB0" w14:textId="6C81CEDB" w:rsidR="00AE36CA" w:rsidRPr="00AE36CA" w:rsidRDefault="00AE36CA" w:rsidP="002955C0">
      <w:pPr>
        <w:ind w:firstLine="567"/>
        <w:jc w:val="both"/>
        <w:rPr>
          <w:szCs w:val="28"/>
          <w:lang w:val="en-US" w:eastAsia="en-US"/>
        </w:rPr>
      </w:pPr>
      <w:r w:rsidRPr="00AE36CA">
        <w:rPr>
          <w:szCs w:val="28"/>
          <w:lang w:val="en-US"/>
        </w:rPr>
        <w:t xml:space="preserve">A central issue concerns the relationship between language performance and technical performance. Learners enter higher education with different levels of digital competence, experience, and access to technological resources. Consequently, the visual or technical quality of a digital product may partly reflect abilities that were developed outside the foreign-language course. This raises questions of validity and fairness. If the principal objective of an assignment is written or spoken language production, a learner with stronger technical skills should not automatically receive a higher assessment than a learner whose product is technologically simpler but linguistically more successful. Rahmati and </w:t>
      </w:r>
      <w:proofErr w:type="spellStart"/>
      <w:r w:rsidRPr="00AE36CA">
        <w:rPr>
          <w:szCs w:val="28"/>
          <w:lang w:val="en-US"/>
        </w:rPr>
        <w:t>Nushi</w:t>
      </w:r>
      <w:proofErr w:type="spellEnd"/>
      <w:r w:rsidRPr="00AE36CA">
        <w:rPr>
          <w:szCs w:val="28"/>
          <w:lang w:val="en-US"/>
        </w:rPr>
        <w:t xml:space="preserve"> (2023) similarly identify computer literacy as a relevant consideration in the fairness of technology-enhanced language assessment. Technical competence should therefore influence evaluation only when it forms an explicit part of the intended learning outcomes or contributes directly to the communicative effectiveness of the task.</w:t>
      </w:r>
    </w:p>
    <w:p w14:paraId="1ACFC4E0" w14:textId="40FAD9E8" w:rsidR="00AE36CA" w:rsidRPr="00AE36CA" w:rsidRDefault="00AE36CA" w:rsidP="002955C0">
      <w:pPr>
        <w:ind w:firstLine="720"/>
        <w:jc w:val="both"/>
        <w:rPr>
          <w:szCs w:val="28"/>
          <w:lang w:val="en-US"/>
        </w:rPr>
      </w:pPr>
      <w:r w:rsidRPr="00AE36CA">
        <w:rPr>
          <w:szCs w:val="28"/>
          <w:lang w:val="en-US"/>
        </w:rPr>
        <w:t>A second challenge involves the distinction between the final product and the learning process. Traditional assessment frequently concentrates on the completed assignment, while digital tasks may involve planning, information selection, drafting, peer interaction, revision, and the integration of feedback before the final product is submitted. Hafner and Ho (2020) argue for a process-based perspective in which assessment can be connected with different stages of digital composing rather than limited to the final outcome. Such an approach is particularly relevant when the educational purpose of a task includes collaboration, revision, reflection, or the development of learner autonomy. At the same time, including the process in formal assessment requires clearly observable indicators; otherwise, criteria such as participation or effort may be interpreted inconsistently.</w:t>
      </w:r>
    </w:p>
    <w:p w14:paraId="0711278D" w14:textId="01286FA5" w:rsidR="00AE36CA" w:rsidRPr="00AE36CA" w:rsidRDefault="00AE36CA" w:rsidP="002955C0">
      <w:pPr>
        <w:ind w:firstLine="720"/>
        <w:jc w:val="both"/>
        <w:rPr>
          <w:szCs w:val="28"/>
          <w:lang w:val="en-US"/>
        </w:rPr>
      </w:pPr>
      <w:r w:rsidRPr="00AE36CA">
        <w:rPr>
          <w:szCs w:val="28"/>
          <w:lang w:val="en-US"/>
        </w:rPr>
        <w:t xml:space="preserve">The use of multiple communicative modes creates an additional problem. Digital tasks may combine written language, speech, images, sound, layout, and other resources. These elements can contribute to meaning, but their presence does not necessarily justify equal assessment weight. Jiang, Yu, and Lee (2022) demonstrate the importance of considering the relationship between genre, communicative purpose, structure, and modal choices when assessing digital multimodal production. From a pedagogical perspective, this suggests that non-linguistic elements should be evaluated according to their function rather than their aesthetic complexity. An image, animation, or sound element is relevant when it clarifies information, supports </w:t>
      </w:r>
      <w:r w:rsidR="00050527" w:rsidRPr="00AE36CA">
        <w:rPr>
          <w:szCs w:val="28"/>
          <w:lang w:val="en-US"/>
        </w:rPr>
        <w:t>organization</w:t>
      </w:r>
      <w:r w:rsidRPr="00AE36CA">
        <w:rPr>
          <w:szCs w:val="28"/>
          <w:lang w:val="en-US"/>
        </w:rPr>
        <w:t>, or contributes to communication with the intended audience. Decorative complexity alone provides little evidence of foreign-language learning.</w:t>
      </w:r>
    </w:p>
    <w:p w14:paraId="4ABC2CBE" w14:textId="2A9B81D7" w:rsidR="00AE36CA" w:rsidRPr="00AE36CA" w:rsidRDefault="00AE36CA" w:rsidP="002955C0">
      <w:pPr>
        <w:ind w:firstLine="720"/>
        <w:jc w:val="both"/>
        <w:rPr>
          <w:szCs w:val="28"/>
          <w:lang w:val="en-US"/>
        </w:rPr>
      </w:pPr>
      <w:r w:rsidRPr="00AE36CA">
        <w:rPr>
          <w:szCs w:val="28"/>
          <w:lang w:val="en-US"/>
        </w:rPr>
        <w:t xml:space="preserve">Collaborative digital tasks introduce a further difficulty because the quality of the collective product does not necessarily reflect the contribution of each participant. Learners may assume different responsibilities for language production, content development, technical preparation, or presentation. If only the final group product is assessed, substantial differences in individual participation may remain invisible. Conversely, excessive individual monitoring </w:t>
      </w:r>
      <w:r w:rsidRPr="00AE36CA">
        <w:rPr>
          <w:szCs w:val="28"/>
          <w:lang w:val="en-US"/>
        </w:rPr>
        <w:lastRenderedPageBreak/>
        <w:t>may reduce the collaborative character of the activity. A balanced approach therefore requires a distinction between the quality of the shared outcome and evidence of individual linguistic or communicative contribution.</w:t>
      </w:r>
    </w:p>
    <w:p w14:paraId="0A9CDA31" w14:textId="6970960F" w:rsidR="00AE36CA" w:rsidRPr="00AE36CA" w:rsidRDefault="00AE36CA" w:rsidP="002955C0">
      <w:pPr>
        <w:ind w:firstLine="720"/>
        <w:jc w:val="both"/>
        <w:rPr>
          <w:szCs w:val="28"/>
          <w:lang w:val="en-US"/>
        </w:rPr>
      </w:pPr>
      <w:r w:rsidRPr="00AE36CA">
        <w:rPr>
          <w:szCs w:val="28"/>
          <w:lang w:val="en-US"/>
        </w:rPr>
        <w:t xml:space="preserve">Assessment must also remain transparent and sufficiently reliable. The wider the range of criteria included in a rubric, the greater the risk that learners will be uncertain about which aspects are central to their performance. Criteria such as creativity, originality, visual quality, or effective use of technology may be interpreted differently unless they are linked to observable characteristics of the task. Hafner and Ho (2020) show that educators assessing digital multimodal work may attend to multiple dimensions, including language, </w:t>
      </w:r>
      <w:r w:rsidR="00050527" w:rsidRPr="00AE36CA">
        <w:rPr>
          <w:szCs w:val="28"/>
          <w:lang w:val="en-US"/>
        </w:rPr>
        <w:t>organization</w:t>
      </w:r>
      <w:r w:rsidRPr="00AE36CA">
        <w:rPr>
          <w:szCs w:val="28"/>
          <w:lang w:val="en-US"/>
        </w:rPr>
        <w:t>, delivery, genre, originality, and the interaction between modes. The inclusion of numerous dimensions, however, increases the need for clearly defined priorities.</w:t>
      </w:r>
    </w:p>
    <w:p w14:paraId="2E353FCD" w14:textId="3E6B4572" w:rsidR="009844F6" w:rsidRPr="00AE36CA" w:rsidRDefault="00AE36CA" w:rsidP="002955C0">
      <w:pPr>
        <w:ind w:firstLine="720"/>
        <w:jc w:val="both"/>
        <w:rPr>
          <w:szCs w:val="28"/>
          <w:lang w:val="en-US"/>
        </w:rPr>
      </w:pPr>
      <w:r w:rsidRPr="00AE36CA">
        <w:rPr>
          <w:szCs w:val="28"/>
          <w:lang w:val="en-US"/>
        </w:rPr>
        <w:t>These challenges indicate that the assessment of digital tasks should begin not with the characteristics of the technology used, but with the intended educational outcomes. The essential question is which evidence produced through the task demonstrates foreign-language learning. Language performance, successful task completion, communicative effectiveness, digital elements, and the learning process may all be relevant, but their importance cannot be assumed to be equal. A pedagogically balanced assessment therefore requires a structured set of criteria in which each dimension is justified by the purpose of the task and its contribution to the expected learning outcomes.</w:t>
      </w:r>
    </w:p>
    <w:p w14:paraId="0A8F0F69" w14:textId="77777777" w:rsidR="00AE36CA" w:rsidRDefault="00AE36CA" w:rsidP="002955C0">
      <w:pPr>
        <w:jc w:val="both"/>
        <w:rPr>
          <w:lang w:val="en-US"/>
        </w:rPr>
      </w:pPr>
      <w:r>
        <w:rPr>
          <w:lang w:val="en-US"/>
        </w:rPr>
        <w:tab/>
      </w:r>
      <w:r w:rsidRPr="00AE36CA">
        <w:rPr>
          <w:lang w:val="en-US"/>
        </w:rPr>
        <w:t>The challenges outlined above suggest that the assessment of digital tasks requires a framework that is sufficiently broad to account for their communicative and technological characteristics, while remaining firmly connected to the objectives of foreign-language learning. The inclusion of digital elements should not lead to an indiscriminate expansion of assessment criteria. Instead, the relevance of each criterion should be determined by the intended learning outcomes, the communicative purpose of the task, and the type of learner performance expected. This position corresponds to the principle of constructive alignment, according to which teaching activities and assessment should provide evidence of the outcomes that learners are expected to achieve. In digital tasks, therefore, technology should normally function as a means of demonstrating learning rather than as an independent measure of achievement.</w:t>
      </w:r>
    </w:p>
    <w:p w14:paraId="228E1D8F" w14:textId="77777777" w:rsidR="00AE36CA" w:rsidRDefault="00AE36CA" w:rsidP="002955C0">
      <w:pPr>
        <w:ind w:firstLine="720"/>
        <w:jc w:val="both"/>
        <w:rPr>
          <w:lang w:val="en-US"/>
        </w:rPr>
      </w:pPr>
      <w:r w:rsidRPr="00AE36CA">
        <w:rPr>
          <w:lang w:val="en-US"/>
        </w:rPr>
        <w:t>A first and central assessment dimension is foreign-language performance. Regardless of the digital form of a task, its assessment within a foreign-language course should retain a clear connection with linguistic and communicative competence. Depending on the activity, relevant indicators may include grammatical accuracy, lexical range and appropriateness, coherence and cohesion, fluency, pronunciation, register, and the ability to formulate meaning effectively. The relative importance of these indicators should vary according to the purpose of the task. Accuracy may receive greater attention in an academic writing assignment, whereas fluency, interaction, and intelligibility may be more relevant in an oral discussion or recorded presentation. The assessment framework should therefore avoid applying identical linguistic criteria to substantially different forms of learner production.</w:t>
      </w:r>
    </w:p>
    <w:p w14:paraId="1AF39FF4" w14:textId="5A72BC54" w:rsidR="00AE36CA" w:rsidRDefault="00AE36CA" w:rsidP="002955C0">
      <w:pPr>
        <w:ind w:firstLine="720"/>
        <w:jc w:val="both"/>
        <w:rPr>
          <w:lang w:val="en-US"/>
        </w:rPr>
      </w:pPr>
      <w:r w:rsidRPr="00AE36CA">
        <w:rPr>
          <w:lang w:val="en-US"/>
        </w:rPr>
        <w:lastRenderedPageBreak/>
        <w:t xml:space="preserve">The second </w:t>
      </w:r>
      <w:r w:rsidR="00050527">
        <w:rPr>
          <w:lang w:val="en-US"/>
        </w:rPr>
        <w:t>one</w:t>
      </w:r>
      <w:r w:rsidRPr="00AE36CA">
        <w:rPr>
          <w:lang w:val="en-US"/>
        </w:rPr>
        <w:t xml:space="preserve"> concerns task achievement and content. Successful foreign-language performance cannot be reduced to linguistic correctness if the learner does not fulfil the communicative purpose of the activity. Assessment should consequently consider whether the required information has been selected and organized appropriately, whether the task instructions have been addressed, and whether the final product responds to the intended audience and context. This is particularly important for digital tasks, which often involve the creation of purposeful products rather than isolated linguistic responses. Jiang, Yu, and Lee (2022) emphasize that digital multimodal compositions can be understood as purpose-directed and audience-oriented social actions, supporting the inclusion of communicative purpose and genre expectations within assessment. The criterion of task achievement thus provides a link between language competence and the learner’s ability to use that competence to accomplish a meaningful objective.</w:t>
      </w:r>
    </w:p>
    <w:p w14:paraId="0DC793D2" w14:textId="77777777" w:rsidR="00AE36CA" w:rsidRDefault="00AE36CA" w:rsidP="002955C0">
      <w:pPr>
        <w:ind w:firstLine="720"/>
        <w:jc w:val="both"/>
        <w:rPr>
          <w:lang w:val="en-US"/>
        </w:rPr>
      </w:pPr>
      <w:r w:rsidRPr="00AE36CA">
        <w:rPr>
          <w:lang w:val="en-US"/>
        </w:rPr>
        <w:t>A third dimension is communicative effectiveness. This concerns not only whether language is formally correct, but whether meaning is communicated clearly and appropriately. Learners may need to structure information for a particular audience, establish connections between ideas, respond to other participants, reformulate information, or select an appropriate mode of presentation. The expansion of the CEFR to include online interaction and mediation reflects the increasing importance of communication in digitally mediated environments and reinforces the view of learners as social agents rather than simply producers of isolated linguistic forms. Accordingly, assessment may take account of audience awareness, clarity of communication, appropriateness of register, interaction, and the learner’s ability to adapt information to the requirements of the communicative situation.</w:t>
      </w:r>
    </w:p>
    <w:p w14:paraId="080CE57D" w14:textId="38BCAB01" w:rsidR="00AE36CA" w:rsidRDefault="00AE36CA" w:rsidP="002955C0">
      <w:pPr>
        <w:ind w:firstLine="720"/>
        <w:jc w:val="both"/>
        <w:rPr>
          <w:lang w:val="en-US"/>
        </w:rPr>
      </w:pPr>
      <w:r w:rsidRPr="00AE36CA">
        <w:rPr>
          <w:lang w:val="en-US"/>
        </w:rPr>
        <w:t xml:space="preserve">The functional use of digital elements constitutes a fourth possible assessment dimension, but it requires particular caution. Images, audio, video, layout, hyperlinks, and other digital resources should not receive credit merely because they increase the technical complexity or visual attractiveness of a product. Their relevance should be determined by the extent to which they support meaning, </w:t>
      </w:r>
      <w:r w:rsidR="00050527" w:rsidRPr="00AE36CA">
        <w:rPr>
          <w:lang w:val="en-US"/>
        </w:rPr>
        <w:t>organization</w:t>
      </w:r>
      <w:r w:rsidRPr="00AE36CA">
        <w:rPr>
          <w:lang w:val="en-US"/>
        </w:rPr>
        <w:t>, accessibility, or communication. Research on digital multimodal composing similarly distinguishes between the mere presence of multiple modes and their purposeful integration within the communicative product (Hafner &amp; Ho, 2020; Jiang, Yu, &amp; Lee, 2022). Hafner and Ho’s process-based model also demonstrates that assessment of digital composing may extend beyond isolated linguistic elements and consider how different resources are selected and combined during the development of a product. A simple visual element that clarifies complex information may therefore have greater pedagogical value than a technically elaborate feature with no meaningful communicative function.</w:t>
      </w:r>
    </w:p>
    <w:p w14:paraId="53859BBA" w14:textId="77777777" w:rsidR="00AE36CA" w:rsidRDefault="00AE36CA" w:rsidP="002955C0">
      <w:pPr>
        <w:ind w:firstLine="720"/>
        <w:jc w:val="both"/>
        <w:rPr>
          <w:lang w:val="en-US"/>
        </w:rPr>
      </w:pPr>
      <w:r w:rsidRPr="00AE36CA">
        <w:rPr>
          <w:lang w:val="en-US"/>
        </w:rPr>
        <w:t xml:space="preserve">A fifth dimension concerns the learning process and collaboration. This dimension is not applicable to every digital task and should be included only when the learning objectives explicitly involve planning, revision, peer interaction, reflection, or collaborative production. In such cases, exclusive attention to the final product may conceal important evidence of learning. A learner may substantially improve a text following feedback, contribute linguistic solutions </w:t>
      </w:r>
      <w:r w:rsidRPr="00AE36CA">
        <w:rPr>
          <w:lang w:val="en-US"/>
        </w:rPr>
        <w:lastRenderedPageBreak/>
        <w:t>during collaborative work, or demonstrate the ability to evaluate and revise an initial product. Hafner and Ho (2020) propose a process-based approach precisely because assessment of digital composing may involve stages of design, sharing, feedback, and reflection rather than only the completed product. Where collaboration is assessed, however, the criteria should distinguish between the quality of the shared product and observable evidence of individual contribution.</w:t>
      </w:r>
    </w:p>
    <w:p w14:paraId="65CDAFD3" w14:textId="77777777" w:rsidR="00AE36CA" w:rsidRDefault="00AE36CA" w:rsidP="002955C0">
      <w:pPr>
        <w:ind w:firstLine="720"/>
        <w:jc w:val="both"/>
        <w:rPr>
          <w:lang w:val="en-US"/>
        </w:rPr>
      </w:pPr>
      <w:r w:rsidRPr="00AE36CA">
        <w:rPr>
          <w:lang w:val="en-US"/>
        </w:rPr>
        <w:t>Taken together, these five dimensions do not constitute a fixed rubric to be applied uniformly to every digital task. Their pedagogical value lies in providing a structured basis from which relevant criteria can be selected. Foreign-language performance and task achievement should ordinarily remain central, since they correspond most directly to the purposes of foreign-language education. Communicative effectiveness becomes particularly important where the task requires interaction, mediation, or presentation to an audience. Functional use of digital elements should be assessed only when these elements contribute to meaning or when digital communication itself forms part of the intended learning outcomes. Process and collaboration criteria should likewise be included only when the design of the task provides learners with genuine opportunities to demonstrate them.</w:t>
      </w:r>
    </w:p>
    <w:p w14:paraId="3AD21D5A" w14:textId="47DE632F" w:rsidR="00AE36CA" w:rsidRDefault="00AE36CA" w:rsidP="002955C0">
      <w:pPr>
        <w:ind w:firstLine="720"/>
        <w:jc w:val="both"/>
        <w:rPr>
          <w:lang w:val="en-US"/>
        </w:rPr>
      </w:pPr>
      <w:r w:rsidRPr="00AE36CA">
        <w:rPr>
          <w:lang w:val="en-US"/>
        </w:rPr>
        <w:t xml:space="preserve">Balanced assessment also depends on the transparency of criteria. Learners should know before completing the task which aspects of their performance will be assessed and what constitutes successful achievement. This is especially important when criteria extend beyond familiar linguistic categories. General descriptors such as “creativity”, “good use of technology”, or “attractive presentation” provide insufficient guidance unless they are connected to observable educational functions. “Effective use of visual elements”, for example, can be defined in relation to clarity, </w:t>
      </w:r>
      <w:r w:rsidR="00050527" w:rsidRPr="00AE36CA">
        <w:rPr>
          <w:lang w:val="en-US"/>
        </w:rPr>
        <w:t>organization</w:t>
      </w:r>
      <w:r w:rsidRPr="00AE36CA">
        <w:rPr>
          <w:lang w:val="en-US"/>
        </w:rPr>
        <w:t>, or support for meaning, thereby reducing the influence of subjective aesthetic preferences. The same principle applies to collaboration and participation, which should be represented through identifiable forms of contribution rather than general impressions of effort.</w:t>
      </w:r>
    </w:p>
    <w:p w14:paraId="3791F7F1" w14:textId="5EEEB1F0" w:rsidR="00AE36CA" w:rsidRDefault="00AE36CA" w:rsidP="002955C0">
      <w:pPr>
        <w:ind w:firstLine="720"/>
        <w:jc w:val="both"/>
        <w:rPr>
          <w:lang w:val="en-US"/>
        </w:rPr>
      </w:pPr>
      <w:r w:rsidRPr="00AE36CA">
        <w:rPr>
          <w:lang w:val="en-US"/>
        </w:rPr>
        <w:t xml:space="preserve">For this reason, analytic assessment is particularly suitable for complex digital tasks. Separating the major dimensions enables the educator to distinguish strong linguistic performance from weaker task </w:t>
      </w:r>
      <w:r w:rsidR="00050527" w:rsidRPr="00AE36CA">
        <w:rPr>
          <w:lang w:val="en-US"/>
        </w:rPr>
        <w:t>organization</w:t>
      </w:r>
      <w:r w:rsidRPr="00AE36CA">
        <w:rPr>
          <w:lang w:val="en-US"/>
        </w:rPr>
        <w:t xml:space="preserve"> or, conversely, successful technical presentation from limited foreign-language achievement. It also makes feedback more informative because learners can identify the specific areas in which improvement is required. The number of criteria should nevertheless remain manageable. An excessively detailed rubric may create the appearance of precision while making assessment difficult to apply consistently and obscuring the main educational objectives.</w:t>
      </w:r>
    </w:p>
    <w:p w14:paraId="60B525E7" w14:textId="1D9D24E8" w:rsidR="00AE36CA" w:rsidRDefault="00AE36CA" w:rsidP="002955C0">
      <w:pPr>
        <w:ind w:firstLine="720"/>
        <w:jc w:val="both"/>
        <w:rPr>
          <w:lang w:val="en-US"/>
        </w:rPr>
      </w:pPr>
      <w:r w:rsidRPr="00AE36CA">
        <w:rPr>
          <w:lang w:val="en-US"/>
        </w:rPr>
        <w:t xml:space="preserve">A further principle is that the weight assigned to each dimension should be task-dependent rather than predetermined. A recorded oral presentation, collaborative written document, digital poster, and online discussion do not generate the same type of evidence and should not be assessed through identical distributions of criteria. The weighting should follow the intended outcomes: if the principal objective is oral interaction, spoken language and communicative responsiveness should dominate; if the objective is academic writing, linguistic </w:t>
      </w:r>
      <w:r w:rsidR="00592063" w:rsidRPr="00AE36CA">
        <w:rPr>
          <w:lang w:val="en-US"/>
        </w:rPr>
        <w:t>organization</w:t>
      </w:r>
      <w:r w:rsidRPr="00AE36CA">
        <w:rPr>
          <w:lang w:val="en-US"/>
        </w:rPr>
        <w:t xml:space="preserve"> and content development should receive greater emphasis. Technical </w:t>
      </w:r>
      <w:r w:rsidRPr="00AE36CA">
        <w:rPr>
          <w:lang w:val="en-US"/>
        </w:rPr>
        <w:lastRenderedPageBreak/>
        <w:t>execution should acquire substantial weight only where the ability to communicate effectively through the digital medium is itself explicitly taught and expected.</w:t>
      </w:r>
    </w:p>
    <w:p w14:paraId="06389A49" w14:textId="6FF621C9" w:rsidR="009844F6" w:rsidRDefault="00AE36CA" w:rsidP="002955C0">
      <w:pPr>
        <w:ind w:firstLine="720"/>
        <w:jc w:val="both"/>
        <w:rPr>
          <w:lang w:val="en-US"/>
        </w:rPr>
      </w:pPr>
      <w:r w:rsidRPr="00AE36CA">
        <w:rPr>
          <w:lang w:val="en-US"/>
        </w:rPr>
        <w:t xml:space="preserve">The proposed framework can therefore be </w:t>
      </w:r>
      <w:r w:rsidR="00050527" w:rsidRPr="00AE36CA">
        <w:rPr>
          <w:lang w:val="en-US"/>
        </w:rPr>
        <w:t>summarized</w:t>
      </w:r>
      <w:r w:rsidRPr="00AE36CA">
        <w:rPr>
          <w:lang w:val="en-US"/>
        </w:rPr>
        <w:t xml:space="preserve"> through a sequence of pedagogical decisions: identify the intended learning outcomes; determine what learner performance will provide evidence of those outcomes; select the relevant assessment dimensions; define observable criteria; and assign their relative importance according to the purpose of the task. Such an approach prevents technology from becoming an additional source of assessment unrelated to the objectives of foreign-language learning. At the same time, it </w:t>
      </w:r>
      <w:r w:rsidR="00050527" w:rsidRPr="00AE36CA">
        <w:rPr>
          <w:lang w:val="en-US"/>
        </w:rPr>
        <w:t>recognizes</w:t>
      </w:r>
      <w:r w:rsidRPr="00AE36CA">
        <w:rPr>
          <w:lang w:val="en-US"/>
        </w:rPr>
        <w:t xml:space="preserve"> that digital environments can extend the ways in which linguistic and communicative competence is demonstrated. Balanced assessment does not require educators to disregard the digital characteristics of a task, but to evaluate them only insofar as they contribute to meaningful language use, successful communication, and the achievement of clearly defined educational outcomes.</w:t>
      </w:r>
    </w:p>
    <w:p w14:paraId="507B13C1" w14:textId="77777777" w:rsidR="00050527" w:rsidRPr="00AE36CA" w:rsidRDefault="00050527" w:rsidP="002955C0">
      <w:pPr>
        <w:ind w:firstLine="720"/>
        <w:jc w:val="both"/>
        <w:rPr>
          <w:lang w:val="en-US"/>
        </w:rPr>
      </w:pPr>
    </w:p>
    <w:p w14:paraId="47DB6EFA" w14:textId="3A16713E" w:rsidR="00592063" w:rsidRPr="00702A9B" w:rsidRDefault="00592063" w:rsidP="002955C0">
      <w:pPr>
        <w:jc w:val="both"/>
        <w:rPr>
          <w:b/>
          <w:bCs/>
        </w:rPr>
      </w:pPr>
      <w:r w:rsidRPr="00702A9B">
        <w:rPr>
          <w:b/>
          <w:bCs/>
          <w:lang w:val="en-US"/>
        </w:rPr>
        <w:t>References</w:t>
      </w:r>
      <w:r w:rsidR="00702A9B">
        <w:rPr>
          <w:b/>
          <w:bCs/>
        </w:rPr>
        <w:t>:</w:t>
      </w:r>
    </w:p>
    <w:p w14:paraId="483D40D1" w14:textId="77777777" w:rsidR="00592063" w:rsidRPr="00592063" w:rsidRDefault="00592063" w:rsidP="002955C0">
      <w:pPr>
        <w:jc w:val="both"/>
        <w:rPr>
          <w:lang w:val="en-US"/>
        </w:rPr>
      </w:pPr>
    </w:p>
    <w:p w14:paraId="36BE8918" w14:textId="6F16BF65" w:rsidR="00592063" w:rsidRPr="00592063" w:rsidRDefault="00592063" w:rsidP="002955C0">
      <w:pPr>
        <w:pStyle w:val="ListParagraph"/>
        <w:numPr>
          <w:ilvl w:val="0"/>
          <w:numId w:val="13"/>
        </w:numPr>
        <w:spacing w:line="240" w:lineRule="auto"/>
        <w:jc w:val="both"/>
        <w:rPr>
          <w:rFonts w:ascii="Times New Roman" w:hAnsi="Times New Roman" w:cs="Times New Roman"/>
          <w:sz w:val="28"/>
          <w:szCs w:val="28"/>
          <w:lang w:val="en-US"/>
        </w:rPr>
      </w:pPr>
      <w:r w:rsidRPr="00592063">
        <w:rPr>
          <w:rFonts w:ascii="Times New Roman" w:hAnsi="Times New Roman" w:cs="Times New Roman"/>
          <w:sz w:val="28"/>
          <w:szCs w:val="28"/>
          <w:lang w:val="en-US"/>
        </w:rPr>
        <w:t xml:space="preserve">Biggs, J., Tang, C., &amp; Kennedy, G. (2022). </w:t>
      </w:r>
      <w:r w:rsidRPr="00702A9B">
        <w:rPr>
          <w:rFonts w:ascii="Times New Roman" w:hAnsi="Times New Roman" w:cs="Times New Roman"/>
          <w:i/>
          <w:iCs/>
          <w:sz w:val="28"/>
          <w:szCs w:val="28"/>
          <w:lang w:val="en-US"/>
        </w:rPr>
        <w:t>Teaching for quality learning at university (5th ed.). Open University Press.</w:t>
      </w:r>
    </w:p>
    <w:p w14:paraId="3E6A3EC3" w14:textId="7FCCC672" w:rsidR="00592063" w:rsidRPr="00592063" w:rsidRDefault="00592063" w:rsidP="002955C0">
      <w:pPr>
        <w:pStyle w:val="ListParagraph"/>
        <w:numPr>
          <w:ilvl w:val="0"/>
          <w:numId w:val="13"/>
        </w:numPr>
        <w:spacing w:line="240" w:lineRule="auto"/>
        <w:jc w:val="both"/>
        <w:rPr>
          <w:rFonts w:ascii="Times New Roman" w:hAnsi="Times New Roman" w:cs="Times New Roman"/>
          <w:sz w:val="28"/>
          <w:szCs w:val="28"/>
          <w:lang w:val="en-US"/>
        </w:rPr>
      </w:pPr>
      <w:r w:rsidRPr="00592063">
        <w:rPr>
          <w:rFonts w:ascii="Times New Roman" w:hAnsi="Times New Roman" w:cs="Times New Roman"/>
          <w:sz w:val="28"/>
          <w:szCs w:val="28"/>
          <w:lang w:val="en-US"/>
        </w:rPr>
        <w:t xml:space="preserve">Chong, S. W., &amp; Reinders, H. (Eds.). (2023). </w:t>
      </w:r>
      <w:r w:rsidRPr="00702A9B">
        <w:rPr>
          <w:rFonts w:ascii="Times New Roman" w:hAnsi="Times New Roman" w:cs="Times New Roman"/>
          <w:i/>
          <w:iCs/>
          <w:sz w:val="28"/>
          <w:szCs w:val="28"/>
          <w:lang w:val="en-US"/>
        </w:rPr>
        <w:t xml:space="preserve">Innovation in learning-oriented language assessment. Palgrave Macmillan. </w:t>
      </w:r>
      <w:hyperlink r:id="rId5" w:history="1">
        <w:r w:rsidR="00702A9B" w:rsidRPr="00607A80">
          <w:rPr>
            <w:rStyle w:val="Hyperlink"/>
            <w:rFonts w:ascii="Times New Roman" w:hAnsi="Times New Roman" w:cs="Times New Roman"/>
            <w:sz w:val="28"/>
            <w:szCs w:val="28"/>
            <w:lang w:val="en-US"/>
          </w:rPr>
          <w:t>https://doi.org/10.1007/978-3-031-18950-0</w:t>
        </w:r>
      </w:hyperlink>
      <w:r w:rsidR="00702A9B">
        <w:rPr>
          <w:rFonts w:ascii="Times New Roman" w:hAnsi="Times New Roman" w:cs="Times New Roman"/>
          <w:sz w:val="28"/>
          <w:szCs w:val="28"/>
          <w:lang w:val="bg-BG"/>
        </w:rPr>
        <w:t xml:space="preserve"> </w:t>
      </w:r>
    </w:p>
    <w:p w14:paraId="67FF02E7" w14:textId="0F0528CC" w:rsidR="00592063" w:rsidRPr="00702A9B" w:rsidRDefault="00592063" w:rsidP="002955C0">
      <w:pPr>
        <w:pStyle w:val="ListParagraph"/>
        <w:numPr>
          <w:ilvl w:val="0"/>
          <w:numId w:val="13"/>
        </w:numPr>
        <w:spacing w:line="240" w:lineRule="auto"/>
        <w:jc w:val="both"/>
        <w:rPr>
          <w:rFonts w:ascii="Times New Roman" w:hAnsi="Times New Roman" w:cs="Times New Roman"/>
          <w:i/>
          <w:iCs/>
          <w:sz w:val="28"/>
          <w:szCs w:val="28"/>
          <w:lang w:val="en-US"/>
        </w:rPr>
      </w:pPr>
      <w:r w:rsidRPr="00592063">
        <w:rPr>
          <w:rFonts w:ascii="Times New Roman" w:hAnsi="Times New Roman" w:cs="Times New Roman"/>
          <w:sz w:val="28"/>
          <w:szCs w:val="28"/>
          <w:lang w:val="en-US"/>
        </w:rPr>
        <w:t xml:space="preserve">Council of Europe. (2020). </w:t>
      </w:r>
      <w:r w:rsidRPr="00702A9B">
        <w:rPr>
          <w:rFonts w:ascii="Times New Roman" w:hAnsi="Times New Roman" w:cs="Times New Roman"/>
          <w:i/>
          <w:iCs/>
          <w:sz w:val="28"/>
          <w:szCs w:val="28"/>
          <w:lang w:val="en-US"/>
        </w:rPr>
        <w:t>Common European framework of reference for languages: Learning, teaching, assessment – Companion volume. Council of Europe Publishing.</w:t>
      </w:r>
    </w:p>
    <w:p w14:paraId="740C0B62" w14:textId="0F288A8E" w:rsidR="00592063" w:rsidRPr="00592063" w:rsidRDefault="00592063" w:rsidP="002955C0">
      <w:pPr>
        <w:pStyle w:val="ListParagraph"/>
        <w:numPr>
          <w:ilvl w:val="0"/>
          <w:numId w:val="13"/>
        </w:numPr>
        <w:spacing w:line="240" w:lineRule="auto"/>
        <w:jc w:val="both"/>
        <w:rPr>
          <w:rFonts w:ascii="Times New Roman" w:hAnsi="Times New Roman" w:cs="Times New Roman"/>
          <w:sz w:val="28"/>
          <w:szCs w:val="28"/>
          <w:lang w:val="en-US"/>
        </w:rPr>
      </w:pPr>
      <w:r w:rsidRPr="00592063">
        <w:rPr>
          <w:rFonts w:ascii="Times New Roman" w:hAnsi="Times New Roman" w:cs="Times New Roman"/>
          <w:sz w:val="28"/>
          <w:szCs w:val="28"/>
          <w:lang w:val="en-US"/>
        </w:rPr>
        <w:t xml:space="preserve">Ellis, R. (2003). </w:t>
      </w:r>
      <w:r w:rsidRPr="00702A9B">
        <w:rPr>
          <w:rFonts w:ascii="Times New Roman" w:hAnsi="Times New Roman" w:cs="Times New Roman"/>
          <w:i/>
          <w:iCs/>
          <w:sz w:val="28"/>
          <w:szCs w:val="28"/>
          <w:lang w:val="en-US"/>
        </w:rPr>
        <w:t>Task-based language learning and teaching. Oxford University Press.</w:t>
      </w:r>
    </w:p>
    <w:p w14:paraId="449A3FAC" w14:textId="622E7057" w:rsidR="00592063" w:rsidRPr="00592063" w:rsidRDefault="00592063" w:rsidP="002955C0">
      <w:pPr>
        <w:pStyle w:val="ListParagraph"/>
        <w:numPr>
          <w:ilvl w:val="0"/>
          <w:numId w:val="13"/>
        </w:numPr>
        <w:spacing w:line="240" w:lineRule="auto"/>
        <w:jc w:val="both"/>
        <w:rPr>
          <w:rFonts w:ascii="Times New Roman" w:hAnsi="Times New Roman" w:cs="Times New Roman"/>
          <w:sz w:val="28"/>
          <w:szCs w:val="28"/>
          <w:lang w:val="en-US"/>
        </w:rPr>
      </w:pPr>
      <w:proofErr w:type="spellStart"/>
      <w:r w:rsidRPr="00592063">
        <w:rPr>
          <w:rFonts w:ascii="Times New Roman" w:hAnsi="Times New Roman" w:cs="Times New Roman"/>
          <w:sz w:val="28"/>
          <w:szCs w:val="28"/>
          <w:lang w:val="en-US"/>
        </w:rPr>
        <w:t>Gebril</w:t>
      </w:r>
      <w:proofErr w:type="spellEnd"/>
      <w:r w:rsidRPr="00592063">
        <w:rPr>
          <w:rFonts w:ascii="Times New Roman" w:hAnsi="Times New Roman" w:cs="Times New Roman"/>
          <w:sz w:val="28"/>
          <w:szCs w:val="28"/>
          <w:lang w:val="en-US"/>
        </w:rPr>
        <w:t xml:space="preserve">, A. (Ed.). (2021). </w:t>
      </w:r>
      <w:r w:rsidRPr="00702A9B">
        <w:rPr>
          <w:rFonts w:ascii="Times New Roman" w:hAnsi="Times New Roman" w:cs="Times New Roman"/>
          <w:i/>
          <w:iCs/>
          <w:sz w:val="28"/>
          <w:szCs w:val="28"/>
          <w:lang w:val="en-US"/>
        </w:rPr>
        <w:t>Learning-oriented language assessment: Putting theory into practice. Routledge.</w:t>
      </w:r>
    </w:p>
    <w:p w14:paraId="728E382D" w14:textId="27377812" w:rsidR="00592063" w:rsidRPr="00592063" w:rsidRDefault="00592063" w:rsidP="002955C0">
      <w:pPr>
        <w:pStyle w:val="ListParagraph"/>
        <w:numPr>
          <w:ilvl w:val="0"/>
          <w:numId w:val="13"/>
        </w:numPr>
        <w:spacing w:line="240" w:lineRule="auto"/>
        <w:jc w:val="both"/>
        <w:rPr>
          <w:rFonts w:ascii="Times New Roman" w:hAnsi="Times New Roman" w:cs="Times New Roman"/>
          <w:sz w:val="28"/>
          <w:szCs w:val="28"/>
          <w:lang w:val="en-US"/>
        </w:rPr>
      </w:pPr>
      <w:r w:rsidRPr="00592063">
        <w:rPr>
          <w:rFonts w:ascii="Times New Roman" w:hAnsi="Times New Roman" w:cs="Times New Roman"/>
          <w:sz w:val="28"/>
          <w:szCs w:val="28"/>
          <w:lang w:val="de-AT"/>
        </w:rPr>
        <w:t xml:space="preserve">Hafner, C. A., &amp; Ho, W. Y. J. (2020). </w:t>
      </w:r>
      <w:r w:rsidRPr="00702A9B">
        <w:rPr>
          <w:rFonts w:ascii="Times New Roman" w:hAnsi="Times New Roman" w:cs="Times New Roman"/>
          <w:i/>
          <w:iCs/>
          <w:sz w:val="28"/>
          <w:szCs w:val="28"/>
          <w:lang w:val="en-US"/>
        </w:rPr>
        <w:t>Assessing digital multimodal composing in second language writing: Towards a process-based model. Journal of Second Language Writing, 47, 100710</w:t>
      </w:r>
      <w:r w:rsidRPr="00592063">
        <w:rPr>
          <w:rFonts w:ascii="Times New Roman" w:hAnsi="Times New Roman" w:cs="Times New Roman"/>
          <w:sz w:val="28"/>
          <w:szCs w:val="28"/>
          <w:lang w:val="en-US"/>
        </w:rPr>
        <w:t xml:space="preserve">. </w:t>
      </w:r>
      <w:hyperlink r:id="rId6" w:history="1">
        <w:r w:rsidR="00702A9B" w:rsidRPr="00607A80">
          <w:rPr>
            <w:rStyle w:val="Hyperlink"/>
            <w:rFonts w:ascii="Times New Roman" w:hAnsi="Times New Roman" w:cs="Times New Roman"/>
            <w:sz w:val="28"/>
            <w:szCs w:val="28"/>
            <w:lang w:val="en-US"/>
          </w:rPr>
          <w:t>https://doi.org/10.1016/j.jslw.2020.100710</w:t>
        </w:r>
      </w:hyperlink>
      <w:r w:rsidR="00702A9B">
        <w:rPr>
          <w:rFonts w:ascii="Times New Roman" w:hAnsi="Times New Roman" w:cs="Times New Roman"/>
          <w:sz w:val="28"/>
          <w:szCs w:val="28"/>
          <w:lang w:val="bg-BG"/>
        </w:rPr>
        <w:t xml:space="preserve"> </w:t>
      </w:r>
    </w:p>
    <w:p w14:paraId="155F152F" w14:textId="32689440" w:rsidR="00592063" w:rsidRPr="00592063" w:rsidRDefault="00592063" w:rsidP="002955C0">
      <w:pPr>
        <w:pStyle w:val="ListParagraph"/>
        <w:numPr>
          <w:ilvl w:val="0"/>
          <w:numId w:val="13"/>
        </w:numPr>
        <w:spacing w:line="240" w:lineRule="auto"/>
        <w:jc w:val="both"/>
        <w:rPr>
          <w:rFonts w:ascii="Times New Roman" w:hAnsi="Times New Roman" w:cs="Times New Roman"/>
          <w:sz w:val="28"/>
          <w:szCs w:val="28"/>
          <w:lang w:val="en-US"/>
        </w:rPr>
      </w:pPr>
      <w:r w:rsidRPr="00592063">
        <w:rPr>
          <w:rFonts w:ascii="Times New Roman" w:hAnsi="Times New Roman" w:cs="Times New Roman"/>
          <w:sz w:val="28"/>
          <w:szCs w:val="28"/>
          <w:lang w:val="de-AT"/>
        </w:rPr>
        <w:t xml:space="preserve">Jiang, L., &amp; Hafner, C. A. (2025). </w:t>
      </w:r>
      <w:r w:rsidRPr="00702A9B">
        <w:rPr>
          <w:rFonts w:ascii="Times New Roman" w:hAnsi="Times New Roman" w:cs="Times New Roman"/>
          <w:i/>
          <w:iCs/>
          <w:sz w:val="28"/>
          <w:szCs w:val="28"/>
          <w:lang w:val="en-US"/>
        </w:rPr>
        <w:t>Digital multimodal composing in L2 classrooms: A research agenda. Language Teaching, 58(4), 528–546.</w:t>
      </w:r>
      <w:r w:rsidRPr="00592063">
        <w:rPr>
          <w:rFonts w:ascii="Times New Roman" w:hAnsi="Times New Roman" w:cs="Times New Roman"/>
          <w:sz w:val="28"/>
          <w:szCs w:val="28"/>
          <w:lang w:val="en-US"/>
        </w:rPr>
        <w:t xml:space="preserve"> </w:t>
      </w:r>
      <w:hyperlink r:id="rId7" w:history="1">
        <w:r w:rsidR="00702A9B" w:rsidRPr="00607A80">
          <w:rPr>
            <w:rStyle w:val="Hyperlink"/>
            <w:rFonts w:ascii="Times New Roman" w:hAnsi="Times New Roman" w:cs="Times New Roman"/>
            <w:sz w:val="28"/>
            <w:szCs w:val="28"/>
            <w:lang w:val="en-US"/>
          </w:rPr>
          <w:t>https://doi.org/10.1017/S0261444824000107</w:t>
        </w:r>
      </w:hyperlink>
      <w:r w:rsidR="00702A9B">
        <w:rPr>
          <w:rFonts w:ascii="Times New Roman" w:hAnsi="Times New Roman" w:cs="Times New Roman"/>
          <w:sz w:val="28"/>
          <w:szCs w:val="28"/>
          <w:lang w:val="bg-BG"/>
        </w:rPr>
        <w:t xml:space="preserve"> </w:t>
      </w:r>
    </w:p>
    <w:p w14:paraId="06178579" w14:textId="454B1242" w:rsidR="00592063" w:rsidRPr="00592063" w:rsidRDefault="00592063" w:rsidP="002955C0">
      <w:pPr>
        <w:pStyle w:val="ListParagraph"/>
        <w:numPr>
          <w:ilvl w:val="0"/>
          <w:numId w:val="13"/>
        </w:numPr>
        <w:spacing w:line="240" w:lineRule="auto"/>
        <w:jc w:val="both"/>
        <w:rPr>
          <w:rFonts w:ascii="Times New Roman" w:hAnsi="Times New Roman" w:cs="Times New Roman"/>
          <w:sz w:val="28"/>
          <w:szCs w:val="28"/>
          <w:lang w:val="en-US"/>
        </w:rPr>
      </w:pPr>
      <w:r w:rsidRPr="00592063">
        <w:rPr>
          <w:rFonts w:ascii="Times New Roman" w:hAnsi="Times New Roman" w:cs="Times New Roman"/>
          <w:sz w:val="28"/>
          <w:szCs w:val="28"/>
          <w:lang w:val="de-AT"/>
        </w:rPr>
        <w:t xml:space="preserve">Jiang, L., </w:t>
      </w:r>
      <w:proofErr w:type="spellStart"/>
      <w:r w:rsidRPr="00592063">
        <w:rPr>
          <w:rFonts w:ascii="Times New Roman" w:hAnsi="Times New Roman" w:cs="Times New Roman"/>
          <w:sz w:val="28"/>
          <w:szCs w:val="28"/>
          <w:lang w:val="de-AT"/>
        </w:rPr>
        <w:t>Yu</w:t>
      </w:r>
      <w:proofErr w:type="spellEnd"/>
      <w:r w:rsidRPr="00592063">
        <w:rPr>
          <w:rFonts w:ascii="Times New Roman" w:hAnsi="Times New Roman" w:cs="Times New Roman"/>
          <w:sz w:val="28"/>
          <w:szCs w:val="28"/>
          <w:lang w:val="de-AT"/>
        </w:rPr>
        <w:t xml:space="preserve">, S., &amp; Lee, I. (2022). </w:t>
      </w:r>
      <w:r w:rsidRPr="00702A9B">
        <w:rPr>
          <w:rFonts w:ascii="Times New Roman" w:hAnsi="Times New Roman" w:cs="Times New Roman"/>
          <w:i/>
          <w:iCs/>
          <w:sz w:val="28"/>
          <w:szCs w:val="28"/>
          <w:lang w:val="en-US"/>
        </w:rPr>
        <w:t>Developing a genre-based model for assessing digital multimodal composing in second language writing: Integrating theory with practice. Journal of Second Language Writing, 57, 100869.</w:t>
      </w:r>
      <w:r w:rsidRPr="00592063">
        <w:rPr>
          <w:rFonts w:ascii="Times New Roman" w:hAnsi="Times New Roman" w:cs="Times New Roman"/>
          <w:sz w:val="28"/>
          <w:szCs w:val="28"/>
          <w:lang w:val="en-US"/>
        </w:rPr>
        <w:t xml:space="preserve"> </w:t>
      </w:r>
      <w:hyperlink r:id="rId8" w:history="1">
        <w:r w:rsidR="00702A9B" w:rsidRPr="00607A80">
          <w:rPr>
            <w:rStyle w:val="Hyperlink"/>
            <w:rFonts w:ascii="Times New Roman" w:hAnsi="Times New Roman" w:cs="Times New Roman"/>
            <w:sz w:val="28"/>
            <w:szCs w:val="28"/>
            <w:lang w:val="en-US"/>
          </w:rPr>
          <w:t>https://doi.org/10.1016/j.jslw.2022.100869</w:t>
        </w:r>
      </w:hyperlink>
      <w:r w:rsidR="00702A9B">
        <w:rPr>
          <w:rFonts w:ascii="Times New Roman" w:hAnsi="Times New Roman" w:cs="Times New Roman"/>
          <w:sz w:val="28"/>
          <w:szCs w:val="28"/>
          <w:lang w:val="bg-BG"/>
        </w:rPr>
        <w:t xml:space="preserve"> </w:t>
      </w:r>
    </w:p>
    <w:p w14:paraId="6B96EAF9" w14:textId="646ED04E" w:rsidR="00592063" w:rsidRPr="00592063" w:rsidRDefault="00592063" w:rsidP="002955C0">
      <w:pPr>
        <w:pStyle w:val="ListParagraph"/>
        <w:numPr>
          <w:ilvl w:val="0"/>
          <w:numId w:val="13"/>
        </w:numPr>
        <w:spacing w:line="240" w:lineRule="auto"/>
        <w:jc w:val="both"/>
        <w:rPr>
          <w:rFonts w:ascii="Times New Roman" w:hAnsi="Times New Roman" w:cs="Times New Roman"/>
          <w:sz w:val="28"/>
          <w:szCs w:val="28"/>
          <w:lang w:val="en-US"/>
        </w:rPr>
      </w:pPr>
      <w:r w:rsidRPr="00592063">
        <w:rPr>
          <w:rFonts w:ascii="Times New Roman" w:hAnsi="Times New Roman" w:cs="Times New Roman"/>
          <w:sz w:val="28"/>
          <w:szCs w:val="28"/>
          <w:lang w:val="en-US"/>
        </w:rPr>
        <w:t xml:space="preserve">Rahmati, T., &amp; </w:t>
      </w:r>
      <w:proofErr w:type="spellStart"/>
      <w:r w:rsidRPr="00592063">
        <w:rPr>
          <w:rFonts w:ascii="Times New Roman" w:hAnsi="Times New Roman" w:cs="Times New Roman"/>
          <w:sz w:val="28"/>
          <w:szCs w:val="28"/>
          <w:lang w:val="en-US"/>
        </w:rPr>
        <w:t>Nushi</w:t>
      </w:r>
      <w:proofErr w:type="spellEnd"/>
      <w:r w:rsidRPr="00592063">
        <w:rPr>
          <w:rFonts w:ascii="Times New Roman" w:hAnsi="Times New Roman" w:cs="Times New Roman"/>
          <w:sz w:val="28"/>
          <w:szCs w:val="28"/>
          <w:lang w:val="en-US"/>
        </w:rPr>
        <w:t xml:space="preserve">, M. (2023). </w:t>
      </w:r>
      <w:r w:rsidRPr="00702A9B">
        <w:rPr>
          <w:rFonts w:ascii="Times New Roman" w:hAnsi="Times New Roman" w:cs="Times New Roman"/>
          <w:i/>
          <w:iCs/>
          <w:sz w:val="28"/>
          <w:szCs w:val="28"/>
          <w:lang w:val="en-US"/>
        </w:rPr>
        <w:t xml:space="preserve">EFL teachers’ knowledge, beliefs, and practices regarding fairness and justice in technology-enhanced classroom assessment: A </w:t>
      </w:r>
      <w:proofErr w:type="spellStart"/>
      <w:r w:rsidRPr="00702A9B">
        <w:rPr>
          <w:rFonts w:ascii="Times New Roman" w:hAnsi="Times New Roman" w:cs="Times New Roman"/>
          <w:i/>
          <w:iCs/>
          <w:sz w:val="28"/>
          <w:szCs w:val="28"/>
          <w:lang w:val="en-US"/>
        </w:rPr>
        <w:t>duoethnography</w:t>
      </w:r>
      <w:proofErr w:type="spellEnd"/>
      <w:r w:rsidRPr="00702A9B">
        <w:rPr>
          <w:rFonts w:ascii="Times New Roman" w:hAnsi="Times New Roman" w:cs="Times New Roman"/>
          <w:i/>
          <w:iCs/>
          <w:sz w:val="28"/>
          <w:szCs w:val="28"/>
          <w:lang w:val="en-US"/>
        </w:rPr>
        <w:t>. Iranian Journal of Language Teaching Research,</w:t>
      </w:r>
      <w:r w:rsidRPr="00592063">
        <w:rPr>
          <w:rFonts w:ascii="Times New Roman" w:hAnsi="Times New Roman" w:cs="Times New Roman"/>
          <w:sz w:val="28"/>
          <w:szCs w:val="28"/>
          <w:lang w:val="en-US"/>
        </w:rPr>
        <w:t xml:space="preserve"> 11(3), 31–52. </w:t>
      </w:r>
      <w:hyperlink r:id="rId9" w:history="1">
        <w:r w:rsidR="00702A9B" w:rsidRPr="00607A80">
          <w:rPr>
            <w:rStyle w:val="Hyperlink"/>
            <w:rFonts w:ascii="Times New Roman" w:hAnsi="Times New Roman" w:cs="Times New Roman"/>
            <w:sz w:val="28"/>
            <w:szCs w:val="28"/>
            <w:lang w:val="en-US"/>
          </w:rPr>
          <w:t>https://doi.org/10.30466/ijltr.2023.121405</w:t>
        </w:r>
      </w:hyperlink>
      <w:r w:rsidR="00702A9B">
        <w:rPr>
          <w:rFonts w:ascii="Times New Roman" w:hAnsi="Times New Roman" w:cs="Times New Roman"/>
          <w:sz w:val="28"/>
          <w:szCs w:val="28"/>
          <w:lang w:val="bg-BG"/>
        </w:rPr>
        <w:t xml:space="preserve"> </w:t>
      </w:r>
    </w:p>
    <w:p w14:paraId="6DC977EF" w14:textId="33D45DE3" w:rsidR="00592063" w:rsidRPr="00592063" w:rsidRDefault="00592063" w:rsidP="002955C0">
      <w:pPr>
        <w:pStyle w:val="ListParagraph"/>
        <w:numPr>
          <w:ilvl w:val="0"/>
          <w:numId w:val="13"/>
        </w:numPr>
        <w:spacing w:line="240" w:lineRule="auto"/>
        <w:jc w:val="both"/>
        <w:rPr>
          <w:rFonts w:ascii="Times New Roman" w:hAnsi="Times New Roman" w:cs="Times New Roman"/>
          <w:sz w:val="28"/>
          <w:szCs w:val="28"/>
          <w:lang w:val="en-US"/>
        </w:rPr>
      </w:pPr>
      <w:r w:rsidRPr="00592063">
        <w:rPr>
          <w:rFonts w:ascii="Times New Roman" w:hAnsi="Times New Roman" w:cs="Times New Roman"/>
          <w:sz w:val="28"/>
          <w:szCs w:val="28"/>
          <w:lang w:val="en-US"/>
        </w:rPr>
        <w:lastRenderedPageBreak/>
        <w:t>Smith, B., &amp; González-</w:t>
      </w:r>
      <w:proofErr w:type="spellStart"/>
      <w:r w:rsidRPr="00592063">
        <w:rPr>
          <w:rFonts w:ascii="Times New Roman" w:hAnsi="Times New Roman" w:cs="Times New Roman"/>
          <w:sz w:val="28"/>
          <w:szCs w:val="28"/>
          <w:lang w:val="en-US"/>
        </w:rPr>
        <w:t>Lloret</w:t>
      </w:r>
      <w:proofErr w:type="spellEnd"/>
      <w:r w:rsidRPr="00592063">
        <w:rPr>
          <w:rFonts w:ascii="Times New Roman" w:hAnsi="Times New Roman" w:cs="Times New Roman"/>
          <w:sz w:val="28"/>
          <w:szCs w:val="28"/>
          <w:lang w:val="en-US"/>
        </w:rPr>
        <w:t xml:space="preserve">, M. (2021). </w:t>
      </w:r>
      <w:r w:rsidRPr="00702A9B">
        <w:rPr>
          <w:rFonts w:ascii="Times New Roman" w:hAnsi="Times New Roman" w:cs="Times New Roman"/>
          <w:i/>
          <w:iCs/>
          <w:sz w:val="28"/>
          <w:szCs w:val="28"/>
          <w:lang w:val="en-US"/>
        </w:rPr>
        <w:t>Technology-mediated task-based language teaching: A research agenda. Language Teaching, 54(4),</w:t>
      </w:r>
      <w:r w:rsidRPr="00592063">
        <w:rPr>
          <w:rFonts w:ascii="Times New Roman" w:hAnsi="Times New Roman" w:cs="Times New Roman"/>
          <w:sz w:val="28"/>
          <w:szCs w:val="28"/>
          <w:lang w:val="en-US"/>
        </w:rPr>
        <w:t xml:space="preserve"> 518–534. </w:t>
      </w:r>
      <w:hyperlink r:id="rId10" w:history="1">
        <w:r w:rsidR="00702A9B" w:rsidRPr="00607A80">
          <w:rPr>
            <w:rStyle w:val="Hyperlink"/>
            <w:rFonts w:ascii="Times New Roman" w:hAnsi="Times New Roman" w:cs="Times New Roman"/>
            <w:sz w:val="28"/>
            <w:szCs w:val="28"/>
            <w:lang w:val="en-US"/>
          </w:rPr>
          <w:t>https://doi.org/10.1017/S0261444820000233</w:t>
        </w:r>
      </w:hyperlink>
      <w:r w:rsidR="00702A9B">
        <w:rPr>
          <w:rFonts w:ascii="Times New Roman" w:hAnsi="Times New Roman" w:cs="Times New Roman"/>
          <w:sz w:val="28"/>
          <w:szCs w:val="28"/>
          <w:lang w:val="bg-BG"/>
        </w:rPr>
        <w:t xml:space="preserve"> </w:t>
      </w:r>
    </w:p>
    <w:p w14:paraId="0903F375" w14:textId="587DF1EB" w:rsidR="009844F6" w:rsidRPr="002955C0" w:rsidRDefault="00592063" w:rsidP="002955C0">
      <w:pPr>
        <w:pStyle w:val="ListParagraph"/>
        <w:numPr>
          <w:ilvl w:val="0"/>
          <w:numId w:val="13"/>
        </w:numPr>
        <w:spacing w:line="240" w:lineRule="auto"/>
        <w:jc w:val="both"/>
        <w:rPr>
          <w:rFonts w:ascii="Times New Roman" w:hAnsi="Times New Roman" w:cs="Times New Roman"/>
          <w:sz w:val="28"/>
          <w:szCs w:val="28"/>
          <w:lang w:val="en-US"/>
        </w:rPr>
      </w:pPr>
      <w:r w:rsidRPr="00592063">
        <w:rPr>
          <w:rFonts w:ascii="Times New Roman" w:hAnsi="Times New Roman" w:cs="Times New Roman"/>
          <w:sz w:val="28"/>
          <w:szCs w:val="28"/>
          <w:lang w:val="de-AT"/>
        </w:rPr>
        <w:t xml:space="preserve">Zhang, M., </w:t>
      </w:r>
      <w:proofErr w:type="spellStart"/>
      <w:r w:rsidRPr="00592063">
        <w:rPr>
          <w:rFonts w:ascii="Times New Roman" w:hAnsi="Times New Roman" w:cs="Times New Roman"/>
          <w:sz w:val="28"/>
          <w:szCs w:val="28"/>
          <w:lang w:val="de-AT"/>
        </w:rPr>
        <w:t>Akoto</w:t>
      </w:r>
      <w:proofErr w:type="spellEnd"/>
      <w:r w:rsidRPr="00592063">
        <w:rPr>
          <w:rFonts w:ascii="Times New Roman" w:hAnsi="Times New Roman" w:cs="Times New Roman"/>
          <w:sz w:val="28"/>
          <w:szCs w:val="28"/>
          <w:lang w:val="de-AT"/>
        </w:rPr>
        <w:t xml:space="preserve">, M., &amp; Li, M. (2023). </w:t>
      </w:r>
      <w:r w:rsidRPr="00702A9B">
        <w:rPr>
          <w:rFonts w:ascii="Times New Roman" w:hAnsi="Times New Roman" w:cs="Times New Roman"/>
          <w:i/>
          <w:iCs/>
          <w:sz w:val="28"/>
          <w:szCs w:val="28"/>
          <w:lang w:val="en-US"/>
        </w:rPr>
        <w:t>Digital multimodal composing in post-secondary L2 settings: A review of the empirical landscape. Computer Assisted Language Learning, 36(4), 694–721</w:t>
      </w:r>
      <w:r w:rsidRPr="00592063">
        <w:rPr>
          <w:rFonts w:ascii="Times New Roman" w:hAnsi="Times New Roman" w:cs="Times New Roman"/>
          <w:sz w:val="28"/>
          <w:szCs w:val="28"/>
          <w:lang w:val="en-US"/>
        </w:rPr>
        <w:t xml:space="preserve">. </w:t>
      </w:r>
      <w:hyperlink r:id="rId11" w:history="1">
        <w:r w:rsidR="00702A9B" w:rsidRPr="00607A80">
          <w:rPr>
            <w:rStyle w:val="Hyperlink"/>
            <w:rFonts w:ascii="Times New Roman" w:hAnsi="Times New Roman" w:cs="Times New Roman"/>
            <w:sz w:val="28"/>
            <w:szCs w:val="28"/>
            <w:lang w:val="en-US"/>
          </w:rPr>
          <w:t>https://doi.org/10.1080/09588221.2021.1942068</w:t>
        </w:r>
      </w:hyperlink>
      <w:r w:rsidR="00702A9B">
        <w:rPr>
          <w:rFonts w:ascii="Times New Roman" w:hAnsi="Times New Roman" w:cs="Times New Roman"/>
          <w:sz w:val="28"/>
          <w:szCs w:val="28"/>
          <w:lang w:val="bg-BG"/>
        </w:rPr>
        <w:t xml:space="preserve"> </w:t>
      </w:r>
    </w:p>
    <w:p w14:paraId="5706D6B4" w14:textId="77777777" w:rsidR="002955C0" w:rsidRDefault="002955C0" w:rsidP="002955C0">
      <w:pPr>
        <w:jc w:val="both"/>
        <w:rPr>
          <w:i/>
          <w:iCs/>
          <w:sz w:val="24"/>
          <w:lang w:val="en-US"/>
        </w:rPr>
      </w:pPr>
    </w:p>
    <w:p w14:paraId="4A3AD961" w14:textId="0E1F04C6" w:rsidR="002955C0" w:rsidRDefault="002955C0" w:rsidP="002955C0">
      <w:pPr>
        <w:jc w:val="both"/>
        <w:rPr>
          <w:i/>
          <w:iCs/>
          <w:sz w:val="24"/>
        </w:rPr>
      </w:pPr>
      <w:r>
        <w:rPr>
          <w:i/>
          <w:iCs/>
          <w:sz w:val="24"/>
          <w:lang w:val="en-US"/>
        </w:rPr>
        <w:t>Svetoslav</w:t>
      </w:r>
      <w:r>
        <w:rPr>
          <w:i/>
          <w:iCs/>
          <w:sz w:val="24"/>
        </w:rPr>
        <w:t xml:space="preserve"> </w:t>
      </w:r>
      <w:r>
        <w:rPr>
          <w:i/>
          <w:iCs/>
          <w:sz w:val="24"/>
          <w:lang w:val="en-US"/>
        </w:rPr>
        <w:t>Danielov</w:t>
      </w:r>
      <w:r>
        <w:rPr>
          <w:i/>
          <w:iCs/>
          <w:sz w:val="24"/>
        </w:rPr>
        <w:t xml:space="preserve"> </w:t>
      </w:r>
      <w:r>
        <w:rPr>
          <w:i/>
          <w:iCs/>
          <w:sz w:val="24"/>
          <w:lang w:val="en-US"/>
        </w:rPr>
        <w:t>Berchev, PhD</w:t>
      </w:r>
    </w:p>
    <w:p w14:paraId="4EB24ABC" w14:textId="77777777" w:rsidR="002955C0" w:rsidRDefault="002955C0" w:rsidP="002955C0">
      <w:pPr>
        <w:jc w:val="both"/>
        <w:rPr>
          <w:i/>
          <w:iCs/>
          <w:sz w:val="24"/>
        </w:rPr>
      </w:pPr>
      <w:r>
        <w:rPr>
          <w:i/>
          <w:iCs/>
          <w:sz w:val="24"/>
        </w:rPr>
        <w:t>“</w:t>
      </w:r>
      <w:r>
        <w:rPr>
          <w:i/>
          <w:iCs/>
          <w:sz w:val="24"/>
          <w:lang w:val="en-US"/>
        </w:rPr>
        <w:t>Vasil</w:t>
      </w:r>
      <w:r>
        <w:rPr>
          <w:i/>
          <w:iCs/>
          <w:sz w:val="24"/>
        </w:rPr>
        <w:t xml:space="preserve"> </w:t>
      </w:r>
      <w:proofErr w:type="spellStart"/>
      <w:r>
        <w:rPr>
          <w:i/>
          <w:iCs/>
          <w:sz w:val="24"/>
          <w:lang w:val="en-US"/>
        </w:rPr>
        <w:t>Levski</w:t>
      </w:r>
      <w:proofErr w:type="spellEnd"/>
      <w:r>
        <w:rPr>
          <w:i/>
          <w:iCs/>
          <w:sz w:val="24"/>
        </w:rPr>
        <w:t>”</w:t>
      </w:r>
      <w:r>
        <w:rPr>
          <w:i/>
          <w:iCs/>
          <w:sz w:val="24"/>
          <w:lang w:val="en-US"/>
        </w:rPr>
        <w:t>National</w:t>
      </w:r>
      <w:r>
        <w:rPr>
          <w:i/>
          <w:iCs/>
          <w:sz w:val="24"/>
        </w:rPr>
        <w:t xml:space="preserve"> </w:t>
      </w:r>
      <w:r>
        <w:rPr>
          <w:i/>
          <w:iCs/>
          <w:sz w:val="24"/>
          <w:lang w:val="en-US"/>
        </w:rPr>
        <w:t>Military</w:t>
      </w:r>
      <w:r>
        <w:rPr>
          <w:i/>
          <w:iCs/>
          <w:sz w:val="24"/>
        </w:rPr>
        <w:t xml:space="preserve"> </w:t>
      </w:r>
      <w:r>
        <w:rPr>
          <w:i/>
          <w:iCs/>
          <w:sz w:val="24"/>
          <w:lang w:val="en-US"/>
        </w:rPr>
        <w:t>University</w:t>
      </w:r>
    </w:p>
    <w:p w14:paraId="72B6B775" w14:textId="3092575A" w:rsidR="002955C0" w:rsidRPr="002955C0" w:rsidRDefault="002955C0" w:rsidP="002955C0">
      <w:pPr>
        <w:jc w:val="both"/>
        <w:rPr>
          <w:szCs w:val="28"/>
          <w:lang w:val="en-US"/>
        </w:rPr>
      </w:pPr>
      <w:r>
        <w:rPr>
          <w:i/>
          <w:iCs/>
          <w:sz w:val="24"/>
        </w:rPr>
        <w:t xml:space="preserve">+359889552666, </w:t>
      </w:r>
      <w:proofErr w:type="spellStart"/>
      <w:r>
        <w:rPr>
          <w:i/>
          <w:iCs/>
          <w:sz w:val="24"/>
          <w:lang w:val="en-US"/>
        </w:rPr>
        <w:t>svetoslavberchev</w:t>
      </w:r>
      <w:proofErr w:type="spellEnd"/>
      <w:r>
        <w:rPr>
          <w:i/>
          <w:iCs/>
          <w:sz w:val="24"/>
        </w:rPr>
        <w:t>@</w:t>
      </w:r>
      <w:r>
        <w:rPr>
          <w:i/>
          <w:iCs/>
          <w:sz w:val="24"/>
          <w:lang w:val="en-US"/>
        </w:rPr>
        <w:t>yahoo</w:t>
      </w:r>
      <w:r>
        <w:rPr>
          <w:i/>
          <w:iCs/>
          <w:sz w:val="24"/>
        </w:rPr>
        <w:t>.</w:t>
      </w:r>
      <w:r>
        <w:rPr>
          <w:i/>
          <w:iCs/>
          <w:sz w:val="24"/>
          <w:lang w:val="en-US"/>
        </w:rPr>
        <w:t>com</w:t>
      </w:r>
    </w:p>
    <w:sectPr w:rsidR="002955C0" w:rsidRPr="002955C0" w:rsidSect="00950C12">
      <w:pgSz w:w="11906" w:h="16838" w:code="9"/>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00561"/>
    <w:multiLevelType w:val="multilevel"/>
    <w:tmpl w:val="2BB07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DD5E2D"/>
    <w:multiLevelType w:val="multilevel"/>
    <w:tmpl w:val="64709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840770"/>
    <w:multiLevelType w:val="multilevel"/>
    <w:tmpl w:val="EC588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B923D5"/>
    <w:multiLevelType w:val="multilevel"/>
    <w:tmpl w:val="C2166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6D2731"/>
    <w:multiLevelType w:val="multilevel"/>
    <w:tmpl w:val="64EC1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350E47"/>
    <w:multiLevelType w:val="multilevel"/>
    <w:tmpl w:val="CC86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4825E9"/>
    <w:multiLevelType w:val="multilevel"/>
    <w:tmpl w:val="3E546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E25A6D"/>
    <w:multiLevelType w:val="multilevel"/>
    <w:tmpl w:val="83EEC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F96E99"/>
    <w:multiLevelType w:val="multilevel"/>
    <w:tmpl w:val="4C526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2B5797"/>
    <w:multiLevelType w:val="multilevel"/>
    <w:tmpl w:val="14A8F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BC0219B"/>
    <w:multiLevelType w:val="multilevel"/>
    <w:tmpl w:val="D1C4C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F3196E"/>
    <w:multiLevelType w:val="multilevel"/>
    <w:tmpl w:val="92F8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D30FA3"/>
    <w:multiLevelType w:val="hybridMultilevel"/>
    <w:tmpl w:val="27D69856"/>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num w:numId="1">
    <w:abstractNumId w:val="4"/>
  </w:num>
  <w:num w:numId="2">
    <w:abstractNumId w:val="3"/>
  </w:num>
  <w:num w:numId="3">
    <w:abstractNumId w:val="2"/>
  </w:num>
  <w:num w:numId="4">
    <w:abstractNumId w:val="6"/>
  </w:num>
  <w:num w:numId="5">
    <w:abstractNumId w:val="8"/>
  </w:num>
  <w:num w:numId="6">
    <w:abstractNumId w:val="5"/>
  </w:num>
  <w:num w:numId="7">
    <w:abstractNumId w:val="10"/>
  </w:num>
  <w:num w:numId="8">
    <w:abstractNumId w:val="0"/>
  </w:num>
  <w:num w:numId="9">
    <w:abstractNumId w:val="11"/>
  </w:num>
  <w:num w:numId="10">
    <w:abstractNumId w:val="1"/>
  </w:num>
  <w:num w:numId="11">
    <w:abstractNumId w:val="9"/>
  </w:num>
  <w:num w:numId="12">
    <w:abstractNumId w:val="7"/>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389"/>
    <w:rsid w:val="00050527"/>
    <w:rsid w:val="000844B6"/>
    <w:rsid w:val="00113BF4"/>
    <w:rsid w:val="00263858"/>
    <w:rsid w:val="002955C0"/>
    <w:rsid w:val="00442123"/>
    <w:rsid w:val="004B2F21"/>
    <w:rsid w:val="00592063"/>
    <w:rsid w:val="006041F5"/>
    <w:rsid w:val="00702608"/>
    <w:rsid w:val="00702A9B"/>
    <w:rsid w:val="00734973"/>
    <w:rsid w:val="00950C12"/>
    <w:rsid w:val="009844F6"/>
    <w:rsid w:val="00997A0C"/>
    <w:rsid w:val="00A85F59"/>
    <w:rsid w:val="00AE36CA"/>
    <w:rsid w:val="00CA4EED"/>
    <w:rsid w:val="00CD0389"/>
    <w:rsid w:val="00D26BB3"/>
    <w:rsid w:val="00E44C38"/>
    <w:rsid w:val="00F3709C"/>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E967A"/>
  <w15:chartTrackingRefBased/>
  <w15:docId w15:val="{20319C79-75C2-4EFF-A09F-BD858EAC8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973"/>
    <w:pPr>
      <w:spacing w:after="0" w:line="240" w:lineRule="auto"/>
    </w:pPr>
    <w:rPr>
      <w:rFonts w:ascii="Times New Roman" w:eastAsia="Times New Roman" w:hAnsi="Times New Roman" w:cs="Times New Roman"/>
      <w:sz w:val="28"/>
      <w:szCs w:val="24"/>
      <w:lang w:val="bg-BG" w:eastAsia="bg-BG"/>
      <w14:ligatures w14:val="none"/>
    </w:rPr>
  </w:style>
  <w:style w:type="paragraph" w:styleId="Heading1">
    <w:name w:val="heading 1"/>
    <w:basedOn w:val="Normal"/>
    <w:next w:val="Normal"/>
    <w:link w:val="Heading1Char"/>
    <w:uiPriority w:val="9"/>
    <w:qFormat/>
    <w:rsid w:val="00CD0389"/>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CD0389"/>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CD0389"/>
    <w:pPr>
      <w:keepNext/>
      <w:keepLines/>
      <w:spacing w:before="160" w:after="80" w:line="259" w:lineRule="auto"/>
      <w:outlineLvl w:val="2"/>
    </w:pPr>
    <w:rPr>
      <w:rFonts w:asciiTheme="minorHAnsi" w:eastAsiaTheme="majorEastAsia" w:hAnsiTheme="minorHAnsi" w:cstheme="majorBidi"/>
      <w:color w:val="2F5496" w:themeColor="accent1" w:themeShade="BF"/>
      <w:szCs w:val="28"/>
      <w:lang w:val="en-GB" w:eastAsia="en-US"/>
      <w14:ligatures w14:val="standardContextual"/>
    </w:rPr>
  </w:style>
  <w:style w:type="paragraph" w:styleId="Heading4">
    <w:name w:val="heading 4"/>
    <w:basedOn w:val="Normal"/>
    <w:next w:val="Normal"/>
    <w:link w:val="Heading4Char"/>
    <w:uiPriority w:val="9"/>
    <w:semiHidden/>
    <w:unhideWhenUsed/>
    <w:qFormat/>
    <w:rsid w:val="00CD0389"/>
    <w:pPr>
      <w:keepNext/>
      <w:keepLines/>
      <w:spacing w:before="80" w:after="40" w:line="259" w:lineRule="auto"/>
      <w:outlineLvl w:val="3"/>
    </w:pPr>
    <w:rPr>
      <w:rFonts w:asciiTheme="minorHAnsi" w:eastAsiaTheme="majorEastAsia" w:hAnsiTheme="minorHAnsi" w:cstheme="majorBidi"/>
      <w:i/>
      <w:iCs/>
      <w:color w:val="2F5496" w:themeColor="accent1" w:themeShade="BF"/>
      <w:sz w:val="22"/>
      <w:szCs w:val="22"/>
      <w:lang w:val="en-GB" w:eastAsia="en-US"/>
      <w14:ligatures w14:val="standardContextual"/>
    </w:rPr>
  </w:style>
  <w:style w:type="paragraph" w:styleId="Heading5">
    <w:name w:val="heading 5"/>
    <w:basedOn w:val="Normal"/>
    <w:next w:val="Normal"/>
    <w:link w:val="Heading5Char"/>
    <w:uiPriority w:val="9"/>
    <w:semiHidden/>
    <w:unhideWhenUsed/>
    <w:qFormat/>
    <w:rsid w:val="00CD0389"/>
    <w:pPr>
      <w:keepNext/>
      <w:keepLines/>
      <w:spacing w:before="80" w:after="40" w:line="259" w:lineRule="auto"/>
      <w:outlineLvl w:val="4"/>
    </w:pPr>
    <w:rPr>
      <w:rFonts w:asciiTheme="minorHAnsi" w:eastAsiaTheme="majorEastAsia" w:hAnsiTheme="minorHAnsi" w:cstheme="majorBidi"/>
      <w:color w:val="2F5496" w:themeColor="accent1" w:themeShade="BF"/>
      <w:sz w:val="22"/>
      <w:szCs w:val="22"/>
      <w:lang w:val="en-GB" w:eastAsia="en-US"/>
      <w14:ligatures w14:val="standardContextual"/>
    </w:rPr>
  </w:style>
  <w:style w:type="paragraph" w:styleId="Heading6">
    <w:name w:val="heading 6"/>
    <w:basedOn w:val="Normal"/>
    <w:next w:val="Normal"/>
    <w:link w:val="Heading6Char"/>
    <w:uiPriority w:val="9"/>
    <w:semiHidden/>
    <w:unhideWhenUsed/>
    <w:qFormat/>
    <w:rsid w:val="00CD0389"/>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val="en-GB" w:eastAsia="en-US"/>
      <w14:ligatures w14:val="standardContextual"/>
    </w:rPr>
  </w:style>
  <w:style w:type="paragraph" w:styleId="Heading7">
    <w:name w:val="heading 7"/>
    <w:basedOn w:val="Normal"/>
    <w:next w:val="Normal"/>
    <w:link w:val="Heading7Char"/>
    <w:uiPriority w:val="9"/>
    <w:semiHidden/>
    <w:unhideWhenUsed/>
    <w:qFormat/>
    <w:rsid w:val="00CD0389"/>
    <w:pPr>
      <w:keepNext/>
      <w:keepLines/>
      <w:spacing w:before="40" w:line="259" w:lineRule="auto"/>
      <w:outlineLvl w:val="6"/>
    </w:pPr>
    <w:rPr>
      <w:rFonts w:asciiTheme="minorHAnsi" w:eastAsiaTheme="majorEastAsia" w:hAnsiTheme="minorHAnsi" w:cstheme="majorBidi"/>
      <w:color w:val="595959" w:themeColor="text1" w:themeTint="A6"/>
      <w:sz w:val="22"/>
      <w:szCs w:val="22"/>
      <w:lang w:val="en-GB" w:eastAsia="en-US"/>
      <w14:ligatures w14:val="standardContextual"/>
    </w:rPr>
  </w:style>
  <w:style w:type="paragraph" w:styleId="Heading8">
    <w:name w:val="heading 8"/>
    <w:basedOn w:val="Normal"/>
    <w:next w:val="Normal"/>
    <w:link w:val="Heading8Char"/>
    <w:uiPriority w:val="9"/>
    <w:semiHidden/>
    <w:unhideWhenUsed/>
    <w:qFormat/>
    <w:rsid w:val="00CD0389"/>
    <w:pPr>
      <w:keepNext/>
      <w:keepLines/>
      <w:spacing w:line="259" w:lineRule="auto"/>
      <w:outlineLvl w:val="7"/>
    </w:pPr>
    <w:rPr>
      <w:rFonts w:asciiTheme="minorHAnsi" w:eastAsiaTheme="majorEastAsia" w:hAnsiTheme="minorHAnsi" w:cstheme="majorBidi"/>
      <w:i/>
      <w:iCs/>
      <w:color w:val="272727" w:themeColor="text1" w:themeTint="D8"/>
      <w:sz w:val="22"/>
      <w:szCs w:val="22"/>
      <w:lang w:val="en-GB" w:eastAsia="en-US"/>
      <w14:ligatures w14:val="standardContextual"/>
    </w:rPr>
  </w:style>
  <w:style w:type="paragraph" w:styleId="Heading9">
    <w:name w:val="heading 9"/>
    <w:basedOn w:val="Normal"/>
    <w:next w:val="Normal"/>
    <w:link w:val="Heading9Char"/>
    <w:uiPriority w:val="9"/>
    <w:semiHidden/>
    <w:unhideWhenUsed/>
    <w:qFormat/>
    <w:rsid w:val="00CD0389"/>
    <w:pPr>
      <w:keepNext/>
      <w:keepLines/>
      <w:spacing w:line="259" w:lineRule="auto"/>
      <w:outlineLvl w:val="8"/>
    </w:pPr>
    <w:rPr>
      <w:rFonts w:asciiTheme="minorHAnsi" w:eastAsiaTheme="majorEastAsia" w:hAnsiTheme="minorHAnsi" w:cstheme="majorBidi"/>
      <w:color w:val="272727" w:themeColor="text1" w:themeTint="D8"/>
      <w:sz w:val="22"/>
      <w:szCs w:val="22"/>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3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D03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D03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D03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D03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D03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03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03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0389"/>
    <w:rPr>
      <w:rFonts w:eastAsiaTheme="majorEastAsia" w:cstheme="majorBidi"/>
      <w:color w:val="272727" w:themeColor="text1" w:themeTint="D8"/>
    </w:rPr>
  </w:style>
  <w:style w:type="paragraph" w:styleId="Title">
    <w:name w:val="Title"/>
    <w:basedOn w:val="Normal"/>
    <w:next w:val="Normal"/>
    <w:link w:val="TitleChar"/>
    <w:uiPriority w:val="10"/>
    <w:qFormat/>
    <w:rsid w:val="00CD0389"/>
    <w:pPr>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CD03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389"/>
    <w:pPr>
      <w:numPr>
        <w:ilvl w:val="1"/>
      </w:numPr>
      <w:spacing w:after="160" w:line="259" w:lineRule="auto"/>
    </w:pPr>
    <w:rPr>
      <w:rFonts w:asciiTheme="minorHAnsi" w:eastAsiaTheme="majorEastAsia" w:hAnsiTheme="minorHAnsi" w:cstheme="majorBidi"/>
      <w:color w:val="595959" w:themeColor="text1" w:themeTint="A6"/>
      <w:spacing w:val="15"/>
      <w:szCs w:val="28"/>
      <w:lang w:val="en-GB" w:eastAsia="en-US"/>
      <w14:ligatures w14:val="standardContextual"/>
    </w:rPr>
  </w:style>
  <w:style w:type="character" w:customStyle="1" w:styleId="SubtitleChar">
    <w:name w:val="Subtitle Char"/>
    <w:basedOn w:val="DefaultParagraphFont"/>
    <w:link w:val="Subtitle"/>
    <w:uiPriority w:val="11"/>
    <w:rsid w:val="00CD03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0389"/>
    <w:pPr>
      <w:spacing w:before="160" w:after="160" w:line="259" w:lineRule="auto"/>
      <w:jc w:val="center"/>
    </w:pPr>
    <w:rPr>
      <w:rFonts w:asciiTheme="minorHAnsi" w:eastAsiaTheme="minorHAnsi" w:hAnsiTheme="minorHAnsi" w:cstheme="minorBidi"/>
      <w:i/>
      <w:iCs/>
      <w:color w:val="404040" w:themeColor="text1" w:themeTint="BF"/>
      <w:sz w:val="22"/>
      <w:szCs w:val="22"/>
      <w:lang w:val="en-GB" w:eastAsia="en-US"/>
      <w14:ligatures w14:val="standardContextual"/>
    </w:rPr>
  </w:style>
  <w:style w:type="character" w:customStyle="1" w:styleId="QuoteChar">
    <w:name w:val="Quote Char"/>
    <w:basedOn w:val="DefaultParagraphFont"/>
    <w:link w:val="Quote"/>
    <w:uiPriority w:val="29"/>
    <w:rsid w:val="00CD0389"/>
    <w:rPr>
      <w:i/>
      <w:iCs/>
      <w:color w:val="404040" w:themeColor="text1" w:themeTint="BF"/>
    </w:rPr>
  </w:style>
  <w:style w:type="paragraph" w:styleId="ListParagraph">
    <w:name w:val="List Paragraph"/>
    <w:basedOn w:val="Normal"/>
    <w:uiPriority w:val="34"/>
    <w:qFormat/>
    <w:rsid w:val="00CD0389"/>
    <w:pPr>
      <w:spacing w:after="160" w:line="259" w:lineRule="auto"/>
      <w:ind w:left="720"/>
      <w:contextualSpacing/>
    </w:pPr>
    <w:rPr>
      <w:rFonts w:asciiTheme="minorHAnsi" w:eastAsiaTheme="minorHAnsi" w:hAnsiTheme="minorHAnsi" w:cstheme="minorBidi"/>
      <w:sz w:val="22"/>
      <w:szCs w:val="22"/>
      <w:lang w:val="en-GB" w:eastAsia="en-US"/>
      <w14:ligatures w14:val="standardContextual"/>
    </w:rPr>
  </w:style>
  <w:style w:type="character" w:styleId="IntenseEmphasis">
    <w:name w:val="Intense Emphasis"/>
    <w:basedOn w:val="DefaultParagraphFont"/>
    <w:uiPriority w:val="21"/>
    <w:qFormat/>
    <w:rsid w:val="00CD0389"/>
    <w:rPr>
      <w:i/>
      <w:iCs/>
      <w:color w:val="2F5496" w:themeColor="accent1" w:themeShade="BF"/>
    </w:rPr>
  </w:style>
  <w:style w:type="paragraph" w:styleId="IntenseQuote">
    <w:name w:val="Intense Quote"/>
    <w:basedOn w:val="Normal"/>
    <w:next w:val="Normal"/>
    <w:link w:val="IntenseQuoteChar"/>
    <w:uiPriority w:val="30"/>
    <w:qFormat/>
    <w:rsid w:val="00CD0389"/>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lang w:val="en-GB" w:eastAsia="en-US"/>
      <w14:ligatures w14:val="standardContextual"/>
    </w:rPr>
  </w:style>
  <w:style w:type="character" w:customStyle="1" w:styleId="IntenseQuoteChar">
    <w:name w:val="Intense Quote Char"/>
    <w:basedOn w:val="DefaultParagraphFont"/>
    <w:link w:val="IntenseQuote"/>
    <w:uiPriority w:val="30"/>
    <w:rsid w:val="00CD0389"/>
    <w:rPr>
      <w:i/>
      <w:iCs/>
      <w:color w:val="2F5496" w:themeColor="accent1" w:themeShade="BF"/>
    </w:rPr>
  </w:style>
  <w:style w:type="character" w:styleId="IntenseReference">
    <w:name w:val="Intense Reference"/>
    <w:basedOn w:val="DefaultParagraphFont"/>
    <w:uiPriority w:val="32"/>
    <w:qFormat/>
    <w:rsid w:val="00CD0389"/>
    <w:rPr>
      <w:b/>
      <w:bCs/>
      <w:smallCaps/>
      <w:color w:val="2F5496" w:themeColor="accent1" w:themeShade="BF"/>
      <w:spacing w:val="5"/>
    </w:rPr>
  </w:style>
  <w:style w:type="paragraph" w:customStyle="1" w:styleId="isselectedend">
    <w:name w:val="isselectedend"/>
    <w:basedOn w:val="Normal"/>
    <w:rsid w:val="009844F6"/>
    <w:pPr>
      <w:spacing w:before="100" w:beforeAutospacing="1" w:after="100" w:afterAutospacing="1"/>
    </w:pPr>
    <w:rPr>
      <w:sz w:val="24"/>
      <w:lang w:val="en-US" w:eastAsia="en-US"/>
    </w:rPr>
  </w:style>
  <w:style w:type="character" w:styleId="Emphasis">
    <w:name w:val="Emphasis"/>
    <w:basedOn w:val="DefaultParagraphFont"/>
    <w:uiPriority w:val="20"/>
    <w:qFormat/>
    <w:rsid w:val="009844F6"/>
    <w:rPr>
      <w:i/>
      <w:iCs/>
    </w:rPr>
  </w:style>
  <w:style w:type="character" w:styleId="Strong">
    <w:name w:val="Strong"/>
    <w:basedOn w:val="DefaultParagraphFont"/>
    <w:uiPriority w:val="22"/>
    <w:qFormat/>
    <w:rsid w:val="009844F6"/>
    <w:rPr>
      <w:b/>
      <w:bCs/>
    </w:rPr>
  </w:style>
  <w:style w:type="paragraph" w:styleId="NormalWeb">
    <w:name w:val="Normal (Web)"/>
    <w:basedOn w:val="Normal"/>
    <w:uiPriority w:val="99"/>
    <w:unhideWhenUsed/>
    <w:rsid w:val="009844F6"/>
    <w:pPr>
      <w:spacing w:before="100" w:beforeAutospacing="1" w:after="100" w:afterAutospacing="1"/>
    </w:pPr>
    <w:rPr>
      <w:sz w:val="24"/>
      <w:lang w:val="en-US" w:eastAsia="en-US"/>
    </w:rPr>
  </w:style>
  <w:style w:type="character" w:styleId="Hyperlink">
    <w:name w:val="Hyperlink"/>
    <w:basedOn w:val="DefaultParagraphFont"/>
    <w:uiPriority w:val="99"/>
    <w:unhideWhenUsed/>
    <w:rsid w:val="00702A9B"/>
    <w:rPr>
      <w:color w:val="0563C1" w:themeColor="hyperlink"/>
      <w:u w:val="single"/>
    </w:rPr>
  </w:style>
  <w:style w:type="character" w:styleId="UnresolvedMention">
    <w:name w:val="Unresolved Mention"/>
    <w:basedOn w:val="DefaultParagraphFont"/>
    <w:uiPriority w:val="99"/>
    <w:semiHidden/>
    <w:unhideWhenUsed/>
    <w:rsid w:val="00702A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6424211">
      <w:bodyDiv w:val="1"/>
      <w:marLeft w:val="0"/>
      <w:marRight w:val="0"/>
      <w:marTop w:val="0"/>
      <w:marBottom w:val="0"/>
      <w:divBdr>
        <w:top w:val="none" w:sz="0" w:space="0" w:color="auto"/>
        <w:left w:val="none" w:sz="0" w:space="0" w:color="auto"/>
        <w:bottom w:val="none" w:sz="0" w:space="0" w:color="auto"/>
        <w:right w:val="none" w:sz="0" w:space="0" w:color="auto"/>
      </w:divBdr>
    </w:div>
    <w:div w:id="1807356729">
      <w:bodyDiv w:val="1"/>
      <w:marLeft w:val="0"/>
      <w:marRight w:val="0"/>
      <w:marTop w:val="0"/>
      <w:marBottom w:val="0"/>
      <w:divBdr>
        <w:top w:val="none" w:sz="0" w:space="0" w:color="auto"/>
        <w:left w:val="none" w:sz="0" w:space="0" w:color="auto"/>
        <w:bottom w:val="none" w:sz="0" w:space="0" w:color="auto"/>
        <w:right w:val="none" w:sz="0" w:space="0" w:color="auto"/>
      </w:divBdr>
    </w:div>
    <w:div w:id="196130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jslw.2022.10086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17/S026144482400010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6/j.jslw.2020.100710" TargetMode="External"/><Relationship Id="rId11" Type="http://schemas.openxmlformats.org/officeDocument/2006/relationships/hyperlink" Target="https://doi.org/10.1080/09588221.2021.1942068" TargetMode="External"/><Relationship Id="rId5" Type="http://schemas.openxmlformats.org/officeDocument/2006/relationships/hyperlink" Target="https://doi.org/10.1007/978-3-031-18950-0" TargetMode="External"/><Relationship Id="rId10" Type="http://schemas.openxmlformats.org/officeDocument/2006/relationships/hyperlink" Target="https://doi.org/10.1017/S0261444820000233" TargetMode="External"/><Relationship Id="rId4" Type="http://schemas.openxmlformats.org/officeDocument/2006/relationships/webSettings" Target="webSettings.xml"/><Relationship Id="rId9" Type="http://schemas.openxmlformats.org/officeDocument/2006/relationships/hyperlink" Target="https://doi.org/10.30466/ijltr.2023.121405"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10</Pages>
  <Words>4587</Words>
  <Characters>26152</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Svetoslav Berchev</dc:creator>
  <cp:keywords/>
  <dc:description/>
  <cp:lastModifiedBy>Svetoslav</cp:lastModifiedBy>
  <cp:revision>13</cp:revision>
  <dcterms:created xsi:type="dcterms:W3CDTF">2026-08-06T10:53:00Z</dcterms:created>
  <dcterms:modified xsi:type="dcterms:W3CDTF">2026-09-02T07:36:00Z</dcterms:modified>
</cp:coreProperties>
</file>