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59614F" w14:textId="77777777" w:rsidR="00155B33" w:rsidRPr="00362AD8" w:rsidRDefault="00155B33" w:rsidP="00362AD8">
      <w:pPr>
        <w:suppressAutoHyphens/>
        <w:spacing w:line="240" w:lineRule="auto"/>
        <w:ind w:firstLine="0"/>
        <w:jc w:val="center"/>
        <w:rPr>
          <w:rFonts w:asciiTheme="majorBidi" w:eastAsia="Times New Roman" w:hAnsiTheme="majorBidi" w:cstheme="majorBidi"/>
          <w:b/>
          <w:sz w:val="32"/>
          <w:lang w:val="en-GB"/>
        </w:rPr>
      </w:pPr>
      <w:r w:rsidRPr="00362AD8">
        <w:rPr>
          <w:rFonts w:asciiTheme="majorBidi" w:eastAsia="Times New Roman" w:hAnsiTheme="majorBidi" w:cstheme="majorBidi"/>
          <w:b/>
          <w:sz w:val="32"/>
        </w:rPr>
        <w:t>F</w:t>
      </w:r>
      <w:r w:rsidRPr="00362AD8">
        <w:rPr>
          <w:rFonts w:asciiTheme="majorBidi" w:eastAsia="Times New Roman" w:hAnsiTheme="majorBidi" w:cstheme="majorBidi"/>
          <w:b/>
          <w:sz w:val="32"/>
          <w:lang w:val="en-GB"/>
        </w:rPr>
        <w:t>ISCAL DIMENSIONS OF ARTIFICIAL INTELLIGENCE IN DEFENCE: EFFECTS AND INSTITUTIONAL PRECONDITIONS FOR BULGARIA</w:t>
      </w:r>
    </w:p>
    <w:p w14:paraId="1FCA305D" w14:textId="77777777" w:rsidR="00C932C8" w:rsidRPr="00362AD8" w:rsidRDefault="00C932C8" w:rsidP="00155B33">
      <w:pPr>
        <w:rPr>
          <w:rFonts w:asciiTheme="majorBidi" w:hAnsiTheme="majorBidi" w:cstheme="majorBidi"/>
          <w:sz w:val="28"/>
          <w:szCs w:val="28"/>
          <w:lang w:val="en-GB"/>
        </w:rPr>
      </w:pPr>
    </w:p>
    <w:p w14:paraId="6C2E3455" w14:textId="77777777" w:rsidR="00155B33" w:rsidRPr="00362AD8" w:rsidRDefault="00155B33" w:rsidP="00362AD8">
      <w:pPr>
        <w:suppressAutoHyphens/>
        <w:spacing w:line="240" w:lineRule="auto"/>
        <w:ind w:firstLine="0"/>
        <w:jc w:val="center"/>
        <w:rPr>
          <w:rFonts w:ascii="Times New Roman" w:eastAsia="Times New Roman" w:hAnsi="Times New Roman" w:cs="Arial"/>
          <w:b/>
          <w:sz w:val="32"/>
          <w:lang w:val="en-GB"/>
        </w:rPr>
      </w:pPr>
      <w:proofErr w:type="spellStart"/>
      <w:r w:rsidRPr="00362AD8">
        <w:rPr>
          <w:rFonts w:ascii="Times New Roman" w:eastAsia="Times New Roman" w:hAnsi="Times New Roman" w:cs="Arial"/>
          <w:b/>
          <w:sz w:val="32"/>
          <w:lang w:val="en-GB"/>
        </w:rPr>
        <w:t>Lyudmil</w:t>
      </w:r>
      <w:proofErr w:type="spellEnd"/>
      <w:r w:rsidRPr="00362AD8">
        <w:rPr>
          <w:rFonts w:ascii="Times New Roman" w:eastAsia="Times New Roman" w:hAnsi="Times New Roman" w:cs="Arial"/>
          <w:b/>
          <w:sz w:val="32"/>
          <w:lang w:val="en-GB"/>
        </w:rPr>
        <w:t xml:space="preserve"> </w:t>
      </w:r>
      <w:proofErr w:type="spellStart"/>
      <w:r w:rsidRPr="00362AD8">
        <w:rPr>
          <w:rFonts w:ascii="Times New Roman" w:eastAsia="Times New Roman" w:hAnsi="Times New Roman" w:cs="Arial"/>
          <w:b/>
          <w:sz w:val="32"/>
          <w:lang w:val="en-GB"/>
        </w:rPr>
        <w:t>Naydenov</w:t>
      </w:r>
      <w:proofErr w:type="spellEnd"/>
    </w:p>
    <w:p w14:paraId="439A9564" w14:textId="2AAE13F0" w:rsidR="00155B33" w:rsidRDefault="00155B33" w:rsidP="00155B33">
      <w:pPr>
        <w:rPr>
          <w:rFonts w:asciiTheme="majorBidi" w:hAnsiTheme="majorBidi" w:cstheme="majorBidi"/>
          <w:sz w:val="28"/>
          <w:szCs w:val="28"/>
          <w:lang w:val="en-GB"/>
        </w:rPr>
      </w:pPr>
    </w:p>
    <w:p w14:paraId="733FA1D8" w14:textId="77777777" w:rsidR="00C932C8" w:rsidRPr="00362AD8" w:rsidRDefault="00C932C8" w:rsidP="00155B33">
      <w:pPr>
        <w:rPr>
          <w:rFonts w:asciiTheme="majorBidi" w:hAnsiTheme="majorBidi" w:cstheme="majorBidi"/>
          <w:sz w:val="28"/>
          <w:szCs w:val="28"/>
          <w:lang w:val="en-GB"/>
        </w:rPr>
      </w:pPr>
    </w:p>
    <w:p w14:paraId="1C62088E" w14:textId="14005923" w:rsidR="00155B33" w:rsidRPr="00362AD8" w:rsidRDefault="00155B33" w:rsidP="00362AD8">
      <w:pPr>
        <w:spacing w:line="240" w:lineRule="auto"/>
        <w:rPr>
          <w:rFonts w:ascii="Times New Roman" w:eastAsia="Times New Roman" w:hAnsi="Times New Roman" w:cs="Arial"/>
          <w:bCs/>
          <w:i/>
          <w:sz w:val="24"/>
          <w:lang w:val="en-GB"/>
        </w:rPr>
      </w:pPr>
      <w:r w:rsidRPr="00362AD8">
        <w:rPr>
          <w:rFonts w:asciiTheme="majorBidi" w:hAnsiTheme="majorBidi" w:cstheme="majorBidi"/>
          <w:b/>
          <w:bCs/>
          <w:i/>
          <w:iCs/>
          <w:lang w:val="en-GB"/>
        </w:rPr>
        <w:t>Abstract</w:t>
      </w:r>
      <w:r w:rsidRPr="00362AD8">
        <w:rPr>
          <w:rFonts w:asciiTheme="majorBidi" w:hAnsiTheme="majorBidi" w:cstheme="majorBidi"/>
          <w:lang w:val="en-GB"/>
        </w:rPr>
        <w:t xml:space="preserve">: </w:t>
      </w:r>
      <w:r w:rsidRPr="00362AD8">
        <w:rPr>
          <w:rFonts w:ascii="Times New Roman" w:eastAsia="Times New Roman" w:hAnsi="Times New Roman" w:cs="Arial"/>
          <w:bCs/>
          <w:i/>
          <w:sz w:val="24"/>
          <w:lang w:val="en-GB"/>
        </w:rPr>
        <w:t>The paper analyses the dynamics and structural disproportions of defence expenditure in Bulgaria. With personnel absorbing 54.34% of the budget and an operational resource for operation and maintenance of merely USD 12.9 thousand per servicemember, the expenditure base upon which a technological solution (including artificial intelligence) could release budgetary funds is defined as exceedingly narrow. The fiscal effects of the technology and its field of application are discussed, with an emphasis on the possibilities for cost reduction and improved spending efficiency. The institutional preconditions for its successful implementation are formulated.</w:t>
      </w:r>
    </w:p>
    <w:p w14:paraId="77EEE049" w14:textId="77777777" w:rsidR="00155B33" w:rsidRPr="00362AD8" w:rsidRDefault="00155B33" w:rsidP="00362AD8">
      <w:pPr>
        <w:spacing w:line="240" w:lineRule="auto"/>
        <w:rPr>
          <w:rFonts w:asciiTheme="majorBidi" w:hAnsiTheme="majorBidi" w:cstheme="majorBidi"/>
          <w:sz w:val="28"/>
          <w:szCs w:val="28"/>
          <w:lang w:val="en-GB"/>
        </w:rPr>
      </w:pPr>
    </w:p>
    <w:p w14:paraId="221F5346" w14:textId="19623659" w:rsidR="00155B33" w:rsidRPr="00362AD8" w:rsidRDefault="00155B33" w:rsidP="00362AD8">
      <w:pPr>
        <w:spacing w:line="240" w:lineRule="auto"/>
        <w:rPr>
          <w:rFonts w:ascii="Times New Roman" w:eastAsia="Times New Roman" w:hAnsi="Times New Roman" w:cs="Arial"/>
          <w:bCs/>
          <w:i/>
          <w:sz w:val="24"/>
          <w:lang w:val="en-GB"/>
        </w:rPr>
      </w:pPr>
      <w:r w:rsidRPr="00362AD8">
        <w:rPr>
          <w:rFonts w:asciiTheme="majorBidi" w:hAnsiTheme="majorBidi" w:cstheme="majorBidi"/>
          <w:b/>
          <w:bCs/>
          <w:i/>
          <w:iCs/>
          <w:lang w:val="en-GB"/>
        </w:rPr>
        <w:t>Keywords</w:t>
      </w:r>
      <w:r w:rsidRPr="00362AD8">
        <w:rPr>
          <w:rFonts w:asciiTheme="majorBidi" w:hAnsiTheme="majorBidi" w:cstheme="majorBidi"/>
          <w:lang w:val="en-GB"/>
        </w:rPr>
        <w:t xml:space="preserve">: </w:t>
      </w:r>
      <w:r w:rsidRPr="00362AD8">
        <w:rPr>
          <w:rFonts w:ascii="Times New Roman" w:eastAsia="Times New Roman" w:hAnsi="Times New Roman" w:cs="Arial"/>
          <w:bCs/>
          <w:i/>
          <w:sz w:val="24"/>
          <w:lang w:val="en-GB"/>
        </w:rPr>
        <w:t>defence expenditure, efficiency, artificial intelligence, budget classification, Bulgaria.</w:t>
      </w:r>
    </w:p>
    <w:p w14:paraId="232CB6CC" w14:textId="6BE79D46" w:rsidR="00362AD8" w:rsidRDefault="00362AD8" w:rsidP="00362AD8">
      <w:pPr>
        <w:spacing w:line="240" w:lineRule="auto"/>
        <w:rPr>
          <w:rFonts w:asciiTheme="majorBidi" w:hAnsiTheme="majorBidi" w:cstheme="majorBidi"/>
          <w:sz w:val="28"/>
          <w:szCs w:val="28"/>
          <w:lang w:val="en-GB"/>
        </w:rPr>
      </w:pPr>
    </w:p>
    <w:p w14:paraId="2F896EA8" w14:textId="77777777" w:rsidR="00362AD8" w:rsidRPr="00362AD8" w:rsidRDefault="00362AD8" w:rsidP="00362AD8">
      <w:pPr>
        <w:spacing w:line="240" w:lineRule="auto"/>
        <w:rPr>
          <w:rFonts w:asciiTheme="majorBidi" w:hAnsiTheme="majorBidi" w:cstheme="majorBidi"/>
          <w:sz w:val="28"/>
          <w:szCs w:val="28"/>
          <w:lang w:val="en-GB"/>
        </w:rPr>
      </w:pPr>
    </w:p>
    <w:p w14:paraId="3B677348" w14:textId="4F9EA1D6" w:rsidR="00155B33" w:rsidRPr="00362AD8" w:rsidRDefault="00155B33" w:rsidP="00362AD8">
      <w:pPr>
        <w:keepNext/>
        <w:suppressAutoHyphens/>
        <w:spacing w:after="40" w:line="240" w:lineRule="auto"/>
        <w:ind w:firstLine="567"/>
        <w:rPr>
          <w:rFonts w:ascii="Times New Roman" w:eastAsia="Times New Roman" w:hAnsi="Times New Roman" w:cs="Arial"/>
          <w:b/>
          <w:sz w:val="28"/>
          <w:lang w:val="en-GB"/>
        </w:rPr>
      </w:pPr>
      <w:r w:rsidRPr="00362AD8">
        <w:rPr>
          <w:rFonts w:ascii="Times New Roman" w:eastAsia="Times New Roman" w:hAnsi="Times New Roman" w:cs="Arial"/>
          <w:b/>
          <w:sz w:val="28"/>
          <w:lang w:val="en-GB"/>
        </w:rPr>
        <w:t>Introduction</w:t>
      </w:r>
    </w:p>
    <w:p w14:paraId="0ABE6800" w14:textId="77777777" w:rsidR="00155B33" w:rsidRPr="00362AD8" w:rsidRDefault="00155B33" w:rsidP="00155B33">
      <w:pPr>
        <w:rPr>
          <w:rFonts w:asciiTheme="majorBidi" w:hAnsiTheme="majorBidi" w:cstheme="majorBidi"/>
          <w:sz w:val="28"/>
          <w:szCs w:val="28"/>
        </w:rPr>
      </w:pPr>
    </w:p>
    <w:p w14:paraId="45A88F7B" w14:textId="77777777" w:rsidR="00155B33" w:rsidRPr="00362AD8" w:rsidRDefault="00155B33" w:rsidP="00362AD8">
      <w:pPr>
        <w:suppressAutoHyphens/>
        <w:spacing w:line="240" w:lineRule="auto"/>
        <w:ind w:firstLine="567"/>
        <w:rPr>
          <w:rFonts w:ascii="Times New Roman" w:eastAsia="Times New Roman" w:hAnsi="Times New Roman" w:cs="Arial"/>
          <w:sz w:val="28"/>
          <w:lang w:val="en-GB"/>
        </w:rPr>
      </w:pPr>
      <w:r w:rsidRPr="00362AD8">
        <w:rPr>
          <w:rFonts w:ascii="Times New Roman" w:eastAsia="Times New Roman" w:hAnsi="Times New Roman" w:cs="Arial"/>
          <w:sz w:val="28"/>
          <w:lang w:val="en-GB"/>
        </w:rPr>
        <w:t>The defence budgets of NATO member states are entering a period of accelerated nominal and real growth, unprecedented for more than a decade. Global military spending reached USD 2,887 billion in 2025 (the eleventh consecutive year of increase, with a real growth of 2.9% over the preceding year), and the global military burden rose to 2.5% of gross domestic product, a level not attained since 2009 [1]. In that same year, European Allies and Canada reported expenditure of USD 574 billion in constant 2021 prices, which corresponds to 2.33% of their combined gross domestic product and to a real increase of nearly 20% in a single year [2]. Against this backdrop, a substantial portion of the specialised literature and a number of strategic documents present artificial intelligence as a panacea instrument, capable of extracting more defence capability from fewer resources [3, 4].</w:t>
      </w:r>
    </w:p>
    <w:p w14:paraId="6FBD0278" w14:textId="77777777" w:rsidR="00155B33" w:rsidRPr="00362AD8" w:rsidRDefault="00155B33" w:rsidP="00362AD8">
      <w:pPr>
        <w:suppressAutoHyphens/>
        <w:spacing w:line="240" w:lineRule="auto"/>
        <w:ind w:firstLine="567"/>
        <w:rPr>
          <w:rFonts w:ascii="Times New Roman" w:eastAsia="Times New Roman" w:hAnsi="Times New Roman" w:cs="Arial"/>
          <w:sz w:val="28"/>
          <w:lang w:val="en-GB"/>
        </w:rPr>
      </w:pPr>
      <w:r w:rsidRPr="00362AD8">
        <w:rPr>
          <w:rFonts w:ascii="Times New Roman" w:eastAsia="Times New Roman" w:hAnsi="Times New Roman" w:cs="Arial"/>
          <w:sz w:val="28"/>
          <w:lang w:val="en-GB"/>
        </w:rPr>
        <w:t xml:space="preserve">The cited claim, however, does not withstand an unbiased factual examination. Cost savings and higher efficiency are two distinct categories. It is appropriate to note that the introduction of a new technology in defence affects efficiency without pertaining to the saving of budgetary resources. The latter, as a rule, does not decrease. What occurs is a change in the ratio between input and output, and solely in the presence of specific institutional and resource preconditions. The distinction here follows the classical triad of public finance, according to which economy relates to the price of what is acquired at the input, efficiency to the ratio between input and output, and effectiveness to the link between output and the ultimate outcome. Inflated fiscal expectations arise </w:t>
      </w:r>
      <w:r w:rsidRPr="00362AD8">
        <w:rPr>
          <w:rFonts w:ascii="Times New Roman" w:eastAsia="Times New Roman" w:hAnsi="Times New Roman" w:cs="Arial"/>
          <w:sz w:val="28"/>
          <w:lang w:val="en-GB"/>
        </w:rPr>
        <w:lastRenderedPageBreak/>
        <w:t>precisely where these three levels are conflated. The distinction is of particular importance in decisions regarding the deployment of new technologies, because the outcome is determined more often by institutional and organisational conditions than by technical properties and/or software promises [5].</w:t>
      </w:r>
    </w:p>
    <w:p w14:paraId="4E8FD2E5" w14:textId="6B857005" w:rsidR="00155B33" w:rsidRDefault="00155B33" w:rsidP="00BF395A">
      <w:pPr>
        <w:suppressAutoHyphens/>
        <w:spacing w:line="240" w:lineRule="auto"/>
        <w:ind w:firstLine="567"/>
        <w:rPr>
          <w:rFonts w:ascii="Times New Roman" w:eastAsia="Times New Roman" w:hAnsi="Times New Roman" w:cs="Arial"/>
          <w:sz w:val="28"/>
          <w:lang w:val="en-GB"/>
        </w:rPr>
      </w:pPr>
      <w:r w:rsidRPr="00362AD8">
        <w:rPr>
          <w:rFonts w:ascii="Times New Roman" w:eastAsia="Times New Roman" w:hAnsi="Times New Roman" w:cs="Arial"/>
          <w:sz w:val="28"/>
          <w:lang w:val="en-GB"/>
        </w:rPr>
        <w:t>In the present paper, the above distinction and conclusions are applied to Bulgarian defence practice. The aim is to establish the structural disproportions in defence expenditure and to reveal the institutional barriers that impede the realisation of a positive fiscal effect. The evidentiary base is drawn from NATO expenditure reporting for the period 2014 to 2025 [2].</w:t>
      </w:r>
    </w:p>
    <w:p w14:paraId="79275531" w14:textId="77777777" w:rsidR="00BF395A" w:rsidRPr="00362AD8" w:rsidRDefault="00BF395A" w:rsidP="00BF395A">
      <w:pPr>
        <w:suppressAutoHyphens/>
        <w:spacing w:line="240" w:lineRule="auto"/>
        <w:ind w:firstLine="567"/>
        <w:rPr>
          <w:rFonts w:ascii="Times New Roman" w:eastAsia="Times New Roman" w:hAnsi="Times New Roman" w:cs="Arial"/>
          <w:sz w:val="28"/>
          <w:lang w:val="en-GB"/>
        </w:rPr>
      </w:pPr>
    </w:p>
    <w:p w14:paraId="08E70A4B" w14:textId="03461BDB" w:rsidR="00155B33" w:rsidRPr="002A205D" w:rsidRDefault="00155B33" w:rsidP="002A205D">
      <w:pPr>
        <w:pStyle w:val="a3"/>
        <w:keepNext/>
        <w:numPr>
          <w:ilvl w:val="0"/>
          <w:numId w:val="4"/>
        </w:numPr>
        <w:suppressAutoHyphens/>
        <w:spacing w:line="240" w:lineRule="auto"/>
        <w:rPr>
          <w:rFonts w:ascii="Times New Roman" w:eastAsia="Times New Roman" w:hAnsi="Times New Roman" w:cs="Arial"/>
          <w:b/>
          <w:sz w:val="28"/>
          <w:lang w:val="en-GB"/>
        </w:rPr>
      </w:pPr>
      <w:r w:rsidRPr="002A205D">
        <w:rPr>
          <w:rFonts w:ascii="Times New Roman" w:eastAsia="Times New Roman" w:hAnsi="Times New Roman" w:cs="Arial"/>
          <w:b/>
          <w:sz w:val="28"/>
          <w:lang w:val="en-GB"/>
        </w:rPr>
        <w:t>Expenditure Dynamics and Structural Disproportions</w:t>
      </w:r>
    </w:p>
    <w:p w14:paraId="652CD076" w14:textId="77777777" w:rsidR="002A205D" w:rsidRPr="002A205D" w:rsidRDefault="002A205D" w:rsidP="002A205D">
      <w:pPr>
        <w:pStyle w:val="a3"/>
        <w:keepNext/>
        <w:suppressAutoHyphens/>
        <w:spacing w:line="240" w:lineRule="auto"/>
        <w:ind w:left="927" w:firstLine="0"/>
        <w:rPr>
          <w:rFonts w:ascii="Times New Roman" w:eastAsia="Times New Roman" w:hAnsi="Times New Roman" w:cs="Arial"/>
          <w:b/>
          <w:sz w:val="28"/>
          <w:lang w:val="en-GB"/>
        </w:rPr>
      </w:pPr>
    </w:p>
    <w:p w14:paraId="0820BF6A" w14:textId="31C98814" w:rsidR="00155B33" w:rsidRDefault="00155B33" w:rsidP="00BF395A">
      <w:pPr>
        <w:suppressAutoHyphens/>
        <w:spacing w:line="240" w:lineRule="auto"/>
        <w:ind w:firstLine="567"/>
        <w:rPr>
          <w:rFonts w:ascii="Times New Roman" w:eastAsia="Times New Roman" w:hAnsi="Times New Roman" w:cs="Arial"/>
          <w:sz w:val="28"/>
          <w:lang w:val="en-GB"/>
        </w:rPr>
      </w:pPr>
      <w:r w:rsidRPr="00362AD8">
        <w:rPr>
          <w:rFonts w:ascii="Times New Roman" w:eastAsia="Times New Roman" w:hAnsi="Times New Roman" w:cs="Arial"/>
          <w:sz w:val="28"/>
          <w:lang w:val="en-GB"/>
        </w:rPr>
        <w:t xml:space="preserve">Between 2014 and 2025 (see Table 1), Bulgarian defence expenditure exhibits an upward trend. In nominal terms at current prices, it stood at BGN 1,102 million at the beginning of the period and BGN 4,770 million in 2025. In real terms, there is a growth of 123.4%, and their ratio to gross domestic product (GDP) climbed from 1.3% to 2.1%. Notwithstanding the foregoing, the absolute dynamics and the change in the GDP share may be characterised as relatively modest in view of the global challenges. </w:t>
      </w:r>
      <w:r w:rsidRPr="00C932C8">
        <w:rPr>
          <w:rFonts w:ascii="Times New Roman" w:eastAsia="Times New Roman" w:hAnsi="Times New Roman" w:cs="Arial"/>
          <w:sz w:val="28"/>
          <w:lang w:val="en-GB"/>
        </w:rPr>
        <w:t>Another important point that should not be overlooked is connected with the fact that during the period under analysis, expenditure growth was markedly uneven: the real annual growth rate was negative in 2014, exceeded 120% in 2019, and stood at approximately 3% in 2024.</w:t>
      </w:r>
    </w:p>
    <w:p w14:paraId="1B763831" w14:textId="77777777" w:rsidR="00BF395A" w:rsidRPr="00C932C8" w:rsidRDefault="00BF395A" w:rsidP="00362AD8">
      <w:pPr>
        <w:suppressAutoHyphens/>
        <w:spacing w:line="240" w:lineRule="auto"/>
        <w:ind w:firstLine="567"/>
        <w:rPr>
          <w:rFonts w:ascii="Times New Roman" w:eastAsia="Times New Roman" w:hAnsi="Times New Roman" w:cs="Arial"/>
          <w:sz w:val="28"/>
          <w:lang w:val="en-GB"/>
        </w:rPr>
      </w:pPr>
    </w:p>
    <w:p w14:paraId="28778833" w14:textId="77777777" w:rsidR="001A6EC7" w:rsidRPr="001A6EC7" w:rsidRDefault="001A6EC7" w:rsidP="001A6EC7">
      <w:pPr>
        <w:keepNext/>
        <w:suppressAutoHyphens/>
        <w:spacing w:before="120" w:after="40" w:line="240" w:lineRule="auto"/>
        <w:ind w:firstLine="0"/>
        <w:jc w:val="center"/>
        <w:rPr>
          <w:rFonts w:ascii="Times New Roman" w:eastAsia="Times New Roman" w:hAnsi="Times New Roman" w:cs="Arial"/>
          <w:sz w:val="28"/>
          <w:lang w:val="en-GB"/>
        </w:rPr>
      </w:pPr>
      <w:r w:rsidRPr="001A6EC7">
        <w:rPr>
          <w:rFonts w:ascii="Times New Roman" w:eastAsia="Times New Roman" w:hAnsi="Times New Roman" w:cs="Arial"/>
          <w:b/>
          <w:sz w:val="28"/>
          <w:lang w:val="en-GB"/>
        </w:rPr>
        <w:t>Table 1</w:t>
      </w:r>
      <w:r w:rsidRPr="001A6EC7">
        <w:rPr>
          <w:rFonts w:ascii="Times New Roman" w:eastAsia="Times New Roman" w:hAnsi="Times New Roman" w:cs="Arial"/>
          <w:sz w:val="28"/>
          <w:lang w:val="en-GB"/>
        </w:rPr>
        <w:t xml:space="preserve"> – Defence expenditure of Bulgaria, 2014-2025</w:t>
      </w:r>
    </w:p>
    <w:tbl>
      <w:tblPr>
        <w:tblW w:w="8897" w:type="dxa"/>
        <w:tblInd w:w="-113" w:type="dxa"/>
        <w:tblLayout w:type="fixed"/>
        <w:tblLook w:val="04A0" w:firstRow="1" w:lastRow="0" w:firstColumn="1" w:lastColumn="0" w:noHBand="0" w:noVBand="1"/>
      </w:tblPr>
      <w:tblGrid>
        <w:gridCol w:w="3402"/>
        <w:gridCol w:w="1100"/>
        <w:gridCol w:w="992"/>
        <w:gridCol w:w="1135"/>
        <w:gridCol w:w="1133"/>
        <w:gridCol w:w="1135"/>
      </w:tblGrid>
      <w:tr w:rsidR="001A6EC7" w:rsidRPr="001A6EC7" w14:paraId="587902CA" w14:textId="77777777" w:rsidTr="00A32CF8">
        <w:tc>
          <w:tcPr>
            <w:tcW w:w="3402" w:type="dxa"/>
            <w:tcBorders>
              <w:top w:val="single" w:sz="4" w:space="0" w:color="000000"/>
              <w:left w:val="single" w:sz="4" w:space="0" w:color="000000"/>
              <w:bottom w:val="single" w:sz="4" w:space="0" w:color="000000"/>
              <w:right w:val="single" w:sz="4" w:space="0" w:color="000000"/>
            </w:tcBorders>
          </w:tcPr>
          <w:p w14:paraId="0CB0C4E0"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b/>
                <w:sz w:val="24"/>
                <w:szCs w:val="24"/>
                <w:lang w:val="en-GB"/>
              </w:rPr>
              <w:t>Indicator</w:t>
            </w:r>
          </w:p>
        </w:tc>
        <w:tc>
          <w:tcPr>
            <w:tcW w:w="1100" w:type="dxa"/>
            <w:tcBorders>
              <w:top w:val="single" w:sz="4" w:space="0" w:color="000000"/>
              <w:left w:val="single" w:sz="4" w:space="0" w:color="000000"/>
              <w:bottom w:val="single" w:sz="4" w:space="0" w:color="000000"/>
              <w:right w:val="single" w:sz="4" w:space="0" w:color="000000"/>
            </w:tcBorders>
          </w:tcPr>
          <w:p w14:paraId="747D8FA0"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b/>
                <w:sz w:val="24"/>
                <w:szCs w:val="24"/>
                <w:lang w:val="en-GB"/>
              </w:rPr>
              <w:t>2014</w:t>
            </w:r>
          </w:p>
        </w:tc>
        <w:tc>
          <w:tcPr>
            <w:tcW w:w="992" w:type="dxa"/>
            <w:tcBorders>
              <w:top w:val="single" w:sz="4" w:space="0" w:color="000000"/>
              <w:left w:val="single" w:sz="4" w:space="0" w:color="000000"/>
              <w:bottom w:val="single" w:sz="4" w:space="0" w:color="000000"/>
              <w:right w:val="single" w:sz="4" w:space="0" w:color="000000"/>
            </w:tcBorders>
          </w:tcPr>
          <w:p w14:paraId="0FFBED8E"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b/>
                <w:sz w:val="24"/>
                <w:szCs w:val="24"/>
                <w:lang w:val="en-GB"/>
              </w:rPr>
              <w:t>2019</w:t>
            </w:r>
          </w:p>
        </w:tc>
        <w:tc>
          <w:tcPr>
            <w:tcW w:w="1135" w:type="dxa"/>
            <w:tcBorders>
              <w:top w:val="single" w:sz="4" w:space="0" w:color="000000"/>
              <w:left w:val="single" w:sz="4" w:space="0" w:color="000000"/>
              <w:bottom w:val="single" w:sz="4" w:space="0" w:color="000000"/>
              <w:right w:val="single" w:sz="4" w:space="0" w:color="000000"/>
            </w:tcBorders>
          </w:tcPr>
          <w:p w14:paraId="4ED520F3"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b/>
                <w:sz w:val="24"/>
                <w:szCs w:val="24"/>
                <w:lang w:val="en-GB"/>
              </w:rPr>
              <w:t>2023</w:t>
            </w:r>
          </w:p>
        </w:tc>
        <w:tc>
          <w:tcPr>
            <w:tcW w:w="1133" w:type="dxa"/>
            <w:tcBorders>
              <w:top w:val="single" w:sz="4" w:space="0" w:color="000000"/>
              <w:left w:val="single" w:sz="4" w:space="0" w:color="000000"/>
              <w:bottom w:val="single" w:sz="4" w:space="0" w:color="000000"/>
              <w:right w:val="single" w:sz="4" w:space="0" w:color="000000"/>
            </w:tcBorders>
          </w:tcPr>
          <w:p w14:paraId="615DE53D"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b/>
                <w:sz w:val="24"/>
                <w:szCs w:val="24"/>
                <w:lang w:val="en-GB"/>
              </w:rPr>
              <w:t>2024</w:t>
            </w:r>
          </w:p>
        </w:tc>
        <w:tc>
          <w:tcPr>
            <w:tcW w:w="1135" w:type="dxa"/>
            <w:tcBorders>
              <w:top w:val="single" w:sz="4" w:space="0" w:color="000000"/>
              <w:left w:val="single" w:sz="4" w:space="0" w:color="000000"/>
              <w:bottom w:val="single" w:sz="4" w:space="0" w:color="000000"/>
              <w:right w:val="single" w:sz="4" w:space="0" w:color="000000"/>
            </w:tcBorders>
          </w:tcPr>
          <w:p w14:paraId="6A3042A1"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b/>
                <w:sz w:val="24"/>
                <w:szCs w:val="24"/>
                <w:lang w:val="en-GB"/>
              </w:rPr>
              <w:t>2025</w:t>
            </w:r>
          </w:p>
        </w:tc>
      </w:tr>
      <w:tr w:rsidR="001A6EC7" w:rsidRPr="001A6EC7" w14:paraId="24138275" w14:textId="77777777" w:rsidTr="00A32CF8">
        <w:tc>
          <w:tcPr>
            <w:tcW w:w="3402" w:type="dxa"/>
            <w:tcBorders>
              <w:top w:val="single" w:sz="4" w:space="0" w:color="000000"/>
              <w:left w:val="single" w:sz="4" w:space="0" w:color="000000"/>
              <w:bottom w:val="single" w:sz="4" w:space="0" w:color="000000"/>
              <w:right w:val="single" w:sz="4" w:space="0" w:color="000000"/>
            </w:tcBorders>
          </w:tcPr>
          <w:p w14:paraId="356CD33B" w14:textId="77777777" w:rsidR="001A6EC7" w:rsidRPr="001A6EC7" w:rsidRDefault="001A6EC7" w:rsidP="001A6EC7">
            <w:pPr>
              <w:suppressAutoHyphens/>
              <w:spacing w:line="240" w:lineRule="auto"/>
              <w:ind w:firstLine="0"/>
              <w:jc w:val="left"/>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Expenditure, BGN million, current prices</w:t>
            </w:r>
          </w:p>
        </w:tc>
        <w:tc>
          <w:tcPr>
            <w:tcW w:w="1100" w:type="dxa"/>
            <w:tcBorders>
              <w:top w:val="single" w:sz="4" w:space="0" w:color="000000"/>
              <w:left w:val="single" w:sz="4" w:space="0" w:color="000000"/>
              <w:bottom w:val="single" w:sz="4" w:space="0" w:color="000000"/>
              <w:right w:val="single" w:sz="4" w:space="0" w:color="000000"/>
            </w:tcBorders>
          </w:tcPr>
          <w:p w14:paraId="2AF03BBA"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1 102</w:t>
            </w:r>
          </w:p>
        </w:tc>
        <w:tc>
          <w:tcPr>
            <w:tcW w:w="992" w:type="dxa"/>
            <w:tcBorders>
              <w:top w:val="single" w:sz="4" w:space="0" w:color="000000"/>
              <w:left w:val="single" w:sz="4" w:space="0" w:color="000000"/>
              <w:bottom w:val="single" w:sz="4" w:space="0" w:color="000000"/>
              <w:right w:val="single" w:sz="4" w:space="0" w:color="000000"/>
            </w:tcBorders>
          </w:tcPr>
          <w:p w14:paraId="5D301860"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3 771</w:t>
            </w:r>
          </w:p>
        </w:tc>
        <w:tc>
          <w:tcPr>
            <w:tcW w:w="1135" w:type="dxa"/>
            <w:tcBorders>
              <w:top w:val="single" w:sz="4" w:space="0" w:color="000000"/>
              <w:left w:val="single" w:sz="4" w:space="0" w:color="000000"/>
              <w:bottom w:val="single" w:sz="4" w:space="0" w:color="000000"/>
              <w:right w:val="single" w:sz="4" w:space="0" w:color="000000"/>
            </w:tcBorders>
          </w:tcPr>
          <w:p w14:paraId="1923F17F"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3 602</w:t>
            </w:r>
          </w:p>
        </w:tc>
        <w:tc>
          <w:tcPr>
            <w:tcW w:w="1133" w:type="dxa"/>
            <w:tcBorders>
              <w:top w:val="single" w:sz="4" w:space="0" w:color="000000"/>
              <w:left w:val="single" w:sz="4" w:space="0" w:color="000000"/>
              <w:bottom w:val="single" w:sz="4" w:space="0" w:color="000000"/>
              <w:right w:val="single" w:sz="4" w:space="0" w:color="000000"/>
            </w:tcBorders>
          </w:tcPr>
          <w:p w14:paraId="12F447B7"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3 964</w:t>
            </w:r>
          </w:p>
        </w:tc>
        <w:tc>
          <w:tcPr>
            <w:tcW w:w="1135" w:type="dxa"/>
            <w:tcBorders>
              <w:top w:val="single" w:sz="4" w:space="0" w:color="000000"/>
              <w:left w:val="single" w:sz="4" w:space="0" w:color="000000"/>
              <w:bottom w:val="single" w:sz="4" w:space="0" w:color="000000"/>
              <w:right w:val="single" w:sz="4" w:space="0" w:color="000000"/>
            </w:tcBorders>
          </w:tcPr>
          <w:p w14:paraId="40700242"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4 770</w:t>
            </w:r>
          </w:p>
        </w:tc>
      </w:tr>
      <w:tr w:rsidR="001A6EC7" w:rsidRPr="001A6EC7" w14:paraId="55B46BA1" w14:textId="77777777" w:rsidTr="00A32CF8">
        <w:tc>
          <w:tcPr>
            <w:tcW w:w="3402" w:type="dxa"/>
            <w:tcBorders>
              <w:top w:val="single" w:sz="4" w:space="0" w:color="000000"/>
              <w:left w:val="single" w:sz="4" w:space="0" w:color="000000"/>
              <w:bottom w:val="single" w:sz="4" w:space="0" w:color="000000"/>
              <w:right w:val="single" w:sz="4" w:space="0" w:color="000000"/>
            </w:tcBorders>
          </w:tcPr>
          <w:p w14:paraId="1B808C3C" w14:textId="77777777" w:rsidR="001A6EC7" w:rsidRPr="001A6EC7" w:rsidRDefault="001A6EC7" w:rsidP="001A6EC7">
            <w:pPr>
              <w:suppressAutoHyphens/>
              <w:spacing w:line="240" w:lineRule="auto"/>
              <w:ind w:firstLine="0"/>
              <w:jc w:val="left"/>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Expenditure, USD million, 2021 prices</w:t>
            </w:r>
          </w:p>
        </w:tc>
        <w:tc>
          <w:tcPr>
            <w:tcW w:w="1100" w:type="dxa"/>
            <w:tcBorders>
              <w:top w:val="single" w:sz="4" w:space="0" w:color="000000"/>
              <w:left w:val="single" w:sz="4" w:space="0" w:color="000000"/>
              <w:bottom w:val="single" w:sz="4" w:space="0" w:color="000000"/>
              <w:right w:val="single" w:sz="4" w:space="0" w:color="000000"/>
            </w:tcBorders>
          </w:tcPr>
          <w:p w14:paraId="2D90A972"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910</w:t>
            </w:r>
          </w:p>
        </w:tc>
        <w:tc>
          <w:tcPr>
            <w:tcW w:w="992" w:type="dxa"/>
            <w:tcBorders>
              <w:top w:val="single" w:sz="4" w:space="0" w:color="000000"/>
              <w:left w:val="single" w:sz="4" w:space="0" w:color="000000"/>
              <w:bottom w:val="single" w:sz="4" w:space="0" w:color="000000"/>
              <w:right w:val="single" w:sz="4" w:space="0" w:color="000000"/>
            </w:tcBorders>
          </w:tcPr>
          <w:p w14:paraId="21C1577A"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2 547</w:t>
            </w:r>
          </w:p>
        </w:tc>
        <w:tc>
          <w:tcPr>
            <w:tcW w:w="1135" w:type="dxa"/>
            <w:tcBorders>
              <w:top w:val="single" w:sz="4" w:space="0" w:color="000000"/>
              <w:left w:val="single" w:sz="4" w:space="0" w:color="000000"/>
              <w:bottom w:val="single" w:sz="4" w:space="0" w:color="000000"/>
              <w:right w:val="single" w:sz="4" w:space="0" w:color="000000"/>
            </w:tcBorders>
          </w:tcPr>
          <w:p w14:paraId="1145ADBA"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1 741</w:t>
            </w:r>
          </w:p>
        </w:tc>
        <w:tc>
          <w:tcPr>
            <w:tcW w:w="1133" w:type="dxa"/>
            <w:tcBorders>
              <w:top w:val="single" w:sz="4" w:space="0" w:color="000000"/>
              <w:left w:val="single" w:sz="4" w:space="0" w:color="000000"/>
              <w:bottom w:val="single" w:sz="4" w:space="0" w:color="000000"/>
              <w:right w:val="single" w:sz="4" w:space="0" w:color="000000"/>
            </w:tcBorders>
          </w:tcPr>
          <w:p w14:paraId="39267A35"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1 787</w:t>
            </w:r>
          </w:p>
        </w:tc>
        <w:tc>
          <w:tcPr>
            <w:tcW w:w="1135" w:type="dxa"/>
            <w:tcBorders>
              <w:top w:val="single" w:sz="4" w:space="0" w:color="000000"/>
              <w:left w:val="single" w:sz="4" w:space="0" w:color="000000"/>
              <w:bottom w:val="single" w:sz="4" w:space="0" w:color="000000"/>
              <w:right w:val="single" w:sz="4" w:space="0" w:color="000000"/>
            </w:tcBorders>
          </w:tcPr>
          <w:p w14:paraId="142B2197"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2 033</w:t>
            </w:r>
          </w:p>
        </w:tc>
      </w:tr>
      <w:tr w:rsidR="001A6EC7" w:rsidRPr="001A6EC7" w14:paraId="155F002C" w14:textId="77777777" w:rsidTr="00A32CF8">
        <w:tc>
          <w:tcPr>
            <w:tcW w:w="3402" w:type="dxa"/>
            <w:tcBorders>
              <w:top w:val="single" w:sz="4" w:space="0" w:color="000000"/>
              <w:left w:val="single" w:sz="4" w:space="0" w:color="000000"/>
              <w:bottom w:val="single" w:sz="4" w:space="0" w:color="000000"/>
              <w:right w:val="single" w:sz="4" w:space="0" w:color="000000"/>
            </w:tcBorders>
          </w:tcPr>
          <w:p w14:paraId="0591EE29" w14:textId="77777777" w:rsidR="001A6EC7" w:rsidRPr="001A6EC7" w:rsidRDefault="001A6EC7" w:rsidP="001A6EC7">
            <w:pPr>
              <w:suppressAutoHyphens/>
              <w:spacing w:line="240" w:lineRule="auto"/>
              <w:ind w:firstLine="0"/>
              <w:jc w:val="left"/>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Share of real GDP, %</w:t>
            </w:r>
          </w:p>
        </w:tc>
        <w:tc>
          <w:tcPr>
            <w:tcW w:w="1100" w:type="dxa"/>
            <w:tcBorders>
              <w:top w:val="single" w:sz="4" w:space="0" w:color="000000"/>
              <w:left w:val="single" w:sz="4" w:space="0" w:color="000000"/>
              <w:bottom w:val="single" w:sz="4" w:space="0" w:color="000000"/>
              <w:right w:val="single" w:sz="4" w:space="0" w:color="000000"/>
            </w:tcBorders>
          </w:tcPr>
          <w:p w14:paraId="4A6A593C"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1.31</w:t>
            </w:r>
          </w:p>
        </w:tc>
        <w:tc>
          <w:tcPr>
            <w:tcW w:w="992" w:type="dxa"/>
            <w:tcBorders>
              <w:top w:val="single" w:sz="4" w:space="0" w:color="000000"/>
              <w:left w:val="single" w:sz="4" w:space="0" w:color="000000"/>
              <w:bottom w:val="single" w:sz="4" w:space="0" w:color="000000"/>
              <w:right w:val="single" w:sz="4" w:space="0" w:color="000000"/>
            </w:tcBorders>
          </w:tcPr>
          <w:p w14:paraId="6CEE316E"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3.15</w:t>
            </w:r>
          </w:p>
        </w:tc>
        <w:tc>
          <w:tcPr>
            <w:tcW w:w="1135" w:type="dxa"/>
            <w:tcBorders>
              <w:top w:val="single" w:sz="4" w:space="0" w:color="000000"/>
              <w:left w:val="single" w:sz="4" w:space="0" w:color="000000"/>
              <w:bottom w:val="single" w:sz="4" w:space="0" w:color="000000"/>
              <w:right w:val="single" w:sz="4" w:space="0" w:color="000000"/>
            </w:tcBorders>
          </w:tcPr>
          <w:p w14:paraId="08EB329D"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1.95</w:t>
            </w:r>
          </w:p>
        </w:tc>
        <w:tc>
          <w:tcPr>
            <w:tcW w:w="1133" w:type="dxa"/>
            <w:tcBorders>
              <w:top w:val="single" w:sz="4" w:space="0" w:color="000000"/>
              <w:left w:val="single" w:sz="4" w:space="0" w:color="000000"/>
              <w:bottom w:val="single" w:sz="4" w:space="0" w:color="000000"/>
              <w:right w:val="single" w:sz="4" w:space="0" w:color="000000"/>
            </w:tcBorders>
          </w:tcPr>
          <w:p w14:paraId="42016902"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1.93</w:t>
            </w:r>
          </w:p>
        </w:tc>
        <w:tc>
          <w:tcPr>
            <w:tcW w:w="1135" w:type="dxa"/>
            <w:tcBorders>
              <w:top w:val="single" w:sz="4" w:space="0" w:color="000000"/>
              <w:left w:val="single" w:sz="4" w:space="0" w:color="000000"/>
              <w:bottom w:val="single" w:sz="4" w:space="0" w:color="000000"/>
              <w:right w:val="single" w:sz="4" w:space="0" w:color="000000"/>
            </w:tcBorders>
          </w:tcPr>
          <w:p w14:paraId="4B263F80"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2.14</w:t>
            </w:r>
          </w:p>
        </w:tc>
      </w:tr>
      <w:tr w:rsidR="001A6EC7" w:rsidRPr="001A6EC7" w14:paraId="097FF48A" w14:textId="77777777" w:rsidTr="00A32CF8">
        <w:tc>
          <w:tcPr>
            <w:tcW w:w="3402" w:type="dxa"/>
            <w:tcBorders>
              <w:top w:val="single" w:sz="4" w:space="0" w:color="000000"/>
              <w:left w:val="single" w:sz="4" w:space="0" w:color="000000"/>
              <w:bottom w:val="single" w:sz="4" w:space="0" w:color="000000"/>
              <w:right w:val="single" w:sz="4" w:space="0" w:color="000000"/>
            </w:tcBorders>
          </w:tcPr>
          <w:p w14:paraId="78965652" w14:textId="77777777" w:rsidR="001A6EC7" w:rsidRPr="001A6EC7" w:rsidRDefault="001A6EC7" w:rsidP="001A6EC7">
            <w:pPr>
              <w:suppressAutoHyphens/>
              <w:spacing w:line="240" w:lineRule="auto"/>
              <w:ind w:firstLine="0"/>
              <w:jc w:val="left"/>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Annual real change, %</w:t>
            </w:r>
          </w:p>
        </w:tc>
        <w:tc>
          <w:tcPr>
            <w:tcW w:w="1100" w:type="dxa"/>
            <w:tcBorders>
              <w:top w:val="single" w:sz="4" w:space="0" w:color="000000"/>
              <w:left w:val="single" w:sz="4" w:space="0" w:color="000000"/>
              <w:bottom w:val="single" w:sz="4" w:space="0" w:color="000000"/>
              <w:right w:val="single" w:sz="4" w:space="0" w:color="000000"/>
            </w:tcBorders>
          </w:tcPr>
          <w:p w14:paraId="3A7A8CCA"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 9.08</w:t>
            </w:r>
          </w:p>
        </w:tc>
        <w:tc>
          <w:tcPr>
            <w:tcW w:w="992" w:type="dxa"/>
            <w:tcBorders>
              <w:top w:val="single" w:sz="4" w:space="0" w:color="000000"/>
              <w:left w:val="single" w:sz="4" w:space="0" w:color="000000"/>
              <w:bottom w:val="single" w:sz="4" w:space="0" w:color="000000"/>
              <w:right w:val="single" w:sz="4" w:space="0" w:color="000000"/>
            </w:tcBorders>
          </w:tcPr>
          <w:p w14:paraId="0A77E4BF"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+124.85</w:t>
            </w:r>
          </w:p>
        </w:tc>
        <w:tc>
          <w:tcPr>
            <w:tcW w:w="1135" w:type="dxa"/>
            <w:tcBorders>
              <w:top w:val="single" w:sz="4" w:space="0" w:color="000000"/>
              <w:left w:val="single" w:sz="4" w:space="0" w:color="000000"/>
              <w:bottom w:val="single" w:sz="4" w:space="0" w:color="000000"/>
              <w:right w:val="single" w:sz="4" w:space="0" w:color="000000"/>
            </w:tcBorders>
          </w:tcPr>
          <w:p w14:paraId="348F322D"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+24.81</w:t>
            </w:r>
          </w:p>
        </w:tc>
        <w:tc>
          <w:tcPr>
            <w:tcW w:w="1133" w:type="dxa"/>
            <w:tcBorders>
              <w:top w:val="single" w:sz="4" w:space="0" w:color="000000"/>
              <w:left w:val="single" w:sz="4" w:space="0" w:color="000000"/>
              <w:bottom w:val="single" w:sz="4" w:space="0" w:color="000000"/>
              <w:right w:val="single" w:sz="4" w:space="0" w:color="000000"/>
            </w:tcBorders>
          </w:tcPr>
          <w:p w14:paraId="7484CA6D"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+2.66</w:t>
            </w:r>
          </w:p>
        </w:tc>
        <w:tc>
          <w:tcPr>
            <w:tcW w:w="1135" w:type="dxa"/>
            <w:tcBorders>
              <w:top w:val="single" w:sz="4" w:space="0" w:color="000000"/>
              <w:left w:val="single" w:sz="4" w:space="0" w:color="000000"/>
              <w:bottom w:val="single" w:sz="4" w:space="0" w:color="000000"/>
              <w:right w:val="single" w:sz="4" w:space="0" w:color="000000"/>
            </w:tcBorders>
          </w:tcPr>
          <w:p w14:paraId="2556AEE3"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+13.78</w:t>
            </w:r>
          </w:p>
        </w:tc>
      </w:tr>
      <w:tr w:rsidR="001A6EC7" w:rsidRPr="001A6EC7" w14:paraId="7AC54226" w14:textId="77777777" w:rsidTr="00A32CF8">
        <w:tc>
          <w:tcPr>
            <w:tcW w:w="3402" w:type="dxa"/>
            <w:tcBorders>
              <w:top w:val="single" w:sz="4" w:space="0" w:color="000000"/>
              <w:left w:val="single" w:sz="4" w:space="0" w:color="000000"/>
              <w:bottom w:val="single" w:sz="4" w:space="0" w:color="000000"/>
              <w:right w:val="single" w:sz="4" w:space="0" w:color="000000"/>
            </w:tcBorders>
          </w:tcPr>
          <w:p w14:paraId="0CD4FCD8" w14:textId="77777777" w:rsidR="001A6EC7" w:rsidRPr="001A6EC7" w:rsidRDefault="001A6EC7" w:rsidP="001A6EC7">
            <w:pPr>
              <w:suppressAutoHyphens/>
              <w:spacing w:line="240" w:lineRule="auto"/>
              <w:ind w:firstLine="0"/>
              <w:jc w:val="left"/>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Expenditure per capita, USD</w:t>
            </w:r>
          </w:p>
        </w:tc>
        <w:tc>
          <w:tcPr>
            <w:tcW w:w="1100" w:type="dxa"/>
            <w:tcBorders>
              <w:top w:val="single" w:sz="4" w:space="0" w:color="000000"/>
              <w:left w:val="single" w:sz="4" w:space="0" w:color="000000"/>
              <w:bottom w:val="single" w:sz="4" w:space="0" w:color="000000"/>
              <w:right w:val="single" w:sz="4" w:space="0" w:color="000000"/>
            </w:tcBorders>
          </w:tcPr>
          <w:p w14:paraId="61F4B279"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129</w:t>
            </w:r>
          </w:p>
        </w:tc>
        <w:tc>
          <w:tcPr>
            <w:tcW w:w="992" w:type="dxa"/>
            <w:tcBorders>
              <w:top w:val="single" w:sz="4" w:space="0" w:color="000000"/>
              <w:left w:val="single" w:sz="4" w:space="0" w:color="000000"/>
              <w:bottom w:val="single" w:sz="4" w:space="0" w:color="000000"/>
              <w:right w:val="single" w:sz="4" w:space="0" w:color="000000"/>
            </w:tcBorders>
          </w:tcPr>
          <w:p w14:paraId="036FBB28"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385</w:t>
            </w:r>
          </w:p>
        </w:tc>
        <w:tc>
          <w:tcPr>
            <w:tcW w:w="1135" w:type="dxa"/>
            <w:tcBorders>
              <w:top w:val="single" w:sz="4" w:space="0" w:color="000000"/>
              <w:left w:val="single" w:sz="4" w:space="0" w:color="000000"/>
              <w:bottom w:val="single" w:sz="4" w:space="0" w:color="000000"/>
              <w:right w:val="single" w:sz="4" w:space="0" w:color="000000"/>
            </w:tcBorders>
          </w:tcPr>
          <w:p w14:paraId="706B8FEC"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270</w:t>
            </w:r>
          </w:p>
        </w:tc>
        <w:tc>
          <w:tcPr>
            <w:tcW w:w="1133" w:type="dxa"/>
            <w:tcBorders>
              <w:top w:val="single" w:sz="4" w:space="0" w:color="000000"/>
              <w:left w:val="single" w:sz="4" w:space="0" w:color="000000"/>
              <w:bottom w:val="single" w:sz="4" w:space="0" w:color="000000"/>
              <w:right w:val="single" w:sz="4" w:space="0" w:color="000000"/>
            </w:tcBorders>
          </w:tcPr>
          <w:p w14:paraId="697D38E2"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278</w:t>
            </w:r>
          </w:p>
        </w:tc>
        <w:tc>
          <w:tcPr>
            <w:tcW w:w="1135" w:type="dxa"/>
            <w:tcBorders>
              <w:top w:val="single" w:sz="4" w:space="0" w:color="000000"/>
              <w:left w:val="single" w:sz="4" w:space="0" w:color="000000"/>
              <w:bottom w:val="single" w:sz="4" w:space="0" w:color="000000"/>
              <w:right w:val="single" w:sz="4" w:space="0" w:color="000000"/>
            </w:tcBorders>
          </w:tcPr>
          <w:p w14:paraId="03FC2287"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317</w:t>
            </w:r>
          </w:p>
        </w:tc>
      </w:tr>
      <w:tr w:rsidR="001A6EC7" w:rsidRPr="001A6EC7" w14:paraId="431F2B55" w14:textId="77777777" w:rsidTr="00A32CF8">
        <w:tc>
          <w:tcPr>
            <w:tcW w:w="3402" w:type="dxa"/>
            <w:tcBorders>
              <w:top w:val="single" w:sz="4" w:space="0" w:color="000000"/>
              <w:left w:val="single" w:sz="4" w:space="0" w:color="000000"/>
              <w:bottom w:val="single" w:sz="4" w:space="0" w:color="000000"/>
              <w:right w:val="single" w:sz="4" w:space="0" w:color="000000"/>
            </w:tcBorders>
          </w:tcPr>
          <w:p w14:paraId="7C8792FA" w14:textId="77777777" w:rsidR="001A6EC7" w:rsidRPr="001A6EC7" w:rsidRDefault="001A6EC7" w:rsidP="001A6EC7">
            <w:pPr>
              <w:suppressAutoHyphens/>
              <w:spacing w:line="240" w:lineRule="auto"/>
              <w:ind w:firstLine="0"/>
              <w:jc w:val="left"/>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Military personnel, thousands</w:t>
            </w:r>
          </w:p>
        </w:tc>
        <w:tc>
          <w:tcPr>
            <w:tcW w:w="1100" w:type="dxa"/>
            <w:tcBorders>
              <w:top w:val="single" w:sz="4" w:space="0" w:color="000000"/>
              <w:left w:val="single" w:sz="4" w:space="0" w:color="000000"/>
              <w:bottom w:val="single" w:sz="4" w:space="0" w:color="000000"/>
              <w:right w:val="single" w:sz="4" w:space="0" w:color="000000"/>
            </w:tcBorders>
          </w:tcPr>
          <w:p w14:paraId="781E85AA"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27.5</w:t>
            </w:r>
          </w:p>
        </w:tc>
        <w:tc>
          <w:tcPr>
            <w:tcW w:w="992" w:type="dxa"/>
            <w:tcBorders>
              <w:top w:val="single" w:sz="4" w:space="0" w:color="000000"/>
              <w:left w:val="single" w:sz="4" w:space="0" w:color="000000"/>
              <w:bottom w:val="single" w:sz="4" w:space="0" w:color="000000"/>
              <w:right w:val="single" w:sz="4" w:space="0" w:color="000000"/>
            </w:tcBorders>
          </w:tcPr>
          <w:p w14:paraId="45FACCE9"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24.6</w:t>
            </w:r>
          </w:p>
        </w:tc>
        <w:tc>
          <w:tcPr>
            <w:tcW w:w="1135" w:type="dxa"/>
            <w:tcBorders>
              <w:top w:val="single" w:sz="4" w:space="0" w:color="000000"/>
              <w:left w:val="single" w:sz="4" w:space="0" w:color="000000"/>
              <w:bottom w:val="single" w:sz="4" w:space="0" w:color="000000"/>
              <w:right w:val="single" w:sz="4" w:space="0" w:color="000000"/>
            </w:tcBorders>
          </w:tcPr>
          <w:p w14:paraId="4193CDC0"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25.6</w:t>
            </w:r>
          </w:p>
        </w:tc>
        <w:tc>
          <w:tcPr>
            <w:tcW w:w="1133" w:type="dxa"/>
            <w:tcBorders>
              <w:top w:val="single" w:sz="4" w:space="0" w:color="000000"/>
              <w:left w:val="single" w:sz="4" w:space="0" w:color="000000"/>
              <w:bottom w:val="single" w:sz="4" w:space="0" w:color="000000"/>
              <w:right w:val="single" w:sz="4" w:space="0" w:color="000000"/>
            </w:tcBorders>
          </w:tcPr>
          <w:p w14:paraId="5E49270C"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25.5</w:t>
            </w:r>
          </w:p>
        </w:tc>
        <w:tc>
          <w:tcPr>
            <w:tcW w:w="1135" w:type="dxa"/>
            <w:tcBorders>
              <w:top w:val="single" w:sz="4" w:space="0" w:color="000000"/>
              <w:left w:val="single" w:sz="4" w:space="0" w:color="000000"/>
              <w:bottom w:val="single" w:sz="4" w:space="0" w:color="000000"/>
              <w:right w:val="single" w:sz="4" w:space="0" w:color="000000"/>
            </w:tcBorders>
          </w:tcPr>
          <w:p w14:paraId="376BF191" w14:textId="77777777" w:rsidR="001A6EC7" w:rsidRPr="001A6EC7"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1A6EC7">
              <w:rPr>
                <w:rFonts w:ascii="Times New Roman" w:eastAsia="Times New Roman" w:hAnsi="Times New Roman" w:cs="Arial"/>
                <w:sz w:val="24"/>
                <w:szCs w:val="24"/>
                <w:lang w:val="en-GB"/>
              </w:rPr>
              <w:t>26.6</w:t>
            </w:r>
          </w:p>
        </w:tc>
      </w:tr>
    </w:tbl>
    <w:p w14:paraId="1B48DA48" w14:textId="4E9F6325" w:rsidR="001A6EC7" w:rsidRPr="00C932C8" w:rsidRDefault="001A6EC7" w:rsidP="001A6EC7">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i/>
          <w:sz w:val="24"/>
          <w:lang w:val="en-GB"/>
        </w:rPr>
        <w:t>Source: NATO [2]. Figures for 2025 are preliminary.</w:t>
      </w:r>
    </w:p>
    <w:p w14:paraId="14F177C6" w14:textId="77777777" w:rsidR="00BF395A" w:rsidRDefault="00BF395A" w:rsidP="00362AD8">
      <w:pPr>
        <w:suppressAutoHyphens/>
        <w:spacing w:line="240" w:lineRule="auto"/>
        <w:ind w:firstLine="567"/>
        <w:rPr>
          <w:rFonts w:ascii="Times New Roman" w:eastAsia="Times New Roman" w:hAnsi="Times New Roman" w:cs="Arial"/>
          <w:sz w:val="28"/>
          <w:lang w:val="en-GB"/>
        </w:rPr>
      </w:pPr>
    </w:p>
    <w:p w14:paraId="61F83D0B" w14:textId="0FA70181" w:rsidR="00155B33" w:rsidRPr="00C932C8" w:rsidRDefault="00155B33" w:rsidP="00362AD8">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The situation of Bulgaria in comparative terms is also of interest. Defence expenditure per capita in our country (USD 317 for 2025) amounts to 35.6% of that of the "NATO Europe and Canada" group (USD 891). It should be explicitly emphasised that the dramatic gap is not attributable solely and exclusively to a mismatch in the size of the economies. Evidence supporting this judgement is contained in the fact that GDP per capita in Bulgaria amounts to 39% of the average for the "NATO Europe and Canada" countries. It is evident that fiscal policy in the defence sector also plays a role in the lagging behind the Allies.</w:t>
      </w:r>
    </w:p>
    <w:p w14:paraId="4EC5372A" w14:textId="0E8CAC77" w:rsidR="00155B33" w:rsidRDefault="00155B33" w:rsidP="00BF395A">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lastRenderedPageBreak/>
        <w:t>The manner in which budgetary expenditure is distributed across functional categories is another (and more important) question. In accordance with Alliance reporting, four groups are distinguished. More specifically, these are: 1) equipment, 2) personnel, 3) infrastructure, and 4) a residual category, designated as "Other" [2]. For the purposes of the present study, it is precisely the latter that is of decisive importance. It consists predominantly of expenditure on operation and maintenance (but also of part of software expenditure) and therefore has a direct bearing on the resources (including ammunition, petroleum products, spare parts, etc.) that are critical for the actual utilisation of available equipment and for actual defence capability. The specific values in recent years and the dynamics of the "Other" category within the structure of defence expenditure raise the well-founded question regarding the country's defence capacity.</w:t>
      </w:r>
    </w:p>
    <w:p w14:paraId="45C11A49" w14:textId="77777777" w:rsidR="00BF395A" w:rsidRPr="00C932C8" w:rsidRDefault="00BF395A" w:rsidP="00BF395A">
      <w:pPr>
        <w:suppressAutoHyphens/>
        <w:spacing w:line="240" w:lineRule="auto"/>
        <w:ind w:firstLine="567"/>
        <w:rPr>
          <w:rFonts w:ascii="Times New Roman" w:eastAsia="Times New Roman" w:hAnsi="Times New Roman" w:cs="Arial"/>
          <w:sz w:val="28"/>
          <w:lang w:val="en-GB"/>
        </w:rPr>
      </w:pPr>
    </w:p>
    <w:p w14:paraId="53118CF7" w14:textId="77777777" w:rsidR="001A6EC7" w:rsidRPr="00C932C8" w:rsidRDefault="001A6EC7" w:rsidP="00BF395A">
      <w:pPr>
        <w:keepNext/>
        <w:suppressAutoHyphens/>
        <w:spacing w:line="240" w:lineRule="auto"/>
        <w:ind w:firstLine="0"/>
        <w:jc w:val="center"/>
        <w:rPr>
          <w:rFonts w:ascii="Times New Roman" w:eastAsia="Times New Roman" w:hAnsi="Times New Roman" w:cs="Arial"/>
          <w:sz w:val="28"/>
          <w:lang w:val="en-GB"/>
        </w:rPr>
      </w:pPr>
      <w:r w:rsidRPr="00C932C8">
        <w:rPr>
          <w:rFonts w:ascii="Times New Roman" w:eastAsia="Times New Roman" w:hAnsi="Times New Roman" w:cs="Arial"/>
          <w:b/>
          <w:sz w:val="28"/>
          <w:lang w:val="en-GB"/>
        </w:rPr>
        <w:t>Table 2</w:t>
      </w:r>
      <w:r w:rsidRPr="00C932C8">
        <w:rPr>
          <w:rFonts w:ascii="Times New Roman" w:eastAsia="Times New Roman" w:hAnsi="Times New Roman" w:cs="Arial"/>
          <w:sz w:val="28"/>
          <w:lang w:val="en-GB"/>
        </w:rPr>
        <w:t xml:space="preserve"> – Distribution of Bulgarian defence expenditure by main category, </w:t>
      </w:r>
    </w:p>
    <w:p w14:paraId="6359B36C" w14:textId="77777777" w:rsidR="001A6EC7" w:rsidRPr="00C932C8" w:rsidRDefault="001A6EC7" w:rsidP="001A6EC7">
      <w:pPr>
        <w:keepNext/>
        <w:suppressAutoHyphens/>
        <w:spacing w:before="120" w:after="40" w:line="240" w:lineRule="auto"/>
        <w:ind w:firstLine="0"/>
        <w:jc w:val="center"/>
        <w:rPr>
          <w:rFonts w:ascii="Times New Roman" w:eastAsia="Times New Roman" w:hAnsi="Times New Roman" w:cs="Arial"/>
          <w:sz w:val="28"/>
          <w:lang w:val="en-GB"/>
        </w:rPr>
      </w:pPr>
      <w:r w:rsidRPr="00C932C8">
        <w:rPr>
          <w:rFonts w:ascii="Times New Roman" w:eastAsia="Times New Roman" w:hAnsi="Times New Roman" w:cs="Arial"/>
          <w:sz w:val="28"/>
          <w:lang w:val="en-GB"/>
        </w:rPr>
        <w:t>per cent of total, 2014-2025</w:t>
      </w:r>
    </w:p>
    <w:tbl>
      <w:tblPr>
        <w:tblW w:w="9039" w:type="dxa"/>
        <w:tblInd w:w="-113" w:type="dxa"/>
        <w:tblLayout w:type="fixed"/>
        <w:tblLook w:val="04A0" w:firstRow="1" w:lastRow="0" w:firstColumn="1" w:lastColumn="0" w:noHBand="0" w:noVBand="1"/>
      </w:tblPr>
      <w:tblGrid>
        <w:gridCol w:w="1474"/>
        <w:gridCol w:w="1894"/>
        <w:gridCol w:w="1842"/>
        <w:gridCol w:w="1985"/>
        <w:gridCol w:w="1844"/>
      </w:tblGrid>
      <w:tr w:rsidR="001A6EC7" w:rsidRPr="00C932C8" w14:paraId="59023745" w14:textId="77777777" w:rsidTr="00A32CF8">
        <w:tc>
          <w:tcPr>
            <w:tcW w:w="1474" w:type="dxa"/>
            <w:tcBorders>
              <w:top w:val="single" w:sz="4" w:space="0" w:color="000000"/>
              <w:left w:val="single" w:sz="4" w:space="0" w:color="000000"/>
              <w:bottom w:val="single" w:sz="4" w:space="0" w:color="000000"/>
              <w:right w:val="single" w:sz="4" w:space="0" w:color="000000"/>
            </w:tcBorders>
          </w:tcPr>
          <w:p w14:paraId="03453252"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b/>
                <w:sz w:val="24"/>
                <w:szCs w:val="24"/>
                <w:lang w:val="en-GB"/>
              </w:rPr>
              <w:t>Year</w:t>
            </w:r>
          </w:p>
        </w:tc>
        <w:tc>
          <w:tcPr>
            <w:tcW w:w="1894" w:type="dxa"/>
            <w:tcBorders>
              <w:top w:val="single" w:sz="4" w:space="0" w:color="000000"/>
              <w:left w:val="single" w:sz="4" w:space="0" w:color="000000"/>
              <w:bottom w:val="single" w:sz="4" w:space="0" w:color="000000"/>
              <w:right w:val="single" w:sz="4" w:space="0" w:color="000000"/>
            </w:tcBorders>
          </w:tcPr>
          <w:p w14:paraId="10A81F7A"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b/>
                <w:sz w:val="24"/>
                <w:szCs w:val="24"/>
                <w:lang w:val="en-GB"/>
              </w:rPr>
              <w:t>Equipment</w:t>
            </w:r>
          </w:p>
        </w:tc>
        <w:tc>
          <w:tcPr>
            <w:tcW w:w="1842" w:type="dxa"/>
            <w:tcBorders>
              <w:top w:val="single" w:sz="4" w:space="0" w:color="000000"/>
              <w:left w:val="single" w:sz="4" w:space="0" w:color="000000"/>
              <w:bottom w:val="single" w:sz="4" w:space="0" w:color="000000"/>
              <w:right w:val="single" w:sz="4" w:space="0" w:color="000000"/>
            </w:tcBorders>
          </w:tcPr>
          <w:p w14:paraId="1CCC3AD4"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b/>
                <w:sz w:val="24"/>
                <w:szCs w:val="24"/>
                <w:lang w:val="en-GB"/>
              </w:rPr>
              <w:t>Personnel</w:t>
            </w:r>
          </w:p>
        </w:tc>
        <w:tc>
          <w:tcPr>
            <w:tcW w:w="1985" w:type="dxa"/>
            <w:tcBorders>
              <w:top w:val="single" w:sz="4" w:space="0" w:color="000000"/>
              <w:left w:val="single" w:sz="4" w:space="0" w:color="000000"/>
              <w:bottom w:val="single" w:sz="4" w:space="0" w:color="000000"/>
              <w:right w:val="single" w:sz="4" w:space="0" w:color="000000"/>
            </w:tcBorders>
          </w:tcPr>
          <w:p w14:paraId="61F9A7A3"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b/>
                <w:sz w:val="24"/>
                <w:szCs w:val="24"/>
                <w:lang w:val="en-GB"/>
              </w:rPr>
              <w:t>Infrastructure</w:t>
            </w:r>
          </w:p>
        </w:tc>
        <w:tc>
          <w:tcPr>
            <w:tcW w:w="1844" w:type="dxa"/>
            <w:tcBorders>
              <w:top w:val="single" w:sz="4" w:space="0" w:color="000000"/>
              <w:left w:val="single" w:sz="4" w:space="0" w:color="000000"/>
              <w:bottom w:val="single" w:sz="4" w:space="0" w:color="000000"/>
              <w:right w:val="single" w:sz="4" w:space="0" w:color="000000"/>
            </w:tcBorders>
          </w:tcPr>
          <w:p w14:paraId="41A10323"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b/>
                <w:sz w:val="24"/>
                <w:szCs w:val="24"/>
                <w:lang w:val="en-GB"/>
              </w:rPr>
              <w:t>Other</w:t>
            </w:r>
          </w:p>
        </w:tc>
      </w:tr>
      <w:tr w:rsidR="001A6EC7" w:rsidRPr="00C932C8" w14:paraId="7415A6C8" w14:textId="77777777" w:rsidTr="00A32CF8">
        <w:tc>
          <w:tcPr>
            <w:tcW w:w="1474" w:type="dxa"/>
            <w:tcBorders>
              <w:top w:val="single" w:sz="4" w:space="0" w:color="000000"/>
              <w:left w:val="single" w:sz="4" w:space="0" w:color="000000"/>
              <w:bottom w:val="single" w:sz="4" w:space="0" w:color="000000"/>
              <w:right w:val="single" w:sz="4" w:space="0" w:color="000000"/>
            </w:tcBorders>
          </w:tcPr>
          <w:p w14:paraId="450F3EF0" w14:textId="77777777" w:rsidR="001A6EC7" w:rsidRPr="00C932C8" w:rsidRDefault="001A6EC7" w:rsidP="001A6EC7">
            <w:pPr>
              <w:suppressAutoHyphens/>
              <w:spacing w:line="240" w:lineRule="auto"/>
              <w:ind w:firstLine="0"/>
              <w:jc w:val="left"/>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2014</w:t>
            </w:r>
          </w:p>
        </w:tc>
        <w:tc>
          <w:tcPr>
            <w:tcW w:w="1894" w:type="dxa"/>
            <w:tcBorders>
              <w:top w:val="single" w:sz="4" w:space="0" w:color="000000"/>
              <w:left w:val="single" w:sz="4" w:space="0" w:color="000000"/>
              <w:bottom w:val="single" w:sz="4" w:space="0" w:color="000000"/>
              <w:right w:val="single" w:sz="4" w:space="0" w:color="000000"/>
            </w:tcBorders>
          </w:tcPr>
          <w:p w14:paraId="74EE541A"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1.03</w:t>
            </w:r>
          </w:p>
        </w:tc>
        <w:tc>
          <w:tcPr>
            <w:tcW w:w="1842" w:type="dxa"/>
            <w:tcBorders>
              <w:top w:val="single" w:sz="4" w:space="0" w:color="000000"/>
              <w:left w:val="single" w:sz="4" w:space="0" w:color="000000"/>
              <w:bottom w:val="single" w:sz="4" w:space="0" w:color="000000"/>
              <w:right w:val="single" w:sz="4" w:space="0" w:color="000000"/>
            </w:tcBorders>
          </w:tcPr>
          <w:p w14:paraId="761D5E41"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72.84</w:t>
            </w:r>
          </w:p>
        </w:tc>
        <w:tc>
          <w:tcPr>
            <w:tcW w:w="1985" w:type="dxa"/>
            <w:tcBorders>
              <w:top w:val="single" w:sz="4" w:space="0" w:color="000000"/>
              <w:left w:val="single" w:sz="4" w:space="0" w:color="000000"/>
              <w:bottom w:val="single" w:sz="4" w:space="0" w:color="000000"/>
              <w:right w:val="single" w:sz="4" w:space="0" w:color="000000"/>
            </w:tcBorders>
          </w:tcPr>
          <w:p w14:paraId="5FB5EAB5"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0.63</w:t>
            </w:r>
          </w:p>
        </w:tc>
        <w:tc>
          <w:tcPr>
            <w:tcW w:w="1844" w:type="dxa"/>
            <w:tcBorders>
              <w:top w:val="single" w:sz="4" w:space="0" w:color="000000"/>
              <w:left w:val="single" w:sz="4" w:space="0" w:color="000000"/>
              <w:bottom w:val="single" w:sz="4" w:space="0" w:color="000000"/>
              <w:right w:val="single" w:sz="4" w:space="0" w:color="000000"/>
            </w:tcBorders>
          </w:tcPr>
          <w:p w14:paraId="60FA0EC6"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25.51</w:t>
            </w:r>
          </w:p>
        </w:tc>
      </w:tr>
      <w:tr w:rsidR="001A6EC7" w:rsidRPr="00C932C8" w14:paraId="30AFD843" w14:textId="77777777" w:rsidTr="00A32CF8">
        <w:tc>
          <w:tcPr>
            <w:tcW w:w="1474" w:type="dxa"/>
            <w:tcBorders>
              <w:top w:val="single" w:sz="4" w:space="0" w:color="000000"/>
              <w:left w:val="single" w:sz="4" w:space="0" w:color="000000"/>
              <w:bottom w:val="single" w:sz="4" w:space="0" w:color="000000"/>
              <w:right w:val="single" w:sz="4" w:space="0" w:color="000000"/>
            </w:tcBorders>
          </w:tcPr>
          <w:p w14:paraId="7DAC3339" w14:textId="77777777" w:rsidR="001A6EC7" w:rsidRPr="00C932C8" w:rsidRDefault="001A6EC7" w:rsidP="001A6EC7">
            <w:pPr>
              <w:suppressAutoHyphens/>
              <w:spacing w:line="240" w:lineRule="auto"/>
              <w:ind w:firstLine="0"/>
              <w:jc w:val="left"/>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2019</w:t>
            </w:r>
          </w:p>
        </w:tc>
        <w:tc>
          <w:tcPr>
            <w:tcW w:w="1894" w:type="dxa"/>
            <w:tcBorders>
              <w:top w:val="single" w:sz="4" w:space="0" w:color="000000"/>
              <w:left w:val="single" w:sz="4" w:space="0" w:color="000000"/>
              <w:bottom w:val="single" w:sz="4" w:space="0" w:color="000000"/>
              <w:right w:val="single" w:sz="4" w:space="0" w:color="000000"/>
            </w:tcBorders>
          </w:tcPr>
          <w:p w14:paraId="5236198D"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59.74</w:t>
            </w:r>
          </w:p>
        </w:tc>
        <w:tc>
          <w:tcPr>
            <w:tcW w:w="1842" w:type="dxa"/>
            <w:tcBorders>
              <w:top w:val="single" w:sz="4" w:space="0" w:color="000000"/>
              <w:left w:val="single" w:sz="4" w:space="0" w:color="000000"/>
              <w:bottom w:val="single" w:sz="4" w:space="0" w:color="000000"/>
              <w:right w:val="single" w:sz="4" w:space="0" w:color="000000"/>
            </w:tcBorders>
          </w:tcPr>
          <w:p w14:paraId="007F1C34"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29.42</w:t>
            </w:r>
          </w:p>
        </w:tc>
        <w:tc>
          <w:tcPr>
            <w:tcW w:w="1985" w:type="dxa"/>
            <w:tcBorders>
              <w:top w:val="single" w:sz="4" w:space="0" w:color="000000"/>
              <w:left w:val="single" w:sz="4" w:space="0" w:color="000000"/>
              <w:bottom w:val="single" w:sz="4" w:space="0" w:color="000000"/>
              <w:right w:val="single" w:sz="4" w:space="0" w:color="000000"/>
            </w:tcBorders>
          </w:tcPr>
          <w:p w14:paraId="2769B289"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1.09</w:t>
            </w:r>
          </w:p>
        </w:tc>
        <w:tc>
          <w:tcPr>
            <w:tcW w:w="1844" w:type="dxa"/>
            <w:tcBorders>
              <w:top w:val="single" w:sz="4" w:space="0" w:color="000000"/>
              <w:left w:val="single" w:sz="4" w:space="0" w:color="000000"/>
              <w:bottom w:val="single" w:sz="4" w:space="0" w:color="000000"/>
              <w:right w:val="single" w:sz="4" w:space="0" w:color="000000"/>
            </w:tcBorders>
          </w:tcPr>
          <w:p w14:paraId="1CF2FBBA"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9.74</w:t>
            </w:r>
          </w:p>
        </w:tc>
      </w:tr>
      <w:tr w:rsidR="001A6EC7" w:rsidRPr="00C932C8" w14:paraId="66C5211C" w14:textId="77777777" w:rsidTr="00A32CF8">
        <w:tc>
          <w:tcPr>
            <w:tcW w:w="1474" w:type="dxa"/>
            <w:tcBorders>
              <w:top w:val="single" w:sz="4" w:space="0" w:color="000000"/>
              <w:left w:val="single" w:sz="4" w:space="0" w:color="000000"/>
              <w:bottom w:val="single" w:sz="4" w:space="0" w:color="000000"/>
              <w:right w:val="single" w:sz="4" w:space="0" w:color="000000"/>
            </w:tcBorders>
          </w:tcPr>
          <w:p w14:paraId="650861AF" w14:textId="77777777" w:rsidR="001A6EC7" w:rsidRPr="00C932C8" w:rsidRDefault="001A6EC7" w:rsidP="001A6EC7">
            <w:pPr>
              <w:suppressAutoHyphens/>
              <w:spacing w:line="240" w:lineRule="auto"/>
              <w:ind w:firstLine="0"/>
              <w:jc w:val="left"/>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2021</w:t>
            </w:r>
          </w:p>
        </w:tc>
        <w:tc>
          <w:tcPr>
            <w:tcW w:w="1894" w:type="dxa"/>
            <w:tcBorders>
              <w:top w:val="single" w:sz="4" w:space="0" w:color="000000"/>
              <w:left w:val="single" w:sz="4" w:space="0" w:color="000000"/>
              <w:bottom w:val="single" w:sz="4" w:space="0" w:color="000000"/>
              <w:right w:val="single" w:sz="4" w:space="0" w:color="000000"/>
            </w:tcBorders>
          </w:tcPr>
          <w:p w14:paraId="0D9868E1"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11.05</w:t>
            </w:r>
          </w:p>
        </w:tc>
        <w:tc>
          <w:tcPr>
            <w:tcW w:w="1842" w:type="dxa"/>
            <w:tcBorders>
              <w:top w:val="single" w:sz="4" w:space="0" w:color="000000"/>
              <w:left w:val="single" w:sz="4" w:space="0" w:color="000000"/>
              <w:bottom w:val="single" w:sz="4" w:space="0" w:color="000000"/>
              <w:right w:val="single" w:sz="4" w:space="0" w:color="000000"/>
            </w:tcBorders>
          </w:tcPr>
          <w:p w14:paraId="2AFC49EB"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65.59</w:t>
            </w:r>
          </w:p>
        </w:tc>
        <w:tc>
          <w:tcPr>
            <w:tcW w:w="1985" w:type="dxa"/>
            <w:tcBorders>
              <w:top w:val="single" w:sz="4" w:space="0" w:color="000000"/>
              <w:left w:val="single" w:sz="4" w:space="0" w:color="000000"/>
              <w:bottom w:val="single" w:sz="4" w:space="0" w:color="000000"/>
              <w:right w:val="single" w:sz="4" w:space="0" w:color="000000"/>
            </w:tcBorders>
          </w:tcPr>
          <w:p w14:paraId="2BAC8F78"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4.93</w:t>
            </w:r>
          </w:p>
        </w:tc>
        <w:tc>
          <w:tcPr>
            <w:tcW w:w="1844" w:type="dxa"/>
            <w:tcBorders>
              <w:top w:val="single" w:sz="4" w:space="0" w:color="000000"/>
              <w:left w:val="single" w:sz="4" w:space="0" w:color="000000"/>
              <w:bottom w:val="single" w:sz="4" w:space="0" w:color="000000"/>
              <w:right w:val="single" w:sz="4" w:space="0" w:color="000000"/>
            </w:tcBorders>
          </w:tcPr>
          <w:p w14:paraId="1608B2EE"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18.43</w:t>
            </w:r>
          </w:p>
        </w:tc>
      </w:tr>
      <w:tr w:rsidR="001A6EC7" w:rsidRPr="00C932C8" w14:paraId="367002BB" w14:textId="77777777" w:rsidTr="00A32CF8">
        <w:tc>
          <w:tcPr>
            <w:tcW w:w="1474" w:type="dxa"/>
            <w:tcBorders>
              <w:top w:val="single" w:sz="4" w:space="0" w:color="000000"/>
              <w:left w:val="single" w:sz="4" w:space="0" w:color="000000"/>
              <w:bottom w:val="single" w:sz="4" w:space="0" w:color="000000"/>
              <w:right w:val="single" w:sz="4" w:space="0" w:color="000000"/>
            </w:tcBorders>
          </w:tcPr>
          <w:p w14:paraId="33942868" w14:textId="77777777" w:rsidR="001A6EC7" w:rsidRPr="00C932C8" w:rsidRDefault="001A6EC7" w:rsidP="001A6EC7">
            <w:pPr>
              <w:suppressAutoHyphens/>
              <w:spacing w:line="240" w:lineRule="auto"/>
              <w:ind w:firstLine="0"/>
              <w:jc w:val="left"/>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2023</w:t>
            </w:r>
          </w:p>
        </w:tc>
        <w:tc>
          <w:tcPr>
            <w:tcW w:w="1894" w:type="dxa"/>
            <w:tcBorders>
              <w:top w:val="single" w:sz="4" w:space="0" w:color="000000"/>
              <w:left w:val="single" w:sz="4" w:space="0" w:color="000000"/>
              <w:bottom w:val="single" w:sz="4" w:space="0" w:color="000000"/>
              <w:right w:val="single" w:sz="4" w:space="0" w:color="000000"/>
            </w:tcBorders>
          </w:tcPr>
          <w:p w14:paraId="55DEF393"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28.05</w:t>
            </w:r>
          </w:p>
        </w:tc>
        <w:tc>
          <w:tcPr>
            <w:tcW w:w="1842" w:type="dxa"/>
            <w:tcBorders>
              <w:top w:val="single" w:sz="4" w:space="0" w:color="000000"/>
              <w:left w:val="single" w:sz="4" w:space="0" w:color="000000"/>
              <w:bottom w:val="single" w:sz="4" w:space="0" w:color="000000"/>
              <w:right w:val="single" w:sz="4" w:space="0" w:color="000000"/>
            </w:tcBorders>
          </w:tcPr>
          <w:p w14:paraId="6533276A"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53.14</w:t>
            </w:r>
          </w:p>
        </w:tc>
        <w:tc>
          <w:tcPr>
            <w:tcW w:w="1985" w:type="dxa"/>
            <w:tcBorders>
              <w:top w:val="single" w:sz="4" w:space="0" w:color="000000"/>
              <w:left w:val="single" w:sz="4" w:space="0" w:color="000000"/>
              <w:bottom w:val="single" w:sz="4" w:space="0" w:color="000000"/>
              <w:right w:val="single" w:sz="4" w:space="0" w:color="000000"/>
            </w:tcBorders>
          </w:tcPr>
          <w:p w14:paraId="767C059D"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2.01</w:t>
            </w:r>
          </w:p>
        </w:tc>
        <w:tc>
          <w:tcPr>
            <w:tcW w:w="1844" w:type="dxa"/>
            <w:tcBorders>
              <w:top w:val="single" w:sz="4" w:space="0" w:color="000000"/>
              <w:left w:val="single" w:sz="4" w:space="0" w:color="000000"/>
              <w:bottom w:val="single" w:sz="4" w:space="0" w:color="000000"/>
              <w:right w:val="single" w:sz="4" w:space="0" w:color="000000"/>
            </w:tcBorders>
          </w:tcPr>
          <w:p w14:paraId="0EF05EC2"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16.80</w:t>
            </w:r>
          </w:p>
        </w:tc>
      </w:tr>
      <w:tr w:rsidR="001A6EC7" w:rsidRPr="00C932C8" w14:paraId="4796E85A" w14:textId="77777777" w:rsidTr="00A32CF8">
        <w:tc>
          <w:tcPr>
            <w:tcW w:w="1474" w:type="dxa"/>
            <w:tcBorders>
              <w:top w:val="single" w:sz="4" w:space="0" w:color="000000"/>
              <w:left w:val="single" w:sz="4" w:space="0" w:color="000000"/>
              <w:bottom w:val="single" w:sz="4" w:space="0" w:color="000000"/>
              <w:right w:val="single" w:sz="4" w:space="0" w:color="000000"/>
            </w:tcBorders>
          </w:tcPr>
          <w:p w14:paraId="02259A00" w14:textId="77777777" w:rsidR="001A6EC7" w:rsidRPr="00C932C8" w:rsidRDefault="001A6EC7" w:rsidP="001A6EC7">
            <w:pPr>
              <w:suppressAutoHyphens/>
              <w:spacing w:line="240" w:lineRule="auto"/>
              <w:ind w:firstLine="0"/>
              <w:jc w:val="left"/>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2024</w:t>
            </w:r>
          </w:p>
        </w:tc>
        <w:tc>
          <w:tcPr>
            <w:tcW w:w="1894" w:type="dxa"/>
            <w:tcBorders>
              <w:top w:val="single" w:sz="4" w:space="0" w:color="000000"/>
              <w:left w:val="single" w:sz="4" w:space="0" w:color="000000"/>
              <w:bottom w:val="single" w:sz="4" w:space="0" w:color="000000"/>
              <w:right w:val="single" w:sz="4" w:space="0" w:color="000000"/>
            </w:tcBorders>
          </w:tcPr>
          <w:p w14:paraId="7791B236"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28.68</w:t>
            </w:r>
          </w:p>
        </w:tc>
        <w:tc>
          <w:tcPr>
            <w:tcW w:w="1842" w:type="dxa"/>
            <w:tcBorders>
              <w:top w:val="single" w:sz="4" w:space="0" w:color="000000"/>
              <w:left w:val="single" w:sz="4" w:space="0" w:color="000000"/>
              <w:bottom w:val="single" w:sz="4" w:space="0" w:color="000000"/>
              <w:right w:val="single" w:sz="4" w:space="0" w:color="000000"/>
            </w:tcBorders>
          </w:tcPr>
          <w:p w14:paraId="2B6EB503"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55.15</w:t>
            </w:r>
          </w:p>
        </w:tc>
        <w:tc>
          <w:tcPr>
            <w:tcW w:w="1985" w:type="dxa"/>
            <w:tcBorders>
              <w:top w:val="single" w:sz="4" w:space="0" w:color="000000"/>
              <w:left w:val="single" w:sz="4" w:space="0" w:color="000000"/>
              <w:bottom w:val="single" w:sz="4" w:space="0" w:color="000000"/>
              <w:right w:val="single" w:sz="4" w:space="0" w:color="000000"/>
            </w:tcBorders>
          </w:tcPr>
          <w:p w14:paraId="5122F427"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0.90</w:t>
            </w:r>
          </w:p>
        </w:tc>
        <w:tc>
          <w:tcPr>
            <w:tcW w:w="1844" w:type="dxa"/>
            <w:tcBorders>
              <w:top w:val="single" w:sz="4" w:space="0" w:color="000000"/>
              <w:left w:val="single" w:sz="4" w:space="0" w:color="000000"/>
              <w:bottom w:val="single" w:sz="4" w:space="0" w:color="000000"/>
              <w:right w:val="single" w:sz="4" w:space="0" w:color="000000"/>
            </w:tcBorders>
          </w:tcPr>
          <w:p w14:paraId="44FD619F"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15.28</w:t>
            </w:r>
          </w:p>
        </w:tc>
      </w:tr>
      <w:tr w:rsidR="001A6EC7" w:rsidRPr="00C932C8" w14:paraId="75C08CA6" w14:textId="77777777" w:rsidTr="00A32CF8">
        <w:tc>
          <w:tcPr>
            <w:tcW w:w="1474" w:type="dxa"/>
            <w:tcBorders>
              <w:top w:val="single" w:sz="4" w:space="0" w:color="000000"/>
              <w:left w:val="single" w:sz="4" w:space="0" w:color="000000"/>
              <w:bottom w:val="single" w:sz="4" w:space="0" w:color="000000"/>
              <w:right w:val="single" w:sz="4" w:space="0" w:color="000000"/>
            </w:tcBorders>
          </w:tcPr>
          <w:p w14:paraId="035CAB80" w14:textId="77777777" w:rsidR="001A6EC7" w:rsidRPr="00C932C8" w:rsidRDefault="001A6EC7" w:rsidP="001A6EC7">
            <w:pPr>
              <w:suppressAutoHyphens/>
              <w:spacing w:line="240" w:lineRule="auto"/>
              <w:ind w:firstLine="0"/>
              <w:jc w:val="left"/>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2025</w:t>
            </w:r>
          </w:p>
        </w:tc>
        <w:tc>
          <w:tcPr>
            <w:tcW w:w="1894" w:type="dxa"/>
            <w:tcBorders>
              <w:top w:val="single" w:sz="4" w:space="0" w:color="000000"/>
              <w:left w:val="single" w:sz="4" w:space="0" w:color="000000"/>
              <w:bottom w:val="single" w:sz="4" w:space="0" w:color="000000"/>
              <w:right w:val="single" w:sz="4" w:space="0" w:color="000000"/>
            </w:tcBorders>
          </w:tcPr>
          <w:p w14:paraId="152C0912"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28.43</w:t>
            </w:r>
          </w:p>
        </w:tc>
        <w:tc>
          <w:tcPr>
            <w:tcW w:w="1842" w:type="dxa"/>
            <w:tcBorders>
              <w:top w:val="single" w:sz="4" w:space="0" w:color="000000"/>
              <w:left w:val="single" w:sz="4" w:space="0" w:color="000000"/>
              <w:bottom w:val="single" w:sz="4" w:space="0" w:color="000000"/>
              <w:right w:val="single" w:sz="4" w:space="0" w:color="000000"/>
            </w:tcBorders>
          </w:tcPr>
          <w:p w14:paraId="5564BA86"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54.34</w:t>
            </w:r>
          </w:p>
        </w:tc>
        <w:tc>
          <w:tcPr>
            <w:tcW w:w="1985" w:type="dxa"/>
            <w:tcBorders>
              <w:top w:val="single" w:sz="4" w:space="0" w:color="000000"/>
              <w:left w:val="single" w:sz="4" w:space="0" w:color="000000"/>
              <w:bottom w:val="single" w:sz="4" w:space="0" w:color="000000"/>
              <w:right w:val="single" w:sz="4" w:space="0" w:color="000000"/>
            </w:tcBorders>
          </w:tcPr>
          <w:p w14:paraId="14548F5C"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0.31</w:t>
            </w:r>
          </w:p>
        </w:tc>
        <w:tc>
          <w:tcPr>
            <w:tcW w:w="1844" w:type="dxa"/>
            <w:tcBorders>
              <w:top w:val="single" w:sz="4" w:space="0" w:color="000000"/>
              <w:left w:val="single" w:sz="4" w:space="0" w:color="000000"/>
              <w:bottom w:val="single" w:sz="4" w:space="0" w:color="000000"/>
              <w:right w:val="single" w:sz="4" w:space="0" w:color="000000"/>
            </w:tcBorders>
          </w:tcPr>
          <w:p w14:paraId="0B0C6663" w14:textId="77777777" w:rsidR="001A6EC7" w:rsidRPr="00C932C8" w:rsidRDefault="001A6EC7" w:rsidP="001A6EC7">
            <w:pPr>
              <w:suppressAutoHyphens/>
              <w:spacing w:line="240" w:lineRule="auto"/>
              <w:ind w:firstLine="0"/>
              <w:jc w:val="center"/>
              <w:rPr>
                <w:rFonts w:ascii="Times New Roman" w:eastAsia="Times New Roman" w:hAnsi="Times New Roman" w:cs="Arial"/>
                <w:sz w:val="24"/>
                <w:szCs w:val="24"/>
                <w:lang w:val="en-GB"/>
              </w:rPr>
            </w:pPr>
            <w:r w:rsidRPr="00C932C8">
              <w:rPr>
                <w:rFonts w:ascii="Times New Roman" w:eastAsia="Times New Roman" w:hAnsi="Times New Roman" w:cs="Arial"/>
                <w:sz w:val="24"/>
                <w:szCs w:val="24"/>
                <w:lang w:val="en-GB"/>
              </w:rPr>
              <w:t>16.91</w:t>
            </w:r>
          </w:p>
        </w:tc>
      </w:tr>
    </w:tbl>
    <w:p w14:paraId="76E0AE58" w14:textId="77777777" w:rsidR="001A6EC7" w:rsidRPr="00C932C8" w:rsidRDefault="001A6EC7" w:rsidP="00BF395A">
      <w:pPr>
        <w:suppressAutoHyphens/>
        <w:spacing w:line="240" w:lineRule="auto"/>
        <w:ind w:firstLine="567"/>
        <w:rPr>
          <w:rFonts w:ascii="Times New Roman" w:eastAsia="Times New Roman" w:hAnsi="Times New Roman" w:cs="Arial"/>
          <w:i/>
          <w:sz w:val="24"/>
          <w:lang w:val="en-GB"/>
        </w:rPr>
      </w:pPr>
      <w:r w:rsidRPr="00C932C8">
        <w:rPr>
          <w:rFonts w:ascii="Times New Roman" w:eastAsia="Times New Roman" w:hAnsi="Times New Roman" w:cs="Arial"/>
          <w:i/>
          <w:sz w:val="24"/>
          <w:lang w:val="en-GB"/>
        </w:rPr>
        <w:t>Source: NATO [2], tables 8a and 8b.</w:t>
      </w:r>
    </w:p>
    <w:p w14:paraId="361D0080" w14:textId="77777777" w:rsidR="00BF395A" w:rsidRDefault="00BF395A" w:rsidP="00BF395A">
      <w:pPr>
        <w:suppressAutoHyphens/>
        <w:spacing w:line="240" w:lineRule="auto"/>
        <w:ind w:firstLine="567"/>
        <w:rPr>
          <w:rFonts w:ascii="Times New Roman" w:eastAsia="Times New Roman" w:hAnsi="Times New Roman" w:cs="Arial"/>
          <w:sz w:val="28"/>
          <w:lang w:val="en-GB"/>
        </w:rPr>
      </w:pPr>
    </w:p>
    <w:p w14:paraId="058B389F" w14:textId="1C1A402F" w:rsidR="00155B33" w:rsidRPr="00C932C8" w:rsidRDefault="00155B33" w:rsidP="00BF395A">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 xml:space="preserve">The data in Table 2 call for a more detailed analysis. The principal characteristics of Bulgarian spending practice may be summarised in several points. In the first place, the expenditure structure as a whole (not only the "Other" item) is exceptionally dynamic. The values for 2019 are a direct consequence of one specific measure. More specifically, this concerns a one-off, substantial (in fiscal terms) payment under the fighter jet acquisition programme. In this way, within a single year, the cited expenditure sharply increased the relative weight of the "Equipment" category (which reached 59.74%) and compressed the share of personnel payments to below 30%. By comparison, in 2021 the budgetary resource directed towards "Equipment" was already 11.05% of total expenditure, while personnel maintenance accounted for 65.59%. The amplitude of the equipment </w:t>
      </w:r>
      <w:proofErr w:type="gramStart"/>
      <w:r w:rsidRPr="00C932C8">
        <w:rPr>
          <w:rFonts w:ascii="Times New Roman" w:eastAsia="Times New Roman" w:hAnsi="Times New Roman" w:cs="Arial"/>
          <w:sz w:val="28"/>
          <w:lang w:val="en-GB"/>
        </w:rPr>
        <w:t>share</w:t>
      </w:r>
      <w:proofErr w:type="gramEnd"/>
      <w:r w:rsidRPr="00C932C8">
        <w:rPr>
          <w:rFonts w:ascii="Times New Roman" w:eastAsia="Times New Roman" w:hAnsi="Times New Roman" w:cs="Arial"/>
          <w:sz w:val="28"/>
          <w:lang w:val="en-GB"/>
        </w:rPr>
        <w:t xml:space="preserve"> (this being the "Equipment" item) over the time span presented in Table 2 (2014–2025) exceeds 58 percentage points. It is appropriate to note here that the same indicator has a value of 4.83 for the United States, 6.38 for France, and below 9 for Norway. It is fair to acknowledge that the volatility of the equipment share in the Bulgarian context has decreased sharply over the last three years (a value below 1). The question regarding the amplitude values is not merely academic. It carries important practical significance for planning purposes. It is clear that values exceeding a single-digit </w:t>
      </w:r>
      <w:proofErr w:type="gramStart"/>
      <w:r w:rsidRPr="00C932C8">
        <w:rPr>
          <w:rFonts w:ascii="Times New Roman" w:eastAsia="Times New Roman" w:hAnsi="Times New Roman" w:cs="Arial"/>
          <w:sz w:val="28"/>
          <w:lang w:val="en-GB"/>
        </w:rPr>
        <w:t>number</w:t>
      </w:r>
      <w:proofErr w:type="gramEnd"/>
      <w:r w:rsidRPr="00C932C8">
        <w:rPr>
          <w:rFonts w:ascii="Times New Roman" w:eastAsia="Times New Roman" w:hAnsi="Times New Roman" w:cs="Arial"/>
          <w:sz w:val="28"/>
          <w:lang w:val="en-GB"/>
        </w:rPr>
        <w:t xml:space="preserve"> severely complicate strategic planning and long-term budgetary target-setting. For the purposes of the present study, another point is crucial: high volatility compromises the realistic assessment of long-term investments with a deferred (in time) fiscal outcome.</w:t>
      </w:r>
    </w:p>
    <w:p w14:paraId="4C70EB53" w14:textId="77777777" w:rsidR="00155B33" w:rsidRPr="00C932C8" w:rsidRDefault="00155B33" w:rsidP="00362AD8">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lastRenderedPageBreak/>
        <w:t>In the second place, the relative weight of personnel expenditure is persistently high. In precise figures, it stands at 72.84% in 2014, 65.59% in 2021, and 55.15% in 2024. It became clear that the specific (lowest for the period) value for 2019 is explained by an internal restructuring of expenditure. Insofar as the issues are being analysed and the problems emerge through comparison, the following data should be cited: in 2025, personnel maintenance in Bulgaria is 54.34% of total expenditure, whereas the same indicator for Estonia is 23.60%, and for the Czech Republic, 28.49%. In fact, our country is among the three NATO member states with the highest share of personnel expenditure [2]. Such high values of the indicator under analysis illustrate a substantial problem. They indicate low capital intensity per employed person and a probability of persistent pressure for wage increases. The latter is a logical consequence of a characteristic feature of the public sector: where capital cannot readily substitute for labour, an increase in labour costs typically follows. The rigour of the analysis requires noting that the problem is probably less pronounced in the sphere of defence compared to other areas of the public sector [6]. Personnel expenditure (for purely political, trade-union, or other reasons) should be regarded as a relatively constant magnitude (particularly in the short term), and this fact signals yet another problem. Should budgetary cuts in defence become necessary, they will inevitably affect other budget lines. Presumably, the main burden of restrictions will fall on the funds allocated for operation and maintenance. It has already been indicated that this category of expenditure exerts a substantial effect on actual defence capability, and consequently, cuts therein will result in reduced defence capacity. In comparative terms, it is worth highlighting the practice in Finland. The cited Alliance member spends 18.39% of its total defence budget on personnel (according to 2025 data). The difference with our country (54.34%) is considerable, and this despite the fact that the size of the armed forces is approximately equal (the difference is slightly over one thousand personnel). The need for reform in the area under analysis for Bulgaria should be assessed as indisputable.</w:t>
      </w:r>
    </w:p>
    <w:p w14:paraId="6D6272CB" w14:textId="0DD98A57" w:rsidR="00155B33" w:rsidRDefault="00155B33" w:rsidP="00BF395A">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 xml:space="preserve">Third, the relative weight of the "Other" category, which includes expenditure on operation and maintenance of equipment as well as part of software investment, exhibits a downward trend. The share of this group is 25.51% in 2014, 18.43% in 2021, and 16.91% at the end of the period under analysis. At the same time, the funds directed towards the "Equipment" group in 2025 are higher than those at the beginning of the period </w:t>
      </w:r>
      <w:proofErr w:type="spellStart"/>
      <w:r w:rsidRPr="00C932C8">
        <w:rPr>
          <w:rFonts w:ascii="Times New Roman" w:eastAsia="Times New Roman" w:hAnsi="Times New Roman" w:cs="Arial"/>
          <w:sz w:val="28"/>
          <w:lang w:val="en-GB"/>
        </w:rPr>
        <w:t>and than</w:t>
      </w:r>
      <w:proofErr w:type="spellEnd"/>
      <w:r w:rsidRPr="00C932C8">
        <w:rPr>
          <w:rFonts w:ascii="Times New Roman" w:eastAsia="Times New Roman" w:hAnsi="Times New Roman" w:cs="Arial"/>
          <w:sz w:val="28"/>
          <w:lang w:val="en-GB"/>
        </w:rPr>
        <w:t xml:space="preserve"> the values of this indicator in 2021. Over the last three years (2023–2025), the relative weight of equipment remains almost unchanged, with a share that exceeds that of operation and maintenance expenditure. The cited data require a more detailed interpretation. A situation in which the defence budget allocates more and increasing funds for the purchase of new equipment while, as a relative share, it reduces expenditure on operation and maintenance, all other things being equal, illustrates suboptimal utilisation of equipment and/or the deferral of repair costs. It is appropriate to note here that an increase in operation and maintenance expenditure is in fact normal practice. For example, the United States Department of </w:t>
      </w:r>
      <w:proofErr w:type="spellStart"/>
      <w:r w:rsidRPr="00C932C8">
        <w:rPr>
          <w:rFonts w:ascii="Times New Roman" w:eastAsia="Times New Roman" w:hAnsi="Times New Roman" w:cs="Arial"/>
          <w:sz w:val="28"/>
          <w:lang w:val="en-GB"/>
        </w:rPr>
        <w:t>Defense</w:t>
      </w:r>
      <w:proofErr w:type="spellEnd"/>
      <w:r w:rsidRPr="00C932C8">
        <w:rPr>
          <w:rFonts w:ascii="Times New Roman" w:eastAsia="Times New Roman" w:hAnsi="Times New Roman" w:cs="Arial"/>
          <w:sz w:val="28"/>
          <w:lang w:val="en-GB"/>
        </w:rPr>
        <w:t xml:space="preserve"> reports the presence of such a trend, which it attributes to the influence </w:t>
      </w:r>
      <w:r w:rsidRPr="00C932C8">
        <w:rPr>
          <w:rFonts w:ascii="Times New Roman" w:eastAsia="Times New Roman" w:hAnsi="Times New Roman" w:cs="Arial"/>
          <w:sz w:val="28"/>
          <w:lang w:val="en-GB"/>
        </w:rPr>
        <w:lastRenderedPageBreak/>
        <w:t>of a complex of factors, including the extension of service life and unplanned costs [7]. There are sufficient grounds to conclude that the dynamics in the structure of Bulgaria's defence expenditure do not contribute to an increase in the actual capabilities of the armed forces.</w:t>
      </w:r>
    </w:p>
    <w:p w14:paraId="6D9CD304" w14:textId="77777777" w:rsidR="00BF395A" w:rsidRPr="00C932C8" w:rsidRDefault="00BF395A" w:rsidP="00BF395A">
      <w:pPr>
        <w:suppressAutoHyphens/>
        <w:spacing w:line="240" w:lineRule="auto"/>
        <w:ind w:firstLine="567"/>
        <w:rPr>
          <w:rFonts w:ascii="Times New Roman" w:eastAsia="Times New Roman" w:hAnsi="Times New Roman" w:cs="Arial"/>
          <w:sz w:val="28"/>
          <w:lang w:val="en-GB"/>
        </w:rPr>
      </w:pPr>
    </w:p>
    <w:p w14:paraId="08ED0CDC" w14:textId="6EFFB4B7" w:rsidR="00155B33" w:rsidRPr="002A205D" w:rsidRDefault="00155B33" w:rsidP="002A205D">
      <w:pPr>
        <w:pStyle w:val="a3"/>
        <w:keepNext/>
        <w:numPr>
          <w:ilvl w:val="0"/>
          <w:numId w:val="4"/>
        </w:numPr>
        <w:suppressAutoHyphens/>
        <w:spacing w:line="240" w:lineRule="auto"/>
        <w:rPr>
          <w:rFonts w:ascii="Times New Roman" w:eastAsia="Times New Roman" w:hAnsi="Times New Roman" w:cs="Arial"/>
          <w:b/>
          <w:sz w:val="28"/>
          <w:lang w:val="en-GB"/>
        </w:rPr>
      </w:pPr>
      <w:r w:rsidRPr="002A205D">
        <w:rPr>
          <w:rFonts w:ascii="Times New Roman" w:eastAsia="Times New Roman" w:hAnsi="Times New Roman" w:cs="Arial"/>
          <w:b/>
          <w:sz w:val="28"/>
          <w:lang w:val="en-GB"/>
        </w:rPr>
        <w:t>Effects and Institutional Barriers</w:t>
      </w:r>
    </w:p>
    <w:p w14:paraId="351B2FA6" w14:textId="77777777" w:rsidR="002A205D" w:rsidRPr="002A205D" w:rsidRDefault="002A205D" w:rsidP="002A205D">
      <w:pPr>
        <w:pStyle w:val="a3"/>
        <w:keepNext/>
        <w:suppressAutoHyphens/>
        <w:spacing w:line="240" w:lineRule="auto"/>
        <w:ind w:left="927" w:firstLine="0"/>
        <w:rPr>
          <w:rFonts w:ascii="Times New Roman" w:eastAsia="Times New Roman" w:hAnsi="Times New Roman" w:cs="Arial"/>
          <w:b/>
          <w:sz w:val="28"/>
          <w:lang w:val="en-GB"/>
        </w:rPr>
      </w:pPr>
    </w:p>
    <w:p w14:paraId="3B3A9847" w14:textId="0F09300E" w:rsidR="00155B33" w:rsidRPr="00C932C8" w:rsidRDefault="00155B33" w:rsidP="00BF395A">
      <w:pPr>
        <w:keepNext/>
        <w:suppressAutoHyphens/>
        <w:spacing w:line="240" w:lineRule="auto"/>
        <w:ind w:firstLine="567"/>
        <w:rPr>
          <w:rFonts w:ascii="Times New Roman" w:eastAsia="Times New Roman" w:hAnsi="Times New Roman" w:cs="Arial"/>
          <w:b/>
          <w:sz w:val="28"/>
          <w:lang w:val="en-GB"/>
        </w:rPr>
      </w:pPr>
      <w:r w:rsidRPr="00C932C8">
        <w:rPr>
          <w:rFonts w:ascii="Times New Roman" w:eastAsia="Times New Roman" w:hAnsi="Times New Roman" w:cs="Arial"/>
          <w:b/>
          <w:sz w:val="28"/>
          <w:lang w:val="en-GB"/>
        </w:rPr>
        <w:t>2.1 Fiscal Effects and Resource Constraints</w:t>
      </w:r>
    </w:p>
    <w:p w14:paraId="1966A5AF" w14:textId="77777777" w:rsidR="00155B33" w:rsidRPr="00C932C8" w:rsidRDefault="00155B33" w:rsidP="00977D02">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There exist numerous potential fiscal effects from the deployment of artificial intelligence in the sphere of defence. Typical examples include:</w:t>
      </w:r>
    </w:p>
    <w:p w14:paraId="1447E4B5" w14:textId="58EE52AA" w:rsidR="00155B33" w:rsidRPr="00C932C8" w:rsidRDefault="00155B33" w:rsidP="00977D02">
      <w:pPr>
        <w:pStyle w:val="a3"/>
        <w:numPr>
          <w:ilvl w:val="0"/>
          <w:numId w:val="1"/>
        </w:numPr>
        <w:suppressAutoHyphens/>
        <w:spacing w:line="240" w:lineRule="auto"/>
        <w:ind w:left="993"/>
        <w:rPr>
          <w:rFonts w:ascii="Times New Roman" w:eastAsia="Times New Roman" w:hAnsi="Times New Roman" w:cs="Arial"/>
          <w:sz w:val="28"/>
          <w:lang w:val="en-GB"/>
        </w:rPr>
      </w:pPr>
      <w:r w:rsidRPr="00C932C8">
        <w:rPr>
          <w:rFonts w:ascii="Times New Roman" w:eastAsia="Times New Roman" w:hAnsi="Times New Roman" w:cs="Arial"/>
          <w:sz w:val="28"/>
          <w:lang w:val="en-GB"/>
        </w:rPr>
        <w:t>Automation of business processes;</w:t>
      </w:r>
    </w:p>
    <w:p w14:paraId="251DB146" w14:textId="05CCE5E5" w:rsidR="00155B33" w:rsidRPr="00C932C8" w:rsidRDefault="00155B33" w:rsidP="00977D02">
      <w:pPr>
        <w:pStyle w:val="a3"/>
        <w:numPr>
          <w:ilvl w:val="0"/>
          <w:numId w:val="1"/>
        </w:numPr>
        <w:suppressAutoHyphens/>
        <w:spacing w:line="240" w:lineRule="auto"/>
        <w:ind w:left="993"/>
        <w:rPr>
          <w:rFonts w:ascii="Times New Roman" w:eastAsia="Times New Roman" w:hAnsi="Times New Roman" w:cs="Arial"/>
          <w:sz w:val="28"/>
          <w:lang w:val="en-GB"/>
        </w:rPr>
      </w:pPr>
      <w:r w:rsidRPr="00C932C8">
        <w:rPr>
          <w:rFonts w:ascii="Times New Roman" w:eastAsia="Times New Roman" w:hAnsi="Times New Roman" w:cs="Arial"/>
          <w:sz w:val="28"/>
          <w:lang w:val="en-GB"/>
        </w:rPr>
        <w:t>Cybersecurity;</w:t>
      </w:r>
    </w:p>
    <w:p w14:paraId="7F2682C6" w14:textId="75D7A12D" w:rsidR="00155B33" w:rsidRPr="00C932C8" w:rsidRDefault="00155B33" w:rsidP="00977D02">
      <w:pPr>
        <w:pStyle w:val="a3"/>
        <w:numPr>
          <w:ilvl w:val="0"/>
          <w:numId w:val="1"/>
        </w:numPr>
        <w:suppressAutoHyphens/>
        <w:spacing w:line="240" w:lineRule="auto"/>
        <w:ind w:left="993"/>
        <w:rPr>
          <w:rFonts w:ascii="Times New Roman" w:eastAsia="Times New Roman" w:hAnsi="Times New Roman" w:cs="Arial"/>
          <w:sz w:val="28"/>
          <w:lang w:val="en-GB"/>
        </w:rPr>
      </w:pPr>
      <w:r w:rsidRPr="00C932C8">
        <w:rPr>
          <w:rFonts w:ascii="Times New Roman" w:eastAsia="Times New Roman" w:hAnsi="Times New Roman" w:cs="Arial"/>
          <w:sz w:val="28"/>
          <w:lang w:val="en-GB"/>
        </w:rPr>
        <w:t>Autonomous defence systems;</w:t>
      </w:r>
    </w:p>
    <w:p w14:paraId="0373D68D" w14:textId="2A813924" w:rsidR="00155B33" w:rsidRPr="00C932C8" w:rsidRDefault="00155B33" w:rsidP="00977D02">
      <w:pPr>
        <w:pStyle w:val="a3"/>
        <w:numPr>
          <w:ilvl w:val="0"/>
          <w:numId w:val="1"/>
        </w:numPr>
        <w:suppressAutoHyphens/>
        <w:spacing w:line="240" w:lineRule="auto"/>
        <w:ind w:left="993"/>
        <w:rPr>
          <w:rFonts w:ascii="Times New Roman" w:eastAsia="Times New Roman" w:hAnsi="Times New Roman" w:cs="Arial"/>
          <w:sz w:val="28"/>
          <w:lang w:val="en-GB"/>
        </w:rPr>
      </w:pPr>
      <w:r w:rsidRPr="00C932C8">
        <w:rPr>
          <w:rFonts w:ascii="Times New Roman" w:eastAsia="Times New Roman" w:hAnsi="Times New Roman" w:cs="Arial"/>
          <w:sz w:val="28"/>
          <w:lang w:val="en-GB"/>
        </w:rPr>
        <w:t>Logistics and maintenance.</w:t>
      </w:r>
    </w:p>
    <w:p w14:paraId="60E62E2E" w14:textId="77777777" w:rsidR="00155B33" w:rsidRPr="00C932C8" w:rsidRDefault="00155B33" w:rsidP="00977D02">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Artificial intelligence facilitates the automation of routine administrative activities, including those related to financial management and accounting, public procurement, human resource management, communication with clients and suppliers, and the consolidation of business software systems. The common characteristic of AI application in the cited domains amounts to a saving of person-hours. It is precisely here that the most frequent misunderstanding of the fiscal impact of artificial intelligence lies. The technology frees up working time, but this does not mean that it cuts budgetary funds. It was already mentioned above that personnel expenditure in the public sector is, in any case, relatively constant and tends to increase.</w:t>
      </w:r>
    </w:p>
    <w:p w14:paraId="396831E8" w14:textId="77777777" w:rsidR="00155B33" w:rsidRPr="00C932C8" w:rsidRDefault="00155B33" w:rsidP="00977D02">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The expectation of realising direct budgetary benefits from the deployment and use of AI to improve cybersecurity is likewise not grounded in an unbiased analysis. In fact, investment in such software systems is a certain (and in practice growing) expenditure, incurred with the aim of preventing the loss or compromise of data. The Ministry of Defence, however, cannot calculate prevented losses and record specific amounts as revenue or as reduced expenditure. Consequently, the deployment of artificial intelligence in this case generates certain costs and potential benefits that are not amenable to definitive measurement and precise accounting.</w:t>
      </w:r>
    </w:p>
    <w:p w14:paraId="1C544459" w14:textId="77777777" w:rsidR="00155B33" w:rsidRPr="00C932C8" w:rsidRDefault="00155B33" w:rsidP="00977D02">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Autonomous systems are a new element that dramatically alters the economics of defence. The fiscal effects of their introduction may be examined along two lines. On the one hand, they enable a faster response to threats, help reduce human error, and require relatively shorter training time. In other words, they make possible the substitution of capital for the factor of labour. This, however, does not necessarily mean lower personnel costs. On the other hand, it is a fact that autonomous systems can improve spending efficiency. A probable consequence of the enhanced efficiency will be an increase in demand for such autonomous systems, and as a result, total budgetary expenditure on the specific technological solution may even rise.</w:t>
      </w:r>
    </w:p>
    <w:p w14:paraId="0387E687" w14:textId="176DF0C7" w:rsidR="00155B33" w:rsidRDefault="00155B33" w:rsidP="00BF395A">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 xml:space="preserve">Logistics and maintenance are areas in which the application of artificial intelligence can deliver significant financial benefits and result in cost reduction. </w:t>
      </w:r>
      <w:r w:rsidRPr="00C932C8">
        <w:rPr>
          <w:rFonts w:ascii="Times New Roman" w:eastAsia="Times New Roman" w:hAnsi="Times New Roman" w:cs="Arial"/>
          <w:sz w:val="28"/>
          <w:lang w:val="en-GB"/>
        </w:rPr>
        <w:lastRenderedPageBreak/>
        <w:t>Typical examples in this domain include predictive maintenance (less unplanned equipment downtime, extended service life), optimised supply chains (AI enables the elimination of redundant inventories), logistics planning, and others. In the context of Bulgarian budgetary practice (a 16.91% share of the "Other" category, which encompasses precisely operation and maintenance), the base upon which AI can contribute to cost reduction is exceedingly narrow. A serious resource constraint is present. A separate question is the extent to which projected budgetary savings from investments in new information technologies are actually realised [8].</w:t>
      </w:r>
    </w:p>
    <w:p w14:paraId="6FBAC401" w14:textId="77777777" w:rsidR="00BF395A" w:rsidRPr="00C932C8" w:rsidRDefault="00BF395A" w:rsidP="00BF395A">
      <w:pPr>
        <w:suppressAutoHyphens/>
        <w:spacing w:line="240" w:lineRule="auto"/>
        <w:ind w:firstLine="567"/>
        <w:rPr>
          <w:rFonts w:ascii="Times New Roman" w:eastAsia="Times New Roman" w:hAnsi="Times New Roman" w:cs="Arial"/>
          <w:sz w:val="28"/>
          <w:lang w:val="en-GB"/>
        </w:rPr>
      </w:pPr>
    </w:p>
    <w:p w14:paraId="0D8B1064" w14:textId="2CB641F1" w:rsidR="00155B33" w:rsidRPr="00C932C8" w:rsidRDefault="00155B33" w:rsidP="00BF395A">
      <w:pPr>
        <w:keepNext/>
        <w:suppressAutoHyphens/>
        <w:spacing w:line="240" w:lineRule="auto"/>
        <w:ind w:firstLine="567"/>
        <w:rPr>
          <w:rFonts w:ascii="Times New Roman" w:eastAsia="Times New Roman" w:hAnsi="Times New Roman" w:cs="Arial"/>
          <w:b/>
          <w:sz w:val="28"/>
          <w:lang w:val="en-GB"/>
        </w:rPr>
      </w:pPr>
      <w:r w:rsidRPr="00C932C8">
        <w:rPr>
          <w:rFonts w:ascii="Times New Roman" w:eastAsia="Times New Roman" w:hAnsi="Times New Roman" w:cs="Arial"/>
          <w:b/>
          <w:sz w:val="28"/>
          <w:lang w:val="en-GB"/>
        </w:rPr>
        <w:t>2.2 Institutional Barriers</w:t>
      </w:r>
    </w:p>
    <w:p w14:paraId="4B22EB4E" w14:textId="77777777" w:rsidR="00155B33" w:rsidRPr="00C932C8" w:rsidRDefault="00155B33" w:rsidP="00BF395A">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The institutional barriers to the deployment of artificial intelligence in defence and to the realisation of subsequent fiscal benefits stem from:</w:t>
      </w:r>
    </w:p>
    <w:p w14:paraId="30F90551" w14:textId="25C4FA80" w:rsidR="00155B33" w:rsidRPr="00C932C8" w:rsidRDefault="00155B33" w:rsidP="00977D02">
      <w:pPr>
        <w:pStyle w:val="a3"/>
        <w:numPr>
          <w:ilvl w:val="0"/>
          <w:numId w:val="3"/>
        </w:numPr>
        <w:suppressAutoHyphens/>
        <w:spacing w:line="240" w:lineRule="auto"/>
        <w:ind w:left="993"/>
        <w:rPr>
          <w:rFonts w:ascii="Times New Roman" w:eastAsia="Times New Roman" w:hAnsi="Times New Roman" w:cs="Arial"/>
          <w:sz w:val="28"/>
          <w:lang w:val="en-GB"/>
        </w:rPr>
      </w:pPr>
      <w:r w:rsidRPr="00C932C8">
        <w:rPr>
          <w:rFonts w:ascii="Times New Roman" w:eastAsia="Times New Roman" w:hAnsi="Times New Roman" w:cs="Arial"/>
          <w:sz w:val="28"/>
          <w:lang w:val="en-GB"/>
        </w:rPr>
        <w:t>Accounting problems;</w:t>
      </w:r>
    </w:p>
    <w:p w14:paraId="5C4DBBFB" w14:textId="13F187B5" w:rsidR="00155B33" w:rsidRPr="00C932C8" w:rsidRDefault="00155B33" w:rsidP="00977D02">
      <w:pPr>
        <w:pStyle w:val="a3"/>
        <w:numPr>
          <w:ilvl w:val="0"/>
          <w:numId w:val="3"/>
        </w:numPr>
        <w:suppressAutoHyphens/>
        <w:spacing w:line="240" w:lineRule="auto"/>
        <w:ind w:left="993"/>
        <w:rPr>
          <w:rFonts w:ascii="Times New Roman" w:eastAsia="Times New Roman" w:hAnsi="Times New Roman" w:cs="Arial"/>
          <w:sz w:val="28"/>
          <w:lang w:val="en-GB"/>
        </w:rPr>
      </w:pPr>
      <w:r w:rsidRPr="00C932C8">
        <w:rPr>
          <w:rFonts w:ascii="Times New Roman" w:eastAsia="Times New Roman" w:hAnsi="Times New Roman" w:cs="Arial"/>
          <w:sz w:val="28"/>
          <w:lang w:val="en-GB"/>
        </w:rPr>
        <w:t>The right to dispose of realised savings;</w:t>
      </w:r>
    </w:p>
    <w:p w14:paraId="2D3177EF" w14:textId="03C76AD0" w:rsidR="00155B33" w:rsidRPr="00C932C8" w:rsidRDefault="00155B33" w:rsidP="00977D02">
      <w:pPr>
        <w:pStyle w:val="a3"/>
        <w:numPr>
          <w:ilvl w:val="0"/>
          <w:numId w:val="3"/>
        </w:numPr>
        <w:suppressAutoHyphens/>
        <w:spacing w:line="240" w:lineRule="auto"/>
        <w:ind w:left="993"/>
        <w:rPr>
          <w:rFonts w:ascii="Times New Roman" w:eastAsia="Times New Roman" w:hAnsi="Times New Roman" w:cs="Arial"/>
          <w:sz w:val="28"/>
          <w:lang w:val="en-GB"/>
        </w:rPr>
      </w:pPr>
      <w:r w:rsidRPr="00C932C8">
        <w:rPr>
          <w:rFonts w:ascii="Times New Roman" w:eastAsia="Times New Roman" w:hAnsi="Times New Roman" w:cs="Arial"/>
          <w:sz w:val="28"/>
          <w:lang w:val="en-GB"/>
        </w:rPr>
        <w:t>Procurement procedures;</w:t>
      </w:r>
    </w:p>
    <w:p w14:paraId="5DD2C6F1" w14:textId="651C1FB9" w:rsidR="00155B33" w:rsidRPr="00C932C8" w:rsidRDefault="00155B33" w:rsidP="00977D02">
      <w:pPr>
        <w:pStyle w:val="a3"/>
        <w:numPr>
          <w:ilvl w:val="0"/>
          <w:numId w:val="3"/>
        </w:numPr>
        <w:suppressAutoHyphens/>
        <w:spacing w:line="240" w:lineRule="auto"/>
        <w:ind w:left="993"/>
        <w:rPr>
          <w:rFonts w:ascii="Times New Roman" w:eastAsia="Times New Roman" w:hAnsi="Times New Roman" w:cs="Arial"/>
          <w:sz w:val="28"/>
          <w:lang w:val="en-GB"/>
        </w:rPr>
      </w:pPr>
      <w:r w:rsidRPr="00C932C8">
        <w:rPr>
          <w:rFonts w:ascii="Times New Roman" w:eastAsia="Times New Roman" w:hAnsi="Times New Roman" w:cs="Arial"/>
          <w:sz w:val="28"/>
          <w:lang w:val="en-GB"/>
        </w:rPr>
        <w:t>Performance indicators.</w:t>
      </w:r>
    </w:p>
    <w:p w14:paraId="4309CA2E" w14:textId="77777777" w:rsidR="00155B33" w:rsidRPr="00C932C8" w:rsidRDefault="00155B33" w:rsidP="00977D02">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For an analysis of the first group of issues (budget classification and reporting), it is necessary to recall that after 2014, every NATO country committed to spending no less than 20% of its defence budget on equipment and research and development (R&amp;D). In practice, the indicator is calculated as the quotient of expenditure on major equipment (Section 2.1 in NATO nomenclature) and R&amp;D expenditure (Section 3.1), on the one hand, and total defence expenditure, on the other [2]. The problem lies in the scope of the category pertaining to research and development. It includes only expenditure related to major equipment; that is, if software is acquired as a standalone asset, it is not recorded under Section 3.1 but under the "Other" item. If the software is already included in the delivery of the equipment itself, it forms part of R&amp;D. A different treatment is thus present. Consequently, expenditure on the deployment of standalone AI solutions will not be classified as R&amp;D, will not be included in the numerator of the indicator discussed above, and will not contribute to reaching the 20% benchmark. Thus, any country that directs budgetary resources towards the purchase of data and algorithms will in fact be reporting expenditure under "Other" rather than under "Equipment." It is evident that the methodology applied incentivises the acquisition of physical hardware (with or without integrated AI) and penalises the direct acquisition of software (AI or otherwise). In this connection, it must be clearly emphasised that an investment in software for predictive maintenance, for supply chain optimisation, or for logistics planning improvement will in fact not be classified as R&amp;D. Yet it is precisely these areas in which the application of artificial intelligence generates savings.</w:t>
      </w:r>
    </w:p>
    <w:p w14:paraId="70932711" w14:textId="77777777" w:rsidR="00155B33" w:rsidRPr="00C932C8" w:rsidRDefault="00155B33" w:rsidP="00977D02">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In Bulgaria, the share of equipment in total defence expenditure over the last three years has been consistently above 28%, and this value leaves some room before the purchase of AI (preferably in the domain of maintenance and logistics) would cause the indicator to fall below the 20% benchmark. In absolute terms, however, the resource is modest.</w:t>
      </w:r>
    </w:p>
    <w:p w14:paraId="5D6826CC" w14:textId="77777777" w:rsidR="00155B33" w:rsidRPr="00C932C8" w:rsidRDefault="00155B33" w:rsidP="00977D02">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lastRenderedPageBreak/>
        <w:t>The right to retain realised savings is another question that warrants comment. Obviously, such a right must be guaranteed, because otherwise the budget authority loses the incentive for economy. The Public Finance Act of the Republic of Bulgaria and the State Budget Acts provide for the transfer of unspent funds from the current year to the next in the form of a carry-over balance, and such a legislative solution should be assessed positively. The same assessment is deserved by the guaranteed right to transfer funds (from the defence ministry's budget) from one budgetary period to the next when it comes to investment projects and deliveries under multi-year international contracts. The problem here arises from the circumstance that what is at stake is not realised savings resulting from adequate managerial decisions, but simply the carry-over of amounts unspent during the current period. In this connection, it is advisable to consider a mechanism that purposefully incentivises economy and rewards responsible stewardship of public resources. Such a mechanism should ensure that the declared saving is genuine, is not a consequence of inaccurate planning, and should probably stipulate the permissible directions for spending the saved funds. With regard to expenditure planning, it is advisable to use a coefficient for adjusting expenditure upward. Such a coefficient is already being tested in the United Kingdom [9].</w:t>
      </w:r>
    </w:p>
    <w:p w14:paraId="01734808" w14:textId="77777777" w:rsidR="00155B33" w:rsidRPr="00C932C8" w:rsidRDefault="00155B33" w:rsidP="00977D02">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The deployment of artificial intelligence systems also encounters other institutional and/or procedural obstacles. For instance, the selection of suitable software and a suitable supplier (contractor for a commissioned project) is complicated by the very characteristics and peculiarities of AI projects and of the defence sector. It suffices to cite the following circumstances: 1) it is difficult to exhaustively describe all software parameters in advance (before development and actual testing); 2) AI software requires maintenance and continuous training, meaning that this is not a one-off payment but a long-term commitment; 3) the choice of developer (supplier) must take account of the sensitive nature of defence information. All of the foregoing entails difficulties in deploying the technology and may generate significant delays relative to the predetermined schedule. The difficulties, as practice shows, are not insurmountable [2], but they should be borne in mind.</w:t>
      </w:r>
    </w:p>
    <w:p w14:paraId="748AB335" w14:textId="3CA9B186" w:rsidR="00155B33" w:rsidRDefault="00155B33" w:rsidP="00BF395A">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A further problem concerns the absence of data on the efficiency of defence expenditure. The information provided by the currently existing reporting does not include indicators for an objective and independent assessment of actual defence capability. Put differently, output measures are lacking [10] [11]. With an unclear outcome from the use of artificial intelligence systems, there exists an incentive to report questionable quantitative indicators such as the number of deployments, the volume of funds di</w:t>
      </w:r>
      <w:bookmarkStart w:id="0" w:name="_GoBack"/>
      <w:bookmarkEnd w:id="0"/>
      <w:r w:rsidRPr="00C932C8">
        <w:rPr>
          <w:rFonts w:ascii="Times New Roman" w:eastAsia="Times New Roman" w:hAnsi="Times New Roman" w:cs="Arial"/>
          <w:sz w:val="28"/>
          <w:lang w:val="en-GB"/>
        </w:rPr>
        <w:t>rected towards acquisition, and so forth. The latter do not permit the establishment of the actual fiscal effect of introducing the technology.</w:t>
      </w:r>
    </w:p>
    <w:p w14:paraId="550C3825" w14:textId="77777777" w:rsidR="00BF395A" w:rsidRPr="00C932C8" w:rsidRDefault="00BF395A" w:rsidP="00BF395A">
      <w:pPr>
        <w:suppressAutoHyphens/>
        <w:spacing w:line="240" w:lineRule="auto"/>
        <w:ind w:firstLine="567"/>
        <w:rPr>
          <w:rFonts w:ascii="Times New Roman" w:eastAsia="Times New Roman" w:hAnsi="Times New Roman" w:cs="Arial"/>
          <w:sz w:val="28"/>
          <w:lang w:val="en-GB"/>
        </w:rPr>
      </w:pPr>
    </w:p>
    <w:p w14:paraId="7E9F3413" w14:textId="02062A65" w:rsidR="00155B33" w:rsidRPr="002A205D" w:rsidRDefault="00155B33" w:rsidP="002A205D">
      <w:pPr>
        <w:pStyle w:val="a3"/>
        <w:keepNext/>
        <w:numPr>
          <w:ilvl w:val="0"/>
          <w:numId w:val="4"/>
        </w:numPr>
        <w:suppressAutoHyphens/>
        <w:spacing w:line="240" w:lineRule="auto"/>
        <w:rPr>
          <w:rFonts w:ascii="Times New Roman" w:eastAsia="Times New Roman" w:hAnsi="Times New Roman" w:cs="Arial"/>
          <w:b/>
          <w:sz w:val="28"/>
          <w:lang w:val="en-GB"/>
        </w:rPr>
      </w:pPr>
      <w:r w:rsidRPr="002A205D">
        <w:rPr>
          <w:rFonts w:ascii="Times New Roman" w:eastAsia="Times New Roman" w:hAnsi="Times New Roman" w:cs="Arial"/>
          <w:b/>
          <w:sz w:val="28"/>
          <w:lang w:val="en-GB"/>
        </w:rPr>
        <w:t>Conclusion</w:t>
      </w:r>
    </w:p>
    <w:p w14:paraId="41916616" w14:textId="77777777" w:rsidR="002A205D" w:rsidRPr="002A205D" w:rsidRDefault="002A205D" w:rsidP="002A205D">
      <w:pPr>
        <w:pStyle w:val="a3"/>
        <w:keepNext/>
        <w:suppressAutoHyphens/>
        <w:spacing w:line="240" w:lineRule="auto"/>
        <w:ind w:left="927" w:firstLine="0"/>
        <w:rPr>
          <w:rFonts w:ascii="Times New Roman" w:eastAsia="Times New Roman" w:hAnsi="Times New Roman" w:cs="Arial"/>
          <w:b/>
          <w:sz w:val="28"/>
          <w:lang w:val="en-GB"/>
        </w:rPr>
      </w:pPr>
    </w:p>
    <w:p w14:paraId="0CA88CE6" w14:textId="77777777" w:rsidR="00155B33" w:rsidRPr="00C932C8" w:rsidRDefault="00155B33" w:rsidP="00BF395A">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 xml:space="preserve">Defence expenditure in Bulgaria is growing in nominal terms, and as a share of GDP in 2025 it exceeds 2%. Given the mounting global threats and the </w:t>
      </w:r>
      <w:r w:rsidRPr="00C932C8">
        <w:rPr>
          <w:rFonts w:ascii="Times New Roman" w:eastAsia="Times New Roman" w:hAnsi="Times New Roman" w:cs="Arial"/>
          <w:sz w:val="28"/>
          <w:lang w:val="en-GB"/>
        </w:rPr>
        <w:lastRenderedPageBreak/>
        <w:t>commitments undertaken before the Allies, this trajectory must be sustained. In this connection, the question of the efficiency of the funds spent and of the opportunities that artificial intelligence offers for its improvement carries particular weight. The analysis of the structure of defence expenditure provides grounds to conclude that it does not furnish a sufficiently broad base for the deployment of innovative software systems and does not contribute to a sufficient degree to enhancing the actual capabilities of the armed forces.</w:t>
      </w:r>
    </w:p>
    <w:p w14:paraId="4F1F3142" w14:textId="4880DA6A" w:rsidR="00155B33" w:rsidRPr="00C932C8" w:rsidRDefault="00155B33" w:rsidP="00BF395A">
      <w:pPr>
        <w:suppressAutoHyphens/>
        <w:spacing w:line="240" w:lineRule="auto"/>
        <w:ind w:firstLine="567"/>
        <w:rPr>
          <w:rFonts w:ascii="Times New Roman" w:eastAsia="Times New Roman" w:hAnsi="Times New Roman" w:cs="Arial"/>
          <w:sz w:val="28"/>
          <w:lang w:val="en-GB"/>
        </w:rPr>
      </w:pPr>
      <w:r w:rsidRPr="00C932C8">
        <w:rPr>
          <w:rFonts w:ascii="Times New Roman" w:eastAsia="Times New Roman" w:hAnsi="Times New Roman" w:cs="Arial"/>
          <w:sz w:val="28"/>
          <w:lang w:val="en-GB"/>
        </w:rPr>
        <w:t>For countries with a modest defence budget in absolute terms (including Bulgaria), one cannot expect that the use of artificial intelligence will result in a saving of funds (except in the domain of maintenance and logistics). Barriers stand before the deployment of artificial intelligence in defence (in NATO countries, not only Bulgaria) that stem from the peculiarities of NATO reporting (budget classification), from the absence of a mechanism to incentivise the realisation of budgetary savings, as well as from obstacles related to the procedures for commissioning and executing AI projects, and from the absence of performance measurement indicators.</w:t>
      </w:r>
    </w:p>
    <w:p w14:paraId="4218132C" w14:textId="77777777" w:rsidR="00977D02" w:rsidRPr="00C932C8" w:rsidRDefault="00977D02" w:rsidP="00BF395A">
      <w:pPr>
        <w:keepNext/>
        <w:suppressAutoHyphens/>
        <w:spacing w:line="240" w:lineRule="auto"/>
        <w:ind w:firstLine="567"/>
        <w:rPr>
          <w:rFonts w:ascii="Times New Roman" w:eastAsia="Times New Roman" w:hAnsi="Times New Roman" w:cs="Arial"/>
          <w:b/>
          <w:sz w:val="28"/>
          <w:lang w:val="en-GB"/>
        </w:rPr>
      </w:pPr>
    </w:p>
    <w:p w14:paraId="0A5D8C20" w14:textId="14D0F859" w:rsidR="00155B33" w:rsidRPr="00E304B5" w:rsidRDefault="00155B33" w:rsidP="00BF395A">
      <w:pPr>
        <w:keepNext/>
        <w:suppressAutoHyphens/>
        <w:spacing w:line="240" w:lineRule="auto"/>
        <w:ind w:firstLine="567"/>
        <w:rPr>
          <w:rFonts w:ascii="Times New Roman" w:eastAsia="Times New Roman" w:hAnsi="Times New Roman" w:cs="Arial"/>
          <w:b/>
          <w:sz w:val="28"/>
          <w:szCs w:val="28"/>
        </w:rPr>
      </w:pPr>
      <w:r w:rsidRPr="00E304B5">
        <w:rPr>
          <w:rFonts w:ascii="Times New Roman" w:eastAsia="Times New Roman" w:hAnsi="Times New Roman" w:cs="Arial"/>
          <w:b/>
          <w:sz w:val="28"/>
          <w:szCs w:val="28"/>
          <w:lang w:val="en-GB"/>
        </w:rPr>
        <w:t>Notes</w:t>
      </w:r>
      <w:r w:rsidR="00BF395A" w:rsidRPr="00E304B5">
        <w:rPr>
          <w:rFonts w:ascii="Times New Roman" w:eastAsia="Times New Roman" w:hAnsi="Times New Roman" w:cs="Arial"/>
          <w:b/>
          <w:sz w:val="28"/>
          <w:szCs w:val="28"/>
        </w:rPr>
        <w:t>:</w:t>
      </w:r>
    </w:p>
    <w:p w14:paraId="79AA9AD4" w14:textId="781094A5"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[1] SIPRI. </w:t>
      </w:r>
      <w:r w:rsidRPr="00E304B5">
        <w:rPr>
          <w:rFonts w:ascii="Times New Roman" w:eastAsia="Times New Roman" w:hAnsi="Times New Roman" w:cs="Arial"/>
          <w:i/>
          <w:sz w:val="28"/>
          <w:szCs w:val="28"/>
          <w:lang w:val="en-GB"/>
        </w:rPr>
        <w:t>Trends in World Military Expenditure, 2025.</w:t>
      </w:r>
      <w:r w:rsidRPr="00E304B5">
        <w:rPr>
          <w:rFonts w:ascii="Times New Roman" w:eastAsia="Times New Roman" w:hAnsi="Times New Roman" w:cs="Arial"/>
          <w:sz w:val="28"/>
          <w:szCs w:val="28"/>
          <w:lang w:val="en-GB"/>
        </w:rPr>
        <w:t xml:space="preserve"> SIPRI Fact Sheet, April 2026. Stockholm: Stockholm International Peace Research Institute, 2026. https://www.sipri.org/publications/2026/sipri-fact-sheets/trends-world-military-expenditure-2025 [viewed 2026-0</w:t>
      </w:r>
      <w:r w:rsidR="00BF395A" w:rsidRPr="00E304B5">
        <w:rPr>
          <w:rFonts w:ascii="Times New Roman" w:eastAsia="Times New Roman" w:hAnsi="Times New Roman" w:cs="Arial"/>
          <w:sz w:val="28"/>
          <w:szCs w:val="28"/>
        </w:rPr>
        <w:t>9</w:t>
      </w:r>
      <w:r w:rsidRPr="00E304B5">
        <w:rPr>
          <w:rFonts w:ascii="Times New Roman" w:eastAsia="Times New Roman" w:hAnsi="Times New Roman" w:cs="Arial"/>
          <w:sz w:val="28"/>
          <w:szCs w:val="28"/>
          <w:lang w:val="en-GB"/>
        </w:rPr>
        <w:t>-05]</w:t>
      </w:r>
    </w:p>
    <w:p w14:paraId="2102BCEA" w14:textId="7D8EBB7F"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[2] NATO. </w:t>
      </w:r>
      <w:r w:rsidRPr="00E304B5">
        <w:rPr>
          <w:rFonts w:ascii="Times New Roman" w:eastAsia="Times New Roman" w:hAnsi="Times New Roman" w:cs="Arial"/>
          <w:i/>
          <w:sz w:val="28"/>
          <w:szCs w:val="28"/>
          <w:lang w:val="en-GB"/>
        </w:rPr>
        <w:t>The Secretary General’s Annual Report 2025. Annex III: Defence Expenditure of NATO Countries (2014-2025).</w:t>
      </w:r>
      <w:r w:rsidRPr="00E304B5">
        <w:rPr>
          <w:rFonts w:ascii="Times New Roman" w:eastAsia="Times New Roman" w:hAnsi="Times New Roman" w:cs="Arial"/>
          <w:sz w:val="28"/>
          <w:szCs w:val="28"/>
          <w:lang w:val="en-GB"/>
        </w:rPr>
        <w:t xml:space="preserve"> Brussels: NATO, 2026. https://www.nato.int/content/dam/nato/webready/documents/publications-and-reports/annual-reports/sgar25-en.pdf [viewed 2026-0</w:t>
      </w:r>
      <w:r w:rsidR="00BF395A" w:rsidRPr="00E304B5">
        <w:rPr>
          <w:rFonts w:ascii="Times New Roman" w:eastAsia="Times New Roman" w:hAnsi="Times New Roman" w:cs="Arial"/>
          <w:sz w:val="28"/>
          <w:szCs w:val="28"/>
        </w:rPr>
        <w:t>9</w:t>
      </w:r>
      <w:r w:rsidRPr="00E304B5">
        <w:rPr>
          <w:rFonts w:ascii="Times New Roman" w:eastAsia="Times New Roman" w:hAnsi="Times New Roman" w:cs="Arial"/>
          <w:sz w:val="28"/>
          <w:szCs w:val="28"/>
          <w:lang w:val="en-GB"/>
        </w:rPr>
        <w:t>-05]</w:t>
      </w:r>
    </w:p>
    <w:p w14:paraId="01162744" w14:textId="77777777"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[3] NATIONAL SECURITY COMMISSION ON ARTIFICIAL INTELLIGENCE. </w:t>
      </w:r>
      <w:r w:rsidRPr="00E304B5">
        <w:rPr>
          <w:rFonts w:ascii="Times New Roman" w:eastAsia="Times New Roman" w:hAnsi="Times New Roman" w:cs="Arial"/>
          <w:i/>
          <w:sz w:val="28"/>
          <w:szCs w:val="28"/>
          <w:lang w:val="en-GB"/>
        </w:rPr>
        <w:t>Final Report.</w:t>
      </w:r>
      <w:r w:rsidRPr="00E304B5">
        <w:rPr>
          <w:rFonts w:ascii="Times New Roman" w:eastAsia="Times New Roman" w:hAnsi="Times New Roman" w:cs="Arial"/>
          <w:sz w:val="28"/>
          <w:szCs w:val="28"/>
          <w:lang w:val="en-GB"/>
        </w:rPr>
        <w:t xml:space="preserve"> Washington, D.C.: NSCAI, March 2021. The Commission was dissolved on 1 October 2021; the report is archived at the University of North Texas </w:t>
      </w:r>
      <w:proofErr w:type="spellStart"/>
      <w:r w:rsidRPr="00E304B5">
        <w:rPr>
          <w:rFonts w:ascii="Times New Roman" w:eastAsia="Times New Roman" w:hAnsi="Times New Roman" w:cs="Arial"/>
          <w:sz w:val="28"/>
          <w:szCs w:val="28"/>
          <w:lang w:val="en-GB"/>
        </w:rPr>
        <w:t>CyberCemetery</w:t>
      </w:r>
      <w:proofErr w:type="spellEnd"/>
      <w:r w:rsidRPr="00E304B5">
        <w:rPr>
          <w:rFonts w:ascii="Times New Roman" w:eastAsia="Times New Roman" w:hAnsi="Times New Roman" w:cs="Arial"/>
          <w:sz w:val="28"/>
          <w:szCs w:val="28"/>
          <w:lang w:val="en-GB"/>
        </w:rPr>
        <w:t>. https://cybercemetery.unt.edu/nscai/20211005220330/http://nscai.gov/ [viewed 2026-08-05]</w:t>
      </w:r>
    </w:p>
    <w:p w14:paraId="49ED0F67" w14:textId="33261E3F"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[4] KONAEV, M. and T. NURKIN. </w:t>
      </w:r>
      <w:r w:rsidRPr="00E304B5">
        <w:rPr>
          <w:rFonts w:ascii="Times New Roman" w:eastAsia="Times New Roman" w:hAnsi="Times New Roman" w:cs="Arial"/>
          <w:i/>
          <w:sz w:val="28"/>
          <w:szCs w:val="28"/>
          <w:lang w:val="en-GB"/>
        </w:rPr>
        <w:t xml:space="preserve">Eye to Eye in AI: Developing Artificial Intelligence for National Security and </w:t>
      </w:r>
      <w:proofErr w:type="spellStart"/>
      <w:r w:rsidRPr="00E304B5">
        <w:rPr>
          <w:rFonts w:ascii="Times New Roman" w:eastAsia="Times New Roman" w:hAnsi="Times New Roman" w:cs="Arial"/>
          <w:i/>
          <w:sz w:val="28"/>
          <w:szCs w:val="28"/>
          <w:lang w:val="en-GB"/>
        </w:rPr>
        <w:t>Defense</w:t>
      </w:r>
      <w:proofErr w:type="spellEnd"/>
      <w:r w:rsidRPr="00E304B5">
        <w:rPr>
          <w:rFonts w:ascii="Times New Roman" w:eastAsia="Times New Roman" w:hAnsi="Times New Roman" w:cs="Arial"/>
          <w:i/>
          <w:sz w:val="28"/>
          <w:szCs w:val="28"/>
          <w:lang w:val="en-GB"/>
        </w:rPr>
        <w:t>.</w:t>
      </w:r>
      <w:r w:rsidRPr="00E304B5">
        <w:rPr>
          <w:rFonts w:ascii="Times New Roman" w:eastAsia="Times New Roman" w:hAnsi="Times New Roman" w:cs="Arial"/>
          <w:sz w:val="28"/>
          <w:szCs w:val="28"/>
          <w:lang w:val="en-GB"/>
        </w:rPr>
        <w:t xml:space="preserve"> Washington, D.C.: Atlantic Council, Scowcroft </w:t>
      </w:r>
      <w:proofErr w:type="spellStart"/>
      <w:r w:rsidRPr="00E304B5">
        <w:rPr>
          <w:rFonts w:ascii="Times New Roman" w:eastAsia="Times New Roman" w:hAnsi="Times New Roman" w:cs="Arial"/>
          <w:sz w:val="28"/>
          <w:szCs w:val="28"/>
          <w:lang w:val="en-GB"/>
        </w:rPr>
        <w:t>Center</w:t>
      </w:r>
      <w:proofErr w:type="spellEnd"/>
      <w:r w:rsidRPr="00E304B5">
        <w:rPr>
          <w:rFonts w:ascii="Times New Roman" w:eastAsia="Times New Roman" w:hAnsi="Times New Roman" w:cs="Arial"/>
          <w:sz w:val="28"/>
          <w:szCs w:val="28"/>
          <w:lang w:val="en-GB"/>
        </w:rPr>
        <w:t xml:space="preserve"> for Strategy and Security, 2022. https://www.atlanticcouncil.org/in-depth-research-reports/report/eye-to-eye-in-ai/ [viewed 2026-0</w:t>
      </w:r>
      <w:r w:rsidR="00BF395A" w:rsidRPr="00E304B5">
        <w:rPr>
          <w:rFonts w:ascii="Times New Roman" w:eastAsia="Times New Roman" w:hAnsi="Times New Roman" w:cs="Arial"/>
          <w:sz w:val="28"/>
          <w:szCs w:val="28"/>
        </w:rPr>
        <w:t>9</w:t>
      </w:r>
      <w:r w:rsidRPr="00E304B5">
        <w:rPr>
          <w:rFonts w:ascii="Times New Roman" w:eastAsia="Times New Roman" w:hAnsi="Times New Roman" w:cs="Arial"/>
          <w:sz w:val="28"/>
          <w:szCs w:val="28"/>
          <w:lang w:val="en-GB"/>
        </w:rPr>
        <w:t>-05]</w:t>
      </w:r>
    </w:p>
    <w:p w14:paraId="2674C8FF" w14:textId="77777777"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[5] HOROWITZ, M. C. Artificial Intelligence, International Competition, and the Balance of Power. </w:t>
      </w:r>
      <w:r w:rsidRPr="00E304B5">
        <w:rPr>
          <w:rFonts w:ascii="Times New Roman" w:eastAsia="Times New Roman" w:hAnsi="Times New Roman" w:cs="Arial"/>
          <w:i/>
          <w:sz w:val="28"/>
          <w:szCs w:val="28"/>
          <w:lang w:val="en-GB"/>
        </w:rPr>
        <w:t>Texas National Security Review</w:t>
      </w:r>
      <w:r w:rsidRPr="00E304B5">
        <w:rPr>
          <w:rFonts w:ascii="Times New Roman" w:eastAsia="Times New Roman" w:hAnsi="Times New Roman" w:cs="Arial"/>
          <w:sz w:val="28"/>
          <w:szCs w:val="28"/>
          <w:lang w:val="en-GB"/>
        </w:rPr>
        <w:t>, 2018, vol. 1, no. 3, pp. 36-57. https://doi.org/10.15781/T2639KP49</w:t>
      </w:r>
    </w:p>
    <w:p w14:paraId="694FB720" w14:textId="77777777"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[6] BORGE, L.-E., K. H. HOVE, T. LILLEKVELLAND and P. TOVMO. Cost Disease in </w:t>
      </w:r>
      <w:proofErr w:type="spellStart"/>
      <w:r w:rsidRPr="00E304B5">
        <w:rPr>
          <w:rFonts w:ascii="Times New Roman" w:eastAsia="Times New Roman" w:hAnsi="Times New Roman" w:cs="Arial"/>
          <w:sz w:val="28"/>
          <w:szCs w:val="28"/>
          <w:lang w:val="en-GB"/>
        </w:rPr>
        <w:t>Defense</w:t>
      </w:r>
      <w:proofErr w:type="spellEnd"/>
      <w:r w:rsidRPr="00E304B5">
        <w:rPr>
          <w:rFonts w:ascii="Times New Roman" w:eastAsia="Times New Roman" w:hAnsi="Times New Roman" w:cs="Arial"/>
          <w:sz w:val="28"/>
          <w:szCs w:val="28"/>
          <w:lang w:val="en-GB"/>
        </w:rPr>
        <w:t xml:space="preserve"> and Public Administration: Baumol and Politics. </w:t>
      </w:r>
      <w:r w:rsidRPr="00E304B5">
        <w:rPr>
          <w:rFonts w:ascii="Times New Roman" w:eastAsia="Times New Roman" w:hAnsi="Times New Roman" w:cs="Arial"/>
          <w:i/>
          <w:sz w:val="28"/>
          <w:szCs w:val="28"/>
          <w:lang w:val="en-GB"/>
        </w:rPr>
        <w:t>Public Choice</w:t>
      </w:r>
      <w:r w:rsidRPr="00E304B5">
        <w:rPr>
          <w:rFonts w:ascii="Times New Roman" w:eastAsia="Times New Roman" w:hAnsi="Times New Roman" w:cs="Arial"/>
          <w:sz w:val="28"/>
          <w:szCs w:val="28"/>
          <w:lang w:val="en-GB"/>
        </w:rPr>
        <w:t>, 2018, vol. 175, no. 1, pp. 1-18. https://doi.org/10.1007/s11127-018-0510-z</w:t>
      </w:r>
    </w:p>
    <w:p w14:paraId="32313452" w14:textId="77777777"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[7] U.S. GOVERNMENT ACCOUNTABILITY OFFICE. </w:t>
      </w:r>
      <w:r w:rsidRPr="00E304B5">
        <w:rPr>
          <w:rFonts w:ascii="Times New Roman" w:eastAsia="Times New Roman" w:hAnsi="Times New Roman" w:cs="Arial"/>
          <w:i/>
          <w:sz w:val="28"/>
          <w:szCs w:val="28"/>
          <w:lang w:val="en-GB"/>
        </w:rPr>
        <w:t xml:space="preserve">Weapon System Sustainment: DOD Identified Critical Cost Growth, and the Army Should </w:t>
      </w:r>
      <w:proofErr w:type="gramStart"/>
      <w:r w:rsidRPr="00E304B5">
        <w:rPr>
          <w:rFonts w:ascii="Times New Roman" w:eastAsia="Times New Roman" w:hAnsi="Times New Roman" w:cs="Arial"/>
          <w:i/>
          <w:sz w:val="28"/>
          <w:szCs w:val="28"/>
          <w:lang w:val="en-GB"/>
        </w:rPr>
        <w:t xml:space="preserve">Take </w:t>
      </w:r>
      <w:r w:rsidRPr="00E304B5">
        <w:rPr>
          <w:rFonts w:ascii="Times New Roman" w:eastAsia="Times New Roman" w:hAnsi="Times New Roman" w:cs="Arial"/>
          <w:i/>
          <w:sz w:val="28"/>
          <w:szCs w:val="28"/>
          <w:lang w:val="en-GB"/>
        </w:rPr>
        <w:lastRenderedPageBreak/>
        <w:t>Action</w:t>
      </w:r>
      <w:proofErr w:type="gramEnd"/>
      <w:r w:rsidRPr="00E304B5">
        <w:rPr>
          <w:rFonts w:ascii="Times New Roman" w:eastAsia="Times New Roman" w:hAnsi="Times New Roman" w:cs="Arial"/>
          <w:i/>
          <w:sz w:val="28"/>
          <w:szCs w:val="28"/>
          <w:lang w:val="en-GB"/>
        </w:rPr>
        <w:t xml:space="preserve"> to Yield Cost Savings.</w:t>
      </w:r>
      <w:r w:rsidRPr="00E304B5">
        <w:rPr>
          <w:rFonts w:ascii="Times New Roman" w:eastAsia="Times New Roman" w:hAnsi="Times New Roman" w:cs="Arial"/>
          <w:sz w:val="28"/>
          <w:szCs w:val="28"/>
          <w:lang w:val="en-GB"/>
        </w:rPr>
        <w:t xml:space="preserve"> GAO-26-108140. Washington, D.C., 23 April 2026. https://www.gao.gov/products/gao-26-108140 [viewed 2026-08-05]</w:t>
      </w:r>
    </w:p>
    <w:p w14:paraId="24B104A2" w14:textId="77777777"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[8] U.S. GOVERNMENT ACCOUNTABILITY OFFICE. </w:t>
      </w:r>
      <w:r w:rsidRPr="00E304B5">
        <w:rPr>
          <w:rFonts w:ascii="Times New Roman" w:eastAsia="Times New Roman" w:hAnsi="Times New Roman" w:cs="Arial"/>
          <w:i/>
          <w:sz w:val="28"/>
          <w:szCs w:val="28"/>
          <w:lang w:val="en-GB"/>
        </w:rPr>
        <w:t>Technology Modernization Fund: Small Savings Achieved So Far, but Substantial Future Savings Expected.</w:t>
      </w:r>
      <w:r w:rsidRPr="00E304B5">
        <w:rPr>
          <w:rFonts w:ascii="Times New Roman" w:eastAsia="Times New Roman" w:hAnsi="Times New Roman" w:cs="Arial"/>
          <w:sz w:val="28"/>
          <w:szCs w:val="28"/>
          <w:lang w:val="en-GB"/>
        </w:rPr>
        <w:t xml:space="preserve"> GAO-26-107737. Washington, D.C., 23 July 2026. https://www.gao.gov/products/gao-26-107737 [viewed 2026-08-05]</w:t>
      </w:r>
    </w:p>
    <w:p w14:paraId="360B8256" w14:textId="66455440"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[9] HM TREASURY. </w:t>
      </w:r>
      <w:r w:rsidRPr="00E304B5">
        <w:rPr>
          <w:rFonts w:ascii="Times New Roman" w:eastAsia="Times New Roman" w:hAnsi="Times New Roman" w:cs="Arial"/>
          <w:i/>
          <w:sz w:val="28"/>
          <w:szCs w:val="28"/>
          <w:lang w:val="en-GB"/>
        </w:rPr>
        <w:t>Green Book Supplementary Guidance: Optimism Bias.</w:t>
      </w:r>
      <w:r w:rsidRPr="00E304B5">
        <w:rPr>
          <w:rFonts w:ascii="Times New Roman" w:eastAsia="Times New Roman" w:hAnsi="Times New Roman" w:cs="Arial"/>
          <w:sz w:val="28"/>
          <w:szCs w:val="28"/>
          <w:lang w:val="en-GB"/>
        </w:rPr>
        <w:t xml:space="preserve"> London: HM Treasury, 21 April 2013. https://www.gov.uk/government/publications/green-book-supplementary-guidance-optimism-bias [viewed 2026-0</w:t>
      </w:r>
      <w:r w:rsidR="00BF395A" w:rsidRPr="00E304B5">
        <w:rPr>
          <w:rFonts w:ascii="Times New Roman" w:eastAsia="Times New Roman" w:hAnsi="Times New Roman" w:cs="Arial"/>
          <w:sz w:val="28"/>
          <w:szCs w:val="28"/>
        </w:rPr>
        <w:t>9</w:t>
      </w:r>
      <w:r w:rsidRPr="00E304B5">
        <w:rPr>
          <w:rFonts w:ascii="Times New Roman" w:eastAsia="Times New Roman" w:hAnsi="Times New Roman" w:cs="Arial"/>
          <w:sz w:val="28"/>
          <w:szCs w:val="28"/>
          <w:lang w:val="en-GB"/>
        </w:rPr>
        <w:t>-0</w:t>
      </w:r>
      <w:r w:rsidR="00BF395A" w:rsidRPr="00E304B5">
        <w:rPr>
          <w:rFonts w:ascii="Times New Roman" w:eastAsia="Times New Roman" w:hAnsi="Times New Roman" w:cs="Arial"/>
          <w:sz w:val="28"/>
          <w:szCs w:val="28"/>
        </w:rPr>
        <w:t>5</w:t>
      </w:r>
      <w:r w:rsidRPr="00E304B5">
        <w:rPr>
          <w:rFonts w:ascii="Times New Roman" w:eastAsia="Times New Roman" w:hAnsi="Times New Roman" w:cs="Arial"/>
          <w:sz w:val="28"/>
          <w:szCs w:val="28"/>
          <w:lang w:val="en-GB"/>
        </w:rPr>
        <w:t>]</w:t>
      </w:r>
    </w:p>
    <w:p w14:paraId="7293DBA8" w14:textId="77777777"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[10] HARTLEY, K. </w:t>
      </w:r>
      <w:r w:rsidRPr="00E304B5">
        <w:rPr>
          <w:rFonts w:ascii="Times New Roman" w:eastAsia="Times New Roman" w:hAnsi="Times New Roman" w:cs="Arial"/>
          <w:i/>
          <w:sz w:val="28"/>
          <w:szCs w:val="28"/>
          <w:lang w:val="en-GB"/>
        </w:rPr>
        <w:t>Defence Output Measures: An Economics Perspective.</w:t>
      </w:r>
      <w:r w:rsidRPr="00E304B5">
        <w:rPr>
          <w:rFonts w:ascii="Times New Roman" w:eastAsia="Times New Roman" w:hAnsi="Times New Roman" w:cs="Arial"/>
          <w:sz w:val="28"/>
          <w:szCs w:val="28"/>
          <w:lang w:val="en-GB"/>
        </w:rPr>
        <w:t xml:space="preserve"> DRDC CORA CR 2011-178. Ottawa: Defence R&amp;D Canada, Centre for Operational Research and Analysis, 2011.</w:t>
      </w:r>
    </w:p>
    <w:p w14:paraId="2D5EA1A3" w14:textId="77777777" w:rsidR="00977D02" w:rsidRPr="00E304B5" w:rsidRDefault="00977D02" w:rsidP="00BF395A">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 [11] AFONSO, A., L. SCHUKNECHT and V. TANZI. Public Sector Efficiency: An International Comparison. </w:t>
      </w:r>
      <w:r w:rsidRPr="00E304B5">
        <w:rPr>
          <w:rFonts w:ascii="Times New Roman" w:eastAsia="Times New Roman" w:hAnsi="Times New Roman" w:cs="Arial"/>
          <w:i/>
          <w:sz w:val="28"/>
          <w:szCs w:val="28"/>
          <w:lang w:val="en-GB"/>
        </w:rPr>
        <w:t>Public Choice</w:t>
      </w:r>
      <w:r w:rsidRPr="00E304B5">
        <w:rPr>
          <w:rFonts w:ascii="Times New Roman" w:eastAsia="Times New Roman" w:hAnsi="Times New Roman" w:cs="Arial"/>
          <w:sz w:val="28"/>
          <w:szCs w:val="28"/>
          <w:lang w:val="en-GB"/>
        </w:rPr>
        <w:t>, 2005, vol. 123, no. 3-4, pp. 321-347. https://doi.org/10.1007/s11127-005-7165-2</w:t>
      </w:r>
    </w:p>
    <w:p w14:paraId="223375A8" w14:textId="77777777" w:rsidR="00977D02" w:rsidRPr="00E304B5" w:rsidRDefault="00977D02" w:rsidP="00BF395A">
      <w:pPr>
        <w:spacing w:line="240" w:lineRule="auto"/>
        <w:rPr>
          <w:rFonts w:ascii="Times New Roman" w:eastAsia="Times New Roman" w:hAnsi="Times New Roman" w:cs="Arial"/>
          <w:b/>
          <w:sz w:val="28"/>
          <w:szCs w:val="28"/>
          <w:lang w:val="en-GB"/>
        </w:rPr>
      </w:pPr>
    </w:p>
    <w:p w14:paraId="4FFCB98E" w14:textId="2A6C0BA0" w:rsidR="00155B33" w:rsidRPr="00E304B5" w:rsidRDefault="00155B33" w:rsidP="00BF395A">
      <w:pPr>
        <w:spacing w:line="240" w:lineRule="auto"/>
        <w:ind w:firstLine="567"/>
        <w:rPr>
          <w:rFonts w:ascii="Times New Roman" w:eastAsia="Times New Roman" w:hAnsi="Times New Roman" w:cs="Arial"/>
          <w:b/>
          <w:sz w:val="28"/>
          <w:szCs w:val="28"/>
        </w:rPr>
      </w:pPr>
      <w:r w:rsidRPr="00E304B5">
        <w:rPr>
          <w:rFonts w:ascii="Times New Roman" w:eastAsia="Times New Roman" w:hAnsi="Times New Roman" w:cs="Arial"/>
          <w:b/>
          <w:sz w:val="28"/>
          <w:szCs w:val="28"/>
          <w:lang w:val="en-GB"/>
        </w:rPr>
        <w:t>Bibliography</w:t>
      </w:r>
      <w:r w:rsidR="00BF395A" w:rsidRPr="00E304B5">
        <w:rPr>
          <w:rFonts w:ascii="Times New Roman" w:eastAsia="Times New Roman" w:hAnsi="Times New Roman" w:cs="Arial"/>
          <w:b/>
          <w:sz w:val="28"/>
          <w:szCs w:val="28"/>
        </w:rPr>
        <w:t>:</w:t>
      </w:r>
    </w:p>
    <w:p w14:paraId="2776C839" w14:textId="36CE12D6" w:rsidR="00977D02" w:rsidRPr="00E304B5" w:rsidRDefault="00977D02" w:rsidP="00BF395A">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1. AFONSO, A., L. SCHUKNECHT and V. TANZI. Public Sector Efficiency: An International Comparison. </w:t>
      </w:r>
      <w:r w:rsidRPr="00E304B5">
        <w:rPr>
          <w:rFonts w:ascii="Times New Roman" w:eastAsia="Times New Roman" w:hAnsi="Times New Roman" w:cs="Arial"/>
          <w:i/>
          <w:sz w:val="28"/>
          <w:szCs w:val="28"/>
          <w:lang w:val="en-GB"/>
        </w:rPr>
        <w:t>Public Choice</w:t>
      </w:r>
      <w:r w:rsidRPr="00E304B5">
        <w:rPr>
          <w:rFonts w:ascii="Times New Roman" w:eastAsia="Times New Roman" w:hAnsi="Times New Roman" w:cs="Arial"/>
          <w:sz w:val="28"/>
          <w:szCs w:val="28"/>
          <w:lang w:val="en-GB"/>
        </w:rPr>
        <w:t>, 2005, vol. 123, no. 3-4, pp. 321-347. https://doi.org/10.1007/s11127-005-7165-2</w:t>
      </w:r>
    </w:p>
    <w:p w14:paraId="3C0EB305" w14:textId="77777777" w:rsid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2. BORGE, L.</w:t>
      </w:r>
      <w:r w:rsidR="00E304B5">
        <w:rPr>
          <w:rFonts w:ascii="Times New Roman" w:eastAsia="Times New Roman" w:hAnsi="Times New Roman" w:cs="Arial"/>
          <w:sz w:val="28"/>
          <w:szCs w:val="28"/>
        </w:rPr>
        <w:t xml:space="preserve"> </w:t>
      </w:r>
      <w:r w:rsidRPr="00E304B5">
        <w:rPr>
          <w:rFonts w:ascii="Times New Roman" w:eastAsia="Times New Roman" w:hAnsi="Times New Roman" w:cs="Arial"/>
          <w:sz w:val="28"/>
          <w:szCs w:val="28"/>
          <w:lang w:val="en-GB"/>
        </w:rPr>
        <w:t xml:space="preserve">E., K. H. HOVE, T. LILLEKVELLAND and P. TOVMO. Cost Disease in </w:t>
      </w:r>
      <w:proofErr w:type="spellStart"/>
      <w:r w:rsidRPr="00E304B5">
        <w:rPr>
          <w:rFonts w:ascii="Times New Roman" w:eastAsia="Times New Roman" w:hAnsi="Times New Roman" w:cs="Arial"/>
          <w:sz w:val="28"/>
          <w:szCs w:val="28"/>
          <w:lang w:val="en-GB"/>
        </w:rPr>
        <w:t>Defense</w:t>
      </w:r>
      <w:proofErr w:type="spellEnd"/>
      <w:r w:rsidRPr="00E304B5">
        <w:rPr>
          <w:rFonts w:ascii="Times New Roman" w:eastAsia="Times New Roman" w:hAnsi="Times New Roman" w:cs="Arial"/>
          <w:sz w:val="28"/>
          <w:szCs w:val="28"/>
          <w:lang w:val="en-GB"/>
        </w:rPr>
        <w:t xml:space="preserve"> and Public Administration: Baumol and Politics. </w:t>
      </w:r>
      <w:r w:rsidRPr="00E304B5">
        <w:rPr>
          <w:rFonts w:ascii="Times New Roman" w:eastAsia="Times New Roman" w:hAnsi="Times New Roman" w:cs="Arial"/>
          <w:i/>
          <w:sz w:val="28"/>
          <w:szCs w:val="28"/>
          <w:lang w:val="en-GB"/>
        </w:rPr>
        <w:t>Public Choice</w:t>
      </w:r>
      <w:r w:rsidRPr="00E304B5">
        <w:rPr>
          <w:rFonts w:ascii="Times New Roman" w:eastAsia="Times New Roman" w:hAnsi="Times New Roman" w:cs="Arial"/>
          <w:sz w:val="28"/>
          <w:szCs w:val="28"/>
          <w:lang w:val="en-GB"/>
        </w:rPr>
        <w:t xml:space="preserve">, 2018, vol. 175, no. 1, pp. 1-18. </w:t>
      </w:r>
    </w:p>
    <w:p w14:paraId="12EBEAD5" w14:textId="57859E17" w:rsidR="00977D02" w:rsidRPr="00E304B5" w:rsidRDefault="00977D02" w:rsidP="00E304B5">
      <w:pPr>
        <w:suppressAutoHyphens/>
        <w:spacing w:line="240" w:lineRule="auto"/>
        <w:ind w:firstLine="0"/>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https://doi.org/10.1007/s11127-018-0510-z</w:t>
      </w:r>
    </w:p>
    <w:p w14:paraId="7F9CA2B9" w14:textId="77777777"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3. HARTLEY, K. </w:t>
      </w:r>
      <w:r w:rsidRPr="00E304B5">
        <w:rPr>
          <w:rFonts w:ascii="Times New Roman" w:eastAsia="Times New Roman" w:hAnsi="Times New Roman" w:cs="Arial"/>
          <w:i/>
          <w:sz w:val="28"/>
          <w:szCs w:val="28"/>
          <w:lang w:val="en-GB"/>
        </w:rPr>
        <w:t>Defence Output Measures: An Economics Perspective.</w:t>
      </w:r>
      <w:r w:rsidRPr="00E304B5">
        <w:rPr>
          <w:rFonts w:ascii="Times New Roman" w:eastAsia="Times New Roman" w:hAnsi="Times New Roman" w:cs="Arial"/>
          <w:sz w:val="28"/>
          <w:szCs w:val="28"/>
          <w:lang w:val="en-GB"/>
        </w:rPr>
        <w:t xml:space="preserve"> DRDC CORA CR 2011-178. Ottawa: Defence R&amp;D Canada, Centre for Operational Research and Analysis, 2011.</w:t>
      </w:r>
    </w:p>
    <w:p w14:paraId="371BA000" w14:textId="345FBBDB"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4. HM TREASURY. </w:t>
      </w:r>
      <w:r w:rsidRPr="00E304B5">
        <w:rPr>
          <w:rFonts w:ascii="Times New Roman" w:eastAsia="Times New Roman" w:hAnsi="Times New Roman" w:cs="Arial"/>
          <w:i/>
          <w:sz w:val="28"/>
          <w:szCs w:val="28"/>
          <w:lang w:val="en-GB"/>
        </w:rPr>
        <w:t>Green Book Supplementary Guidance: Optimism Bias.</w:t>
      </w:r>
      <w:r w:rsidRPr="00E304B5">
        <w:rPr>
          <w:rFonts w:ascii="Times New Roman" w:eastAsia="Times New Roman" w:hAnsi="Times New Roman" w:cs="Arial"/>
          <w:sz w:val="28"/>
          <w:szCs w:val="28"/>
          <w:lang w:val="en-GB"/>
        </w:rPr>
        <w:t xml:space="preserve"> London: HM Treasury, 21 April 2013. https://www.gov.uk/government/publications/green-book-supplementary-guidance-optimism-bias [viewed 2026-0</w:t>
      </w:r>
      <w:r w:rsidR="00BF395A" w:rsidRPr="00E304B5">
        <w:rPr>
          <w:rFonts w:ascii="Times New Roman" w:eastAsia="Times New Roman" w:hAnsi="Times New Roman" w:cs="Arial"/>
          <w:sz w:val="28"/>
          <w:szCs w:val="28"/>
        </w:rPr>
        <w:t>9</w:t>
      </w:r>
      <w:r w:rsidRPr="00E304B5">
        <w:rPr>
          <w:rFonts w:ascii="Times New Roman" w:eastAsia="Times New Roman" w:hAnsi="Times New Roman" w:cs="Arial"/>
          <w:sz w:val="28"/>
          <w:szCs w:val="28"/>
          <w:lang w:val="en-GB"/>
        </w:rPr>
        <w:t>-05]</w:t>
      </w:r>
    </w:p>
    <w:p w14:paraId="39D5DF2A" w14:textId="77777777"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5. HOROWITZ, M. C. Artificial Intelligence, International Competition, and the Balance of Power. </w:t>
      </w:r>
      <w:r w:rsidRPr="00E304B5">
        <w:rPr>
          <w:rFonts w:ascii="Times New Roman" w:eastAsia="Times New Roman" w:hAnsi="Times New Roman" w:cs="Arial"/>
          <w:i/>
          <w:sz w:val="28"/>
          <w:szCs w:val="28"/>
          <w:lang w:val="en-GB"/>
        </w:rPr>
        <w:t>Texas National Security Review</w:t>
      </w:r>
      <w:r w:rsidRPr="00E304B5">
        <w:rPr>
          <w:rFonts w:ascii="Times New Roman" w:eastAsia="Times New Roman" w:hAnsi="Times New Roman" w:cs="Arial"/>
          <w:sz w:val="28"/>
          <w:szCs w:val="28"/>
          <w:lang w:val="en-GB"/>
        </w:rPr>
        <w:t>, 2018, vol. 1, no. 3, pp. 36-57. https://doi.org/10.15781/T2639KP49</w:t>
      </w:r>
    </w:p>
    <w:p w14:paraId="5CDF2CD1" w14:textId="112065D2"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6. KONAEV, M. and T. NURKIN. </w:t>
      </w:r>
      <w:r w:rsidRPr="00E304B5">
        <w:rPr>
          <w:rFonts w:ascii="Times New Roman" w:eastAsia="Times New Roman" w:hAnsi="Times New Roman" w:cs="Arial"/>
          <w:i/>
          <w:sz w:val="28"/>
          <w:szCs w:val="28"/>
          <w:lang w:val="en-GB"/>
        </w:rPr>
        <w:t xml:space="preserve">Eye to Eye in AI: Developing Artificial Intelligence for National Security and </w:t>
      </w:r>
      <w:proofErr w:type="spellStart"/>
      <w:r w:rsidRPr="00E304B5">
        <w:rPr>
          <w:rFonts w:ascii="Times New Roman" w:eastAsia="Times New Roman" w:hAnsi="Times New Roman" w:cs="Arial"/>
          <w:i/>
          <w:sz w:val="28"/>
          <w:szCs w:val="28"/>
          <w:lang w:val="en-GB"/>
        </w:rPr>
        <w:t>Defense</w:t>
      </w:r>
      <w:proofErr w:type="spellEnd"/>
      <w:r w:rsidRPr="00E304B5">
        <w:rPr>
          <w:rFonts w:ascii="Times New Roman" w:eastAsia="Times New Roman" w:hAnsi="Times New Roman" w:cs="Arial"/>
          <w:i/>
          <w:sz w:val="28"/>
          <w:szCs w:val="28"/>
          <w:lang w:val="en-GB"/>
        </w:rPr>
        <w:t>.</w:t>
      </w:r>
      <w:r w:rsidRPr="00E304B5">
        <w:rPr>
          <w:rFonts w:ascii="Times New Roman" w:eastAsia="Times New Roman" w:hAnsi="Times New Roman" w:cs="Arial"/>
          <w:sz w:val="28"/>
          <w:szCs w:val="28"/>
          <w:lang w:val="en-GB"/>
        </w:rPr>
        <w:t xml:space="preserve"> Washington, D.C.: Atlantic Council, Scowcroft </w:t>
      </w:r>
      <w:proofErr w:type="spellStart"/>
      <w:r w:rsidRPr="00E304B5">
        <w:rPr>
          <w:rFonts w:ascii="Times New Roman" w:eastAsia="Times New Roman" w:hAnsi="Times New Roman" w:cs="Arial"/>
          <w:sz w:val="28"/>
          <w:szCs w:val="28"/>
          <w:lang w:val="en-GB"/>
        </w:rPr>
        <w:t>Center</w:t>
      </w:r>
      <w:proofErr w:type="spellEnd"/>
      <w:r w:rsidRPr="00E304B5">
        <w:rPr>
          <w:rFonts w:ascii="Times New Roman" w:eastAsia="Times New Roman" w:hAnsi="Times New Roman" w:cs="Arial"/>
          <w:sz w:val="28"/>
          <w:szCs w:val="28"/>
          <w:lang w:val="en-GB"/>
        </w:rPr>
        <w:t xml:space="preserve"> for Strategy and Security, 2022. https://www.atlanticcouncil.org/in-depth-research-reports/report/eye-to-eye-in-ai/ [viewed 2026-0</w:t>
      </w:r>
      <w:r w:rsidR="00BF395A" w:rsidRPr="00E304B5">
        <w:rPr>
          <w:rFonts w:ascii="Times New Roman" w:eastAsia="Times New Roman" w:hAnsi="Times New Roman" w:cs="Arial"/>
          <w:sz w:val="28"/>
          <w:szCs w:val="28"/>
        </w:rPr>
        <w:t>9</w:t>
      </w:r>
      <w:r w:rsidRPr="00E304B5">
        <w:rPr>
          <w:rFonts w:ascii="Times New Roman" w:eastAsia="Times New Roman" w:hAnsi="Times New Roman" w:cs="Arial"/>
          <w:sz w:val="28"/>
          <w:szCs w:val="28"/>
          <w:lang w:val="en-GB"/>
        </w:rPr>
        <w:t>-05]</w:t>
      </w:r>
    </w:p>
    <w:p w14:paraId="78C7309A" w14:textId="77777777"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7. NATIONAL SECURITY COMMISSION ON ARTIFICIAL INTELLIGENCE. </w:t>
      </w:r>
      <w:r w:rsidRPr="00E304B5">
        <w:rPr>
          <w:rFonts w:ascii="Times New Roman" w:eastAsia="Times New Roman" w:hAnsi="Times New Roman" w:cs="Arial"/>
          <w:i/>
          <w:sz w:val="28"/>
          <w:szCs w:val="28"/>
          <w:lang w:val="en-GB"/>
        </w:rPr>
        <w:t>Final Report.</w:t>
      </w:r>
      <w:r w:rsidRPr="00E304B5">
        <w:rPr>
          <w:rFonts w:ascii="Times New Roman" w:eastAsia="Times New Roman" w:hAnsi="Times New Roman" w:cs="Arial"/>
          <w:sz w:val="28"/>
          <w:szCs w:val="28"/>
          <w:lang w:val="en-GB"/>
        </w:rPr>
        <w:t xml:space="preserve"> Washington, D.C.: NSCAI, 2021. https://cybercemetery.unt.edu/nscai/20211005220330/http://nscai.gov/ [viewed 2026-08-05]</w:t>
      </w:r>
    </w:p>
    <w:p w14:paraId="0CA08C9E" w14:textId="77777777"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8. NATO. </w:t>
      </w:r>
      <w:r w:rsidRPr="00E304B5">
        <w:rPr>
          <w:rFonts w:ascii="Times New Roman" w:eastAsia="Times New Roman" w:hAnsi="Times New Roman" w:cs="Arial"/>
          <w:i/>
          <w:sz w:val="28"/>
          <w:szCs w:val="28"/>
          <w:lang w:val="en-GB"/>
        </w:rPr>
        <w:t>The Secretary General’s Annual Report 2025. Annex III: Defence Expenditure of NATO Countries (2014-2025).</w:t>
      </w:r>
      <w:r w:rsidRPr="00E304B5">
        <w:rPr>
          <w:rFonts w:ascii="Times New Roman" w:eastAsia="Times New Roman" w:hAnsi="Times New Roman" w:cs="Arial"/>
          <w:sz w:val="28"/>
          <w:szCs w:val="28"/>
          <w:lang w:val="en-GB"/>
        </w:rPr>
        <w:t xml:space="preserve"> Brussels: NATO, 2026. </w:t>
      </w:r>
      <w:r w:rsidRPr="00E304B5">
        <w:rPr>
          <w:rFonts w:ascii="Times New Roman" w:eastAsia="Times New Roman" w:hAnsi="Times New Roman" w:cs="Arial"/>
          <w:sz w:val="28"/>
          <w:szCs w:val="28"/>
          <w:lang w:val="en-GB"/>
        </w:rPr>
        <w:lastRenderedPageBreak/>
        <w:t>https://www.nato.int/content/dam/nato/webready/documents/publications-and-reports/annual-reports/sgar25-en.pdf [viewed 2026-08-05]</w:t>
      </w:r>
    </w:p>
    <w:p w14:paraId="063F48DE" w14:textId="3F9B2842"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9. SIPRI. </w:t>
      </w:r>
      <w:r w:rsidRPr="00E304B5">
        <w:rPr>
          <w:rFonts w:ascii="Times New Roman" w:eastAsia="Times New Roman" w:hAnsi="Times New Roman" w:cs="Arial"/>
          <w:i/>
          <w:sz w:val="28"/>
          <w:szCs w:val="28"/>
          <w:lang w:val="en-GB"/>
        </w:rPr>
        <w:t>Trends in World Military Expenditure, 2025.</w:t>
      </w:r>
      <w:r w:rsidRPr="00E304B5">
        <w:rPr>
          <w:rFonts w:ascii="Times New Roman" w:eastAsia="Times New Roman" w:hAnsi="Times New Roman" w:cs="Arial"/>
          <w:sz w:val="28"/>
          <w:szCs w:val="28"/>
          <w:lang w:val="en-GB"/>
        </w:rPr>
        <w:t xml:space="preserve"> SIPRI Fact Sheet, April 2026. Stockholm: Stockholm International Peace Research Institute, 2026. https://www.sipri.org/publications/2026/sipri-fact-sheets/trends-world-military-expenditure-2025 [viewed 2026-0</w:t>
      </w:r>
      <w:r w:rsidR="00BF395A" w:rsidRPr="00E304B5">
        <w:rPr>
          <w:rFonts w:ascii="Times New Roman" w:eastAsia="Times New Roman" w:hAnsi="Times New Roman" w:cs="Arial"/>
          <w:sz w:val="28"/>
          <w:szCs w:val="28"/>
        </w:rPr>
        <w:t>9</w:t>
      </w:r>
      <w:r w:rsidRPr="00E304B5">
        <w:rPr>
          <w:rFonts w:ascii="Times New Roman" w:eastAsia="Times New Roman" w:hAnsi="Times New Roman" w:cs="Arial"/>
          <w:sz w:val="28"/>
          <w:szCs w:val="28"/>
          <w:lang w:val="en-GB"/>
        </w:rPr>
        <w:t>-05]</w:t>
      </w:r>
    </w:p>
    <w:p w14:paraId="44DB1A5B" w14:textId="24A11996"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10. U.S. GOVERNMENT ACCOUNTABILITY OFFICE. </w:t>
      </w:r>
      <w:r w:rsidRPr="00E304B5">
        <w:rPr>
          <w:rFonts w:ascii="Times New Roman" w:eastAsia="Times New Roman" w:hAnsi="Times New Roman" w:cs="Arial"/>
          <w:i/>
          <w:sz w:val="28"/>
          <w:szCs w:val="28"/>
          <w:lang w:val="en-GB"/>
        </w:rPr>
        <w:t>Technology Modernization Fund: Small Savings Achieved So Far, but Substantial Future Savings Expected.</w:t>
      </w:r>
      <w:r w:rsidRPr="00E304B5">
        <w:rPr>
          <w:rFonts w:ascii="Times New Roman" w:eastAsia="Times New Roman" w:hAnsi="Times New Roman" w:cs="Arial"/>
          <w:sz w:val="28"/>
          <w:szCs w:val="28"/>
          <w:lang w:val="en-GB"/>
        </w:rPr>
        <w:t xml:space="preserve"> GAO-26-107737. Washington, D.C., 23 July 2026. https://www.gao.gov/products/gao-26-107737 [viewed 2026-0</w:t>
      </w:r>
      <w:r w:rsidR="00BF395A" w:rsidRPr="00E304B5">
        <w:rPr>
          <w:rFonts w:ascii="Times New Roman" w:eastAsia="Times New Roman" w:hAnsi="Times New Roman" w:cs="Arial"/>
          <w:sz w:val="28"/>
          <w:szCs w:val="28"/>
        </w:rPr>
        <w:t>9</w:t>
      </w:r>
      <w:r w:rsidRPr="00E304B5">
        <w:rPr>
          <w:rFonts w:ascii="Times New Roman" w:eastAsia="Times New Roman" w:hAnsi="Times New Roman" w:cs="Arial"/>
          <w:sz w:val="28"/>
          <w:szCs w:val="28"/>
          <w:lang w:val="en-GB"/>
        </w:rPr>
        <w:t>-05]</w:t>
      </w:r>
    </w:p>
    <w:p w14:paraId="248EE742" w14:textId="20D6A4EE" w:rsidR="00977D02" w:rsidRPr="00E304B5" w:rsidRDefault="00977D02" w:rsidP="00977D02">
      <w:pPr>
        <w:suppressAutoHyphens/>
        <w:spacing w:line="240" w:lineRule="auto"/>
        <w:ind w:firstLine="567"/>
        <w:rPr>
          <w:rFonts w:ascii="Times New Roman" w:eastAsia="Times New Roman" w:hAnsi="Times New Roman" w:cs="Arial"/>
          <w:sz w:val="28"/>
          <w:szCs w:val="28"/>
          <w:lang w:val="en-GB"/>
        </w:rPr>
      </w:pPr>
      <w:r w:rsidRPr="00E304B5">
        <w:rPr>
          <w:rFonts w:ascii="Times New Roman" w:eastAsia="Times New Roman" w:hAnsi="Times New Roman" w:cs="Arial"/>
          <w:sz w:val="28"/>
          <w:szCs w:val="28"/>
          <w:lang w:val="en-GB"/>
        </w:rPr>
        <w:t xml:space="preserve">11. U.S. GOVERNMENT ACCOUNTABILITY OFFICE. </w:t>
      </w:r>
      <w:r w:rsidRPr="00E304B5">
        <w:rPr>
          <w:rFonts w:ascii="Times New Roman" w:eastAsia="Times New Roman" w:hAnsi="Times New Roman" w:cs="Arial"/>
          <w:i/>
          <w:sz w:val="28"/>
          <w:szCs w:val="28"/>
          <w:lang w:val="en-GB"/>
        </w:rPr>
        <w:t xml:space="preserve">Weapon System Sustainment: DOD Identified Critical Cost Growth, and the Army Should </w:t>
      </w:r>
      <w:proofErr w:type="gramStart"/>
      <w:r w:rsidRPr="00E304B5">
        <w:rPr>
          <w:rFonts w:ascii="Times New Roman" w:eastAsia="Times New Roman" w:hAnsi="Times New Roman" w:cs="Arial"/>
          <w:i/>
          <w:sz w:val="28"/>
          <w:szCs w:val="28"/>
          <w:lang w:val="en-GB"/>
        </w:rPr>
        <w:t>Take</w:t>
      </w:r>
      <w:r w:rsidR="00E123EB">
        <w:rPr>
          <w:rFonts w:ascii="Times New Roman" w:eastAsia="Times New Roman" w:hAnsi="Times New Roman" w:cs="Arial"/>
          <w:i/>
          <w:sz w:val="28"/>
          <w:szCs w:val="28"/>
        </w:rPr>
        <w:t xml:space="preserve"> </w:t>
      </w:r>
      <w:r w:rsidRPr="00E304B5">
        <w:rPr>
          <w:rFonts w:ascii="Times New Roman" w:eastAsia="Times New Roman" w:hAnsi="Times New Roman" w:cs="Arial"/>
          <w:i/>
          <w:sz w:val="28"/>
          <w:szCs w:val="28"/>
          <w:lang w:val="en-GB"/>
        </w:rPr>
        <w:t>Action</w:t>
      </w:r>
      <w:proofErr w:type="gramEnd"/>
      <w:r w:rsidRPr="00E304B5">
        <w:rPr>
          <w:rFonts w:ascii="Times New Roman" w:eastAsia="Times New Roman" w:hAnsi="Times New Roman" w:cs="Arial"/>
          <w:i/>
          <w:sz w:val="28"/>
          <w:szCs w:val="28"/>
          <w:lang w:val="en-GB"/>
        </w:rPr>
        <w:t xml:space="preserve"> to Yield Cost Savings.</w:t>
      </w:r>
      <w:r w:rsidRPr="00E304B5">
        <w:rPr>
          <w:rFonts w:ascii="Times New Roman" w:eastAsia="Times New Roman" w:hAnsi="Times New Roman" w:cs="Arial"/>
          <w:sz w:val="28"/>
          <w:szCs w:val="28"/>
          <w:lang w:val="en-GB"/>
        </w:rPr>
        <w:t xml:space="preserve"> GAO-26-108140. Washington, D.C., 23 April 2026. https://www.gao.gov/products/gao-26-108140 [viewed 2026-08-05]</w:t>
      </w:r>
    </w:p>
    <w:p w14:paraId="2EDCBBD8" w14:textId="77777777" w:rsidR="00977D02" w:rsidRPr="00C932C8" w:rsidRDefault="00977D02" w:rsidP="00155B33">
      <w:pPr>
        <w:rPr>
          <w:rFonts w:asciiTheme="majorBidi" w:hAnsiTheme="majorBidi" w:cstheme="majorBidi"/>
          <w:lang w:val="en-GB"/>
        </w:rPr>
      </w:pPr>
    </w:p>
    <w:p w14:paraId="70E124C8" w14:textId="4715EAC7" w:rsidR="00155B33" w:rsidRPr="00E304B5" w:rsidRDefault="00155B33" w:rsidP="00E304B5">
      <w:pPr>
        <w:spacing w:line="240" w:lineRule="auto"/>
        <w:rPr>
          <w:rFonts w:asciiTheme="majorBidi" w:hAnsiTheme="majorBidi" w:cstheme="majorBidi"/>
          <w:sz w:val="24"/>
          <w:szCs w:val="24"/>
          <w:lang w:val="en-GB"/>
        </w:rPr>
      </w:pPr>
      <w:r w:rsidRPr="00E304B5">
        <w:rPr>
          <w:rFonts w:asciiTheme="majorBidi" w:hAnsiTheme="majorBidi" w:cstheme="majorBidi"/>
          <w:sz w:val="24"/>
          <w:szCs w:val="24"/>
          <w:lang w:val="en-GB"/>
        </w:rPr>
        <w:t xml:space="preserve">Assoc. Prof. </w:t>
      </w:r>
      <w:proofErr w:type="spellStart"/>
      <w:r w:rsidRPr="00E304B5">
        <w:rPr>
          <w:rFonts w:asciiTheme="majorBidi" w:hAnsiTheme="majorBidi" w:cstheme="majorBidi"/>
          <w:sz w:val="24"/>
          <w:szCs w:val="24"/>
          <w:lang w:val="en-GB"/>
        </w:rPr>
        <w:t>Lyudmil</w:t>
      </w:r>
      <w:proofErr w:type="spellEnd"/>
      <w:r w:rsidRPr="00E304B5">
        <w:rPr>
          <w:rFonts w:asciiTheme="majorBidi" w:hAnsiTheme="majorBidi" w:cstheme="majorBidi"/>
          <w:sz w:val="24"/>
          <w:szCs w:val="24"/>
          <w:lang w:val="en-GB"/>
        </w:rPr>
        <w:t xml:space="preserve"> </w:t>
      </w:r>
      <w:proofErr w:type="spellStart"/>
      <w:r w:rsidRPr="00E304B5">
        <w:rPr>
          <w:rFonts w:asciiTheme="majorBidi" w:hAnsiTheme="majorBidi" w:cstheme="majorBidi"/>
          <w:sz w:val="24"/>
          <w:szCs w:val="24"/>
          <w:lang w:val="en-GB"/>
        </w:rPr>
        <w:t>Vasilov</w:t>
      </w:r>
      <w:proofErr w:type="spellEnd"/>
      <w:r w:rsidRPr="00E304B5">
        <w:rPr>
          <w:rFonts w:asciiTheme="majorBidi" w:hAnsiTheme="majorBidi" w:cstheme="majorBidi"/>
          <w:sz w:val="24"/>
          <w:szCs w:val="24"/>
          <w:lang w:val="en-GB"/>
        </w:rPr>
        <w:t xml:space="preserve"> </w:t>
      </w:r>
      <w:proofErr w:type="spellStart"/>
      <w:r w:rsidRPr="00E304B5">
        <w:rPr>
          <w:rFonts w:asciiTheme="majorBidi" w:hAnsiTheme="majorBidi" w:cstheme="majorBidi"/>
          <w:sz w:val="24"/>
          <w:szCs w:val="24"/>
          <w:lang w:val="en-GB"/>
        </w:rPr>
        <w:t>Naydenov</w:t>
      </w:r>
      <w:proofErr w:type="spellEnd"/>
      <w:r w:rsidRPr="00E304B5">
        <w:rPr>
          <w:rFonts w:asciiTheme="majorBidi" w:hAnsiTheme="majorBidi" w:cstheme="majorBidi"/>
          <w:sz w:val="24"/>
          <w:szCs w:val="24"/>
          <w:lang w:val="en-GB"/>
        </w:rPr>
        <w:t>, PhD</w:t>
      </w:r>
    </w:p>
    <w:p w14:paraId="084CF808" w14:textId="77777777" w:rsidR="00155B33" w:rsidRPr="00E304B5" w:rsidRDefault="00155B33" w:rsidP="00E304B5">
      <w:pPr>
        <w:spacing w:line="240" w:lineRule="auto"/>
        <w:rPr>
          <w:rFonts w:asciiTheme="majorBidi" w:hAnsiTheme="majorBidi" w:cstheme="majorBidi"/>
          <w:sz w:val="24"/>
          <w:szCs w:val="24"/>
          <w:lang w:val="en-GB"/>
        </w:rPr>
      </w:pPr>
      <w:r w:rsidRPr="00E304B5">
        <w:rPr>
          <w:rFonts w:asciiTheme="majorBidi" w:hAnsiTheme="majorBidi" w:cstheme="majorBidi"/>
          <w:sz w:val="24"/>
          <w:szCs w:val="24"/>
          <w:lang w:val="en-GB"/>
        </w:rPr>
        <w:t>University of Economics, Varna, Department of Finance</w:t>
      </w:r>
    </w:p>
    <w:p w14:paraId="0BD409A0" w14:textId="77777777" w:rsidR="00D9698D" w:rsidRPr="00E304B5" w:rsidRDefault="00155B33" w:rsidP="00E304B5">
      <w:pPr>
        <w:spacing w:line="240" w:lineRule="auto"/>
        <w:rPr>
          <w:rFonts w:asciiTheme="majorBidi" w:hAnsiTheme="majorBidi" w:cstheme="majorBidi"/>
          <w:sz w:val="24"/>
          <w:szCs w:val="24"/>
          <w:lang w:val="en-GB"/>
        </w:rPr>
      </w:pPr>
      <w:r w:rsidRPr="00E304B5">
        <w:rPr>
          <w:rFonts w:asciiTheme="majorBidi" w:hAnsiTheme="majorBidi" w:cstheme="majorBidi"/>
          <w:sz w:val="24"/>
          <w:szCs w:val="24"/>
          <w:lang w:val="en-GB"/>
        </w:rPr>
        <w:t xml:space="preserve">77 </w:t>
      </w:r>
      <w:proofErr w:type="spellStart"/>
      <w:r w:rsidRPr="00E304B5">
        <w:rPr>
          <w:rFonts w:asciiTheme="majorBidi" w:hAnsiTheme="majorBidi" w:cstheme="majorBidi"/>
          <w:sz w:val="24"/>
          <w:szCs w:val="24"/>
          <w:lang w:val="en-GB"/>
        </w:rPr>
        <w:t>Knyaz</w:t>
      </w:r>
      <w:proofErr w:type="spellEnd"/>
      <w:r w:rsidRPr="00E304B5">
        <w:rPr>
          <w:rFonts w:asciiTheme="majorBidi" w:hAnsiTheme="majorBidi" w:cstheme="majorBidi"/>
          <w:sz w:val="24"/>
          <w:szCs w:val="24"/>
          <w:lang w:val="en-GB"/>
        </w:rPr>
        <w:t xml:space="preserve"> Boris I Blvd, 9002 Varna, </w:t>
      </w:r>
      <w:proofErr w:type="spellStart"/>
      <w:r w:rsidRPr="00E304B5">
        <w:rPr>
          <w:rFonts w:asciiTheme="majorBidi" w:hAnsiTheme="majorBidi" w:cstheme="majorBidi"/>
          <w:sz w:val="24"/>
          <w:szCs w:val="24"/>
          <w:lang w:val="en-GB"/>
        </w:rPr>
        <w:t>Bulg</w:t>
      </w:r>
      <w:r w:rsidRPr="00E304B5">
        <w:rPr>
          <w:rFonts w:asciiTheme="majorBidi" w:hAnsiTheme="majorBidi" w:cstheme="majorBidi"/>
          <w:sz w:val="24"/>
          <w:szCs w:val="24"/>
        </w:rPr>
        <w:t>aria</w:t>
      </w:r>
      <w:proofErr w:type="spellEnd"/>
      <w:r w:rsidRPr="00E304B5">
        <w:rPr>
          <w:rFonts w:asciiTheme="majorBidi" w:hAnsiTheme="majorBidi" w:cstheme="majorBidi"/>
          <w:sz w:val="24"/>
          <w:szCs w:val="24"/>
        </w:rPr>
        <w:t>, +359 882 164583, lnaydenov@ue-varna.bg</w:t>
      </w:r>
    </w:p>
    <w:sectPr w:rsidR="00D9698D" w:rsidRPr="00E304B5" w:rsidSect="00C932C8">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10A88"/>
    <w:multiLevelType w:val="hybridMultilevel"/>
    <w:tmpl w:val="8D0EBB0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33A637B3"/>
    <w:multiLevelType w:val="hybridMultilevel"/>
    <w:tmpl w:val="B686EB8A"/>
    <w:lvl w:ilvl="0" w:tplc="7D46536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49E51E3D"/>
    <w:multiLevelType w:val="hybridMultilevel"/>
    <w:tmpl w:val="C76E64F0"/>
    <w:lvl w:ilvl="0" w:tplc="EBBE54D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6AB733BC"/>
    <w:multiLevelType w:val="hybridMultilevel"/>
    <w:tmpl w:val="CEC054E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B33"/>
    <w:rsid w:val="00155B33"/>
    <w:rsid w:val="001A6EC7"/>
    <w:rsid w:val="00255A22"/>
    <w:rsid w:val="002A205D"/>
    <w:rsid w:val="002E2E34"/>
    <w:rsid w:val="00362AD8"/>
    <w:rsid w:val="00882C3F"/>
    <w:rsid w:val="00977D02"/>
    <w:rsid w:val="00BF395A"/>
    <w:rsid w:val="00C932C8"/>
    <w:rsid w:val="00D9698D"/>
    <w:rsid w:val="00E123EB"/>
    <w:rsid w:val="00E304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E9C35"/>
  <w15:chartTrackingRefBased/>
  <w15:docId w15:val="{898C7FA4-DCED-45EA-8B10-A70A18DE1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line="360" w:lineRule="auto"/>
        <w:ind w:firstLine="709"/>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7D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10</Pages>
  <Words>4139</Words>
  <Characters>23597</Characters>
  <Application>Microsoft Office Word</Application>
  <DocSecurity>0</DocSecurity>
  <Lines>196</Lines>
  <Paragraphs>55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2026-08-18T12:56:00Z</dcterms:created>
  <dcterms:modified xsi:type="dcterms:W3CDTF">2026-09-18T12:42:00Z</dcterms:modified>
</cp:coreProperties>
</file>