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B98FB" w14:textId="2ABB3E87" w:rsidR="00F4696C" w:rsidRPr="00F4696C" w:rsidRDefault="00F4696C" w:rsidP="00F4696C">
      <w:pPr>
        <w:jc w:val="center"/>
        <w:rPr>
          <w:b/>
          <w:bCs/>
          <w:sz w:val="32"/>
          <w:szCs w:val="32"/>
        </w:rPr>
      </w:pPr>
      <w:r w:rsidRPr="00F4696C">
        <w:rPr>
          <w:b/>
          <w:bCs/>
          <w:sz w:val="32"/>
          <w:szCs w:val="32"/>
        </w:rPr>
        <w:t>ИЗСЛЕДВАНЕ НА ЕЛЕКТРОМАГНИТНИТЕ ИЗЛЪЧВАНИЯ ОТ МОБИЛНИ ТЕЛЕФОНИ ИЗМЕРВАНИЯ И АНАЛИЗ</w:t>
      </w:r>
    </w:p>
    <w:p w14:paraId="13DE7E26" w14:textId="599A3F6F" w:rsidR="008D1109" w:rsidRDefault="008D1109" w:rsidP="00E019C5">
      <w:pPr>
        <w:jc w:val="center"/>
        <w:rPr>
          <w:szCs w:val="28"/>
        </w:rPr>
      </w:pPr>
    </w:p>
    <w:p w14:paraId="0D80780B" w14:textId="4C8E82DE" w:rsidR="008D1109" w:rsidRPr="00F4696C" w:rsidRDefault="00F4696C" w:rsidP="00E019C5">
      <w:pPr>
        <w:jc w:val="center"/>
        <w:rPr>
          <w:b/>
          <w:bCs/>
          <w:sz w:val="32"/>
          <w:szCs w:val="32"/>
        </w:rPr>
      </w:pPr>
      <w:r>
        <w:rPr>
          <w:b/>
          <w:bCs/>
          <w:sz w:val="32"/>
          <w:szCs w:val="32"/>
        </w:rPr>
        <w:t>Росен Цветков</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22751C3F" w14:textId="3B6A86EC" w:rsidR="008D1109" w:rsidRDefault="00F4696C" w:rsidP="00E019C5">
      <w:pPr>
        <w:jc w:val="center"/>
        <w:rPr>
          <w:szCs w:val="28"/>
          <w:lang w:val="en-US"/>
        </w:rPr>
      </w:pPr>
      <w:r w:rsidRPr="00F4696C">
        <w:rPr>
          <w:b/>
          <w:bCs/>
          <w:sz w:val="32"/>
          <w:szCs w:val="32"/>
        </w:rPr>
        <w:t>Study of Electromagnetic Radiation from Mobile Phones</w:t>
      </w:r>
      <w:r>
        <w:rPr>
          <w:b/>
          <w:bCs/>
          <w:sz w:val="32"/>
          <w:szCs w:val="32"/>
        </w:rPr>
        <w:t xml:space="preserve"> </w:t>
      </w:r>
      <w:r w:rsidRPr="00F4696C">
        <w:rPr>
          <w:b/>
          <w:bCs/>
          <w:sz w:val="32"/>
          <w:szCs w:val="32"/>
        </w:rPr>
        <w:t>Measurements and Analysis</w:t>
      </w:r>
    </w:p>
    <w:p w14:paraId="6A96D3F4" w14:textId="1EFF6D4C" w:rsidR="00274819" w:rsidRPr="00F4696C" w:rsidRDefault="00F4696C" w:rsidP="00E019C5">
      <w:pPr>
        <w:jc w:val="center"/>
        <w:rPr>
          <w:b/>
          <w:bCs/>
          <w:sz w:val="32"/>
          <w:szCs w:val="32"/>
          <w:lang w:val="en-US"/>
        </w:rPr>
      </w:pPr>
      <w:r>
        <w:rPr>
          <w:b/>
          <w:bCs/>
          <w:sz w:val="32"/>
          <w:szCs w:val="32"/>
          <w:lang w:val="en-US"/>
        </w:rPr>
        <w:t>Rosen Tsvetkov</w:t>
      </w:r>
    </w:p>
    <w:p w14:paraId="142C5542" w14:textId="21B74F87" w:rsidR="00274819" w:rsidRDefault="00274819" w:rsidP="00E019C5">
      <w:pPr>
        <w:jc w:val="center"/>
        <w:rPr>
          <w:szCs w:val="28"/>
          <w:lang w:val="en-US"/>
        </w:rPr>
      </w:pPr>
    </w:p>
    <w:p w14:paraId="1072AA97" w14:textId="1A070D58" w:rsidR="00274819" w:rsidRDefault="00274819" w:rsidP="00E019C5">
      <w:pPr>
        <w:jc w:val="center"/>
        <w:rPr>
          <w:szCs w:val="28"/>
          <w:lang w:val="en-US"/>
        </w:rPr>
      </w:pPr>
    </w:p>
    <w:p w14:paraId="1B979C13" w14:textId="129D10B7" w:rsidR="00274819" w:rsidRPr="00F4696C" w:rsidRDefault="00274819" w:rsidP="003004BD">
      <w:pPr>
        <w:ind w:firstLine="567"/>
        <w:jc w:val="both"/>
        <w:rPr>
          <w:i/>
          <w:iCs/>
          <w:sz w:val="24"/>
        </w:rPr>
      </w:pPr>
      <w:r>
        <w:rPr>
          <w:b/>
          <w:bCs/>
          <w:i/>
          <w:iCs/>
          <w:sz w:val="24"/>
        </w:rPr>
        <w:t>Резюме:</w:t>
      </w:r>
      <w:r>
        <w:rPr>
          <w:i/>
          <w:iCs/>
          <w:sz w:val="24"/>
        </w:rPr>
        <w:t xml:space="preserve"> </w:t>
      </w:r>
      <w:r w:rsidR="00F4696C" w:rsidRPr="00F4696C">
        <w:rPr>
          <w:i/>
          <w:iCs/>
          <w:sz w:val="24"/>
        </w:rPr>
        <w:t>Докладът разглежда нивата на електромагнитни излъчвания (ЕМИ), генерирани от мобилни устройства, както и тяхното съответствие с установените стандарти за безопасност. Направени са серия от експериментални измервания при различни работни режими на телефоните (в режим на изчакване, провеждане на разговор и интензивен трансфер на данни през 4G/5G и Wi-Fi мрежи). На базата на събраните емпирични данни е извършен детайлен анализ на разпределението на електромагнитното поле в близост до потребителя и</w:t>
      </w:r>
      <w:r w:rsidR="00F4696C">
        <w:rPr>
          <w:i/>
          <w:iCs/>
          <w:sz w:val="24"/>
          <w:lang w:val="en-US"/>
        </w:rPr>
        <w:t xml:space="preserve"> </w:t>
      </w:r>
      <w:r w:rsidR="00F4696C">
        <w:rPr>
          <w:i/>
          <w:iCs/>
          <w:sz w:val="24"/>
        </w:rPr>
        <w:t>около мобилните устройства.</w:t>
      </w:r>
    </w:p>
    <w:p w14:paraId="29DBD415" w14:textId="71640005" w:rsidR="00274819" w:rsidRDefault="00274819" w:rsidP="003004BD">
      <w:pPr>
        <w:ind w:firstLine="567"/>
        <w:jc w:val="both"/>
        <w:rPr>
          <w:szCs w:val="28"/>
        </w:rPr>
      </w:pPr>
    </w:p>
    <w:p w14:paraId="2461AA37" w14:textId="6EEF4C5D" w:rsidR="00274819" w:rsidRDefault="00274819" w:rsidP="003004BD">
      <w:pPr>
        <w:ind w:firstLine="567"/>
        <w:jc w:val="both"/>
        <w:rPr>
          <w:i/>
          <w:iCs/>
          <w:sz w:val="24"/>
        </w:rPr>
      </w:pPr>
      <w:r>
        <w:rPr>
          <w:b/>
          <w:bCs/>
          <w:i/>
          <w:iCs/>
          <w:sz w:val="24"/>
        </w:rPr>
        <w:t>Ключови думи:</w:t>
      </w:r>
      <w:r>
        <w:rPr>
          <w:i/>
          <w:iCs/>
          <w:sz w:val="24"/>
        </w:rPr>
        <w:t xml:space="preserve"> </w:t>
      </w:r>
      <w:r w:rsidR="00F4696C" w:rsidRPr="00F4696C">
        <w:rPr>
          <w:i/>
          <w:iCs/>
          <w:sz w:val="24"/>
        </w:rPr>
        <w:t>SAR, мобилни телефони, електромагнитни вълни, Wi-Fi</w:t>
      </w:r>
    </w:p>
    <w:p w14:paraId="14068DE0" w14:textId="5A7D97ED" w:rsidR="00274819" w:rsidRDefault="00274819" w:rsidP="003004BD">
      <w:pPr>
        <w:ind w:firstLine="567"/>
        <w:jc w:val="both"/>
        <w:rPr>
          <w:szCs w:val="28"/>
        </w:rPr>
      </w:pPr>
    </w:p>
    <w:p w14:paraId="1F3A38DD" w14:textId="1B43D44D" w:rsidR="00274819" w:rsidRPr="00274819" w:rsidRDefault="00274819" w:rsidP="003004BD">
      <w:pPr>
        <w:ind w:firstLine="567"/>
        <w:jc w:val="both"/>
        <w:rPr>
          <w:i/>
          <w:iCs/>
          <w:sz w:val="24"/>
          <w:lang w:val="en-US"/>
        </w:rPr>
      </w:pPr>
      <w:r>
        <w:rPr>
          <w:b/>
          <w:bCs/>
          <w:i/>
          <w:iCs/>
          <w:sz w:val="24"/>
          <w:lang w:val="en-US"/>
        </w:rPr>
        <w:t>Abstract:</w:t>
      </w:r>
      <w:r>
        <w:rPr>
          <w:i/>
          <w:iCs/>
          <w:sz w:val="24"/>
          <w:lang w:val="en-US"/>
        </w:rPr>
        <w:t xml:space="preserve"> </w:t>
      </w:r>
      <w:r w:rsidR="00F4696C" w:rsidRPr="00F4696C">
        <w:rPr>
          <w:i/>
          <w:iCs/>
          <w:sz w:val="24"/>
        </w:rPr>
        <w:t>The report examines the levels of electromagnetic radiation (EMR) generated by mobile devices, as well as their compliance with established safety standards. A series of experimental measurements were conducted under various operating modes of the phones (standby, active call, and intensive data transfer over 4G/5G and Wi-Fi networks). Based on the collected empirical data, a detailed analysis was performed regarding the distribution of the electromagnetic field near the user and around the mobile devices.</w:t>
      </w:r>
    </w:p>
    <w:p w14:paraId="42E0ACE4" w14:textId="405591FA" w:rsidR="00274819" w:rsidRPr="00274819" w:rsidRDefault="00274819" w:rsidP="003004BD">
      <w:pPr>
        <w:ind w:firstLine="567"/>
        <w:jc w:val="both"/>
        <w:rPr>
          <w:szCs w:val="28"/>
          <w:lang w:val="en-US"/>
        </w:rPr>
      </w:pPr>
    </w:p>
    <w:p w14:paraId="2DCDF3EC" w14:textId="7BFE4D4B" w:rsidR="00274819" w:rsidRPr="00F4696C" w:rsidRDefault="00274819" w:rsidP="003004BD">
      <w:pPr>
        <w:ind w:firstLine="567"/>
        <w:jc w:val="both"/>
        <w:rPr>
          <w:i/>
          <w:iCs/>
          <w:sz w:val="24"/>
          <w:lang w:val="en-US"/>
        </w:rPr>
      </w:pPr>
      <w:r w:rsidRPr="00274819">
        <w:rPr>
          <w:b/>
          <w:bCs/>
          <w:i/>
          <w:iCs/>
          <w:sz w:val="24"/>
          <w:lang w:val="en-US"/>
        </w:rPr>
        <w:t>Keywords</w:t>
      </w:r>
      <w:r w:rsidRPr="009605D7">
        <w:rPr>
          <w:b/>
          <w:bCs/>
          <w:i/>
          <w:iCs/>
          <w:sz w:val="24"/>
          <w:lang w:val="ru-RU"/>
        </w:rPr>
        <w:t>:</w:t>
      </w:r>
      <w:r w:rsidRPr="009605D7">
        <w:rPr>
          <w:i/>
          <w:iCs/>
          <w:sz w:val="24"/>
          <w:lang w:val="ru-RU"/>
        </w:rPr>
        <w:t xml:space="preserve"> </w:t>
      </w:r>
      <w:r w:rsidR="00F4696C" w:rsidRPr="00F4696C">
        <w:rPr>
          <w:i/>
          <w:iCs/>
          <w:sz w:val="24"/>
        </w:rPr>
        <w:t>SAR, mobile phones, electromagnetic waves, Wi-F</w:t>
      </w:r>
      <w:proofErr w:type="spellStart"/>
      <w:r w:rsidR="00F4696C">
        <w:rPr>
          <w:i/>
          <w:iCs/>
          <w:sz w:val="24"/>
          <w:lang w:val="en-US"/>
        </w:rPr>
        <w:t>i</w:t>
      </w:r>
      <w:proofErr w:type="spellEnd"/>
    </w:p>
    <w:p w14:paraId="023C3CE7" w14:textId="2B740211" w:rsidR="00274819" w:rsidRPr="009605D7" w:rsidRDefault="00274819" w:rsidP="003004BD">
      <w:pPr>
        <w:ind w:firstLine="567"/>
        <w:rPr>
          <w:szCs w:val="28"/>
          <w:lang w:val="ru-RU"/>
        </w:rPr>
      </w:pPr>
    </w:p>
    <w:p w14:paraId="4EC25E36" w14:textId="77777777" w:rsidR="00476293" w:rsidRPr="00476293" w:rsidRDefault="00476293" w:rsidP="00D52995">
      <w:pPr>
        <w:ind w:firstLine="567"/>
        <w:jc w:val="both"/>
        <w:rPr>
          <w:b/>
          <w:bCs/>
          <w:szCs w:val="28"/>
        </w:rPr>
      </w:pPr>
      <w:r w:rsidRPr="00476293">
        <w:rPr>
          <w:b/>
          <w:bCs/>
          <w:szCs w:val="28"/>
        </w:rPr>
        <w:t>УВОД</w:t>
      </w:r>
    </w:p>
    <w:p w14:paraId="11A50C4C" w14:textId="77777777" w:rsidR="00476293" w:rsidRPr="00476293" w:rsidRDefault="00476293" w:rsidP="00D52995">
      <w:pPr>
        <w:ind w:firstLine="567"/>
        <w:jc w:val="both"/>
        <w:rPr>
          <w:b/>
          <w:bCs/>
          <w:szCs w:val="28"/>
        </w:rPr>
      </w:pPr>
      <w:r w:rsidRPr="00476293">
        <w:rPr>
          <w:b/>
          <w:bCs/>
          <w:szCs w:val="28"/>
        </w:rPr>
        <w:t>1. Теоретичен обзор</w:t>
      </w:r>
    </w:p>
    <w:p w14:paraId="47BE2983" w14:textId="3D188B47" w:rsidR="00476293" w:rsidRDefault="00476293" w:rsidP="00D52995">
      <w:pPr>
        <w:ind w:firstLine="567"/>
        <w:jc w:val="both"/>
        <w:rPr>
          <w:szCs w:val="28"/>
        </w:rPr>
      </w:pPr>
      <w:r w:rsidRPr="00476293">
        <w:rPr>
          <w:szCs w:val="28"/>
        </w:rPr>
        <w:t>Масовото навлизане на мобилните комуникации и динамичното</w:t>
      </w:r>
      <w:r>
        <w:rPr>
          <w:szCs w:val="28"/>
        </w:rPr>
        <w:t xml:space="preserve"> </w:t>
      </w:r>
      <w:r w:rsidRPr="00476293">
        <w:rPr>
          <w:szCs w:val="28"/>
        </w:rPr>
        <w:t>развитие на безжичните мрежи (4G/5G, Wi-Fi) доведоха до постоянно присъствие на високочестотни електромагнитни излъчвания (ЕМИ) в ежедневието на съвременния човек. Тъй като мобилните телефони се използват в непосредствена близост до човешкото тяло и глава, въпросът за тяхната потенциална биологична безопасност и оценка на нивата на специфичн</w:t>
      </w:r>
      <w:r w:rsidR="003736F8">
        <w:rPr>
          <w:szCs w:val="28"/>
        </w:rPr>
        <w:t xml:space="preserve">ият коефициент на поглъщане </w:t>
      </w:r>
      <w:r w:rsidRPr="00476293">
        <w:rPr>
          <w:szCs w:val="28"/>
        </w:rPr>
        <w:t>(SAR) остава обект на интензивен научен и обществен интерес. Спазването на международно установените стандарти за безопасност (напр. ICNIRP, IEEE) изисква непрекъснат мониторинг и анализ на излъчваните полета при различни работни режими на устройствата</w:t>
      </w:r>
      <w:r w:rsidR="00C27FF9" w:rsidRPr="0089784C">
        <w:rPr>
          <w:szCs w:val="28"/>
          <w:lang w:val="en-US"/>
        </w:rPr>
        <w:t>[1</w:t>
      </w:r>
      <w:r w:rsidR="00C27FF9">
        <w:rPr>
          <w:szCs w:val="28"/>
        </w:rPr>
        <w:t>,2</w:t>
      </w:r>
      <w:r w:rsidR="00C27FF9" w:rsidRPr="0089784C">
        <w:rPr>
          <w:szCs w:val="28"/>
          <w:lang w:val="en-US"/>
        </w:rPr>
        <w:t>]</w:t>
      </w:r>
      <w:r w:rsidRPr="00476293">
        <w:rPr>
          <w:szCs w:val="28"/>
        </w:rPr>
        <w:t>.</w:t>
      </w:r>
    </w:p>
    <w:p w14:paraId="0E760927" w14:textId="77777777" w:rsidR="00842C7F" w:rsidRDefault="00842C7F" w:rsidP="00D52995">
      <w:pPr>
        <w:ind w:firstLine="567"/>
        <w:jc w:val="both"/>
        <w:rPr>
          <w:szCs w:val="28"/>
        </w:rPr>
      </w:pPr>
    </w:p>
    <w:p w14:paraId="4E83FC64" w14:textId="77777777" w:rsidR="002459E0" w:rsidRDefault="002459E0" w:rsidP="00D52995">
      <w:pPr>
        <w:ind w:firstLine="567"/>
        <w:jc w:val="both"/>
        <w:rPr>
          <w:szCs w:val="28"/>
        </w:rPr>
      </w:pPr>
    </w:p>
    <w:p w14:paraId="32F6C265" w14:textId="77777777" w:rsidR="002459E0" w:rsidRDefault="002459E0" w:rsidP="00D52995">
      <w:pPr>
        <w:ind w:firstLine="567"/>
        <w:jc w:val="both"/>
        <w:rPr>
          <w:szCs w:val="28"/>
        </w:rPr>
      </w:pPr>
    </w:p>
    <w:p w14:paraId="0EBE6AAD" w14:textId="5210A498" w:rsidR="00476293" w:rsidRDefault="00476293" w:rsidP="00D52995">
      <w:pPr>
        <w:ind w:firstLine="567"/>
        <w:jc w:val="both"/>
        <w:rPr>
          <w:szCs w:val="28"/>
        </w:rPr>
      </w:pPr>
      <w:r>
        <w:rPr>
          <w:b/>
          <w:bCs/>
          <w:szCs w:val="28"/>
        </w:rPr>
        <w:lastRenderedPageBreak/>
        <w:t xml:space="preserve">        </w:t>
      </w:r>
      <w:r w:rsidRPr="00476293">
        <w:rPr>
          <w:b/>
          <w:bCs/>
          <w:szCs w:val="28"/>
        </w:rPr>
        <w:t>Цел</w:t>
      </w:r>
      <w:r>
        <w:rPr>
          <w:b/>
          <w:bCs/>
          <w:szCs w:val="28"/>
        </w:rPr>
        <w:t>та</w:t>
      </w:r>
      <w:r w:rsidRPr="00476293">
        <w:rPr>
          <w:b/>
          <w:bCs/>
          <w:szCs w:val="28"/>
        </w:rPr>
        <w:t xml:space="preserve"> на изследването</w:t>
      </w:r>
      <w:r>
        <w:rPr>
          <w:b/>
          <w:bCs/>
          <w:szCs w:val="28"/>
        </w:rPr>
        <w:t xml:space="preserve"> </w:t>
      </w:r>
      <w:r>
        <w:rPr>
          <w:szCs w:val="28"/>
        </w:rPr>
        <w:t xml:space="preserve">на </w:t>
      </w:r>
      <w:r w:rsidRPr="00476293">
        <w:rPr>
          <w:szCs w:val="28"/>
        </w:rPr>
        <w:t>настоящото е да се извършат</w:t>
      </w:r>
      <w:r>
        <w:rPr>
          <w:szCs w:val="28"/>
        </w:rPr>
        <w:t xml:space="preserve"> </w:t>
      </w:r>
      <w:r w:rsidRPr="00476293">
        <w:rPr>
          <w:szCs w:val="28"/>
        </w:rPr>
        <w:t xml:space="preserve">експериментални измервания и последващ детайлен анализ на </w:t>
      </w:r>
      <w:r>
        <w:rPr>
          <w:szCs w:val="28"/>
        </w:rPr>
        <w:t xml:space="preserve">   </w:t>
      </w:r>
      <w:r w:rsidRPr="00476293">
        <w:rPr>
          <w:szCs w:val="28"/>
        </w:rPr>
        <w:t>електромагнитните излъчвания от съвременни мобилни телефони при различни режими на работа (в режим на изчакване, провеждане на разговор и интензивен трансфер на данни), за да се установи тяхното съответствие с действащите норми за безопасност.</w:t>
      </w:r>
    </w:p>
    <w:p w14:paraId="53EBDF0E" w14:textId="77777777" w:rsidR="00476293" w:rsidRDefault="00476293" w:rsidP="00D52995">
      <w:pPr>
        <w:ind w:firstLine="567"/>
        <w:jc w:val="both"/>
        <w:rPr>
          <w:szCs w:val="28"/>
        </w:rPr>
      </w:pPr>
    </w:p>
    <w:p w14:paraId="72AC9E2C" w14:textId="77777777" w:rsidR="007B3CB6" w:rsidRPr="007B3CB6" w:rsidRDefault="007B3CB6" w:rsidP="00D52995">
      <w:pPr>
        <w:spacing w:after="100" w:afterAutospacing="1"/>
        <w:ind w:firstLine="567"/>
        <w:jc w:val="both"/>
        <w:outlineLvl w:val="1"/>
        <w:rPr>
          <w:b/>
          <w:bCs/>
          <w:szCs w:val="28"/>
        </w:rPr>
      </w:pPr>
      <w:r w:rsidRPr="007B3CB6">
        <w:rPr>
          <w:b/>
          <w:bCs/>
          <w:szCs w:val="28"/>
        </w:rPr>
        <w:t>Теоретична обосновка</w:t>
      </w:r>
    </w:p>
    <w:p w14:paraId="633CFCE9" w14:textId="77777777" w:rsidR="007B3CB6" w:rsidRPr="007B3CB6" w:rsidRDefault="007B3CB6" w:rsidP="00D52995">
      <w:pPr>
        <w:spacing w:after="100" w:afterAutospacing="1"/>
        <w:ind w:firstLine="567"/>
        <w:jc w:val="both"/>
        <w:rPr>
          <w:szCs w:val="28"/>
        </w:rPr>
      </w:pPr>
      <w:r w:rsidRPr="007B3CB6">
        <w:rPr>
          <w:szCs w:val="28"/>
        </w:rPr>
        <w:t>Разпространението и въздействието на електромагнитните излъчвания (ЕМИ) в радиочестотния диапазон (RF), генерирани от мобилни устройства (GSM, 4G, 5G, Wi-Fi), се подчиняват на фундаменталните уравнения на Максуел и законите на електродинамиката.</w:t>
      </w:r>
    </w:p>
    <w:p w14:paraId="35BF6B75" w14:textId="7CCF57D8" w:rsidR="007B3CB6" w:rsidRPr="007B3CB6" w:rsidRDefault="007B3CB6" w:rsidP="00D52995">
      <w:pPr>
        <w:spacing w:after="100" w:afterAutospacing="1"/>
        <w:ind w:firstLine="567"/>
        <w:jc w:val="both"/>
        <w:outlineLvl w:val="2"/>
        <w:rPr>
          <w:b/>
          <w:bCs/>
          <w:szCs w:val="28"/>
        </w:rPr>
      </w:pPr>
      <w:r w:rsidRPr="007B3CB6">
        <w:rPr>
          <w:b/>
          <w:bCs/>
          <w:szCs w:val="28"/>
        </w:rPr>
        <w:t>1.</w:t>
      </w:r>
      <w:r w:rsidR="003736F8">
        <w:rPr>
          <w:b/>
          <w:bCs/>
          <w:szCs w:val="28"/>
        </w:rPr>
        <w:t>1</w:t>
      </w:r>
      <w:r w:rsidRPr="007B3CB6">
        <w:rPr>
          <w:b/>
          <w:bCs/>
          <w:szCs w:val="28"/>
        </w:rPr>
        <w:t xml:space="preserve"> Плътност на мощността и интензитет на полето</w:t>
      </w:r>
    </w:p>
    <w:p w14:paraId="0B8A482A" w14:textId="77777777" w:rsidR="007B3CB6" w:rsidRPr="007B3CB6" w:rsidRDefault="007B3CB6" w:rsidP="00D52995">
      <w:pPr>
        <w:spacing w:after="100" w:afterAutospacing="1"/>
        <w:ind w:firstLine="567"/>
        <w:jc w:val="both"/>
        <w:rPr>
          <w:szCs w:val="28"/>
        </w:rPr>
      </w:pPr>
      <w:r w:rsidRPr="007B3CB6">
        <w:rPr>
          <w:szCs w:val="28"/>
        </w:rPr>
        <w:t xml:space="preserve">В близката и далечната зона на излъчване основен параметър за оценка на електромагнитното поле е векторът на Пойнтинг </w:t>
      </w:r>
      <m:oMath>
        <m:acc>
          <m:accPr>
            <m:chr m:val="⃗"/>
            <m:ctrlPr>
              <w:rPr>
                <w:rFonts w:ascii="Cambria Math" w:hAnsi="Cambria Math"/>
                <w:szCs w:val="28"/>
              </w:rPr>
            </m:ctrlPr>
          </m:accPr>
          <m:e>
            <m:r>
              <w:rPr>
                <w:rFonts w:ascii="Cambria Math" w:hAnsi="Cambria Math"/>
                <w:szCs w:val="28"/>
              </w:rPr>
              <m:t>S</m:t>
            </m:r>
          </m:e>
        </m:acc>
      </m:oMath>
      <w:r w:rsidRPr="007B3CB6">
        <w:rPr>
          <w:szCs w:val="28"/>
        </w:rPr>
        <w:t xml:space="preserve">, чийто модул определя плътността на мощността </w:t>
      </w:r>
      <m:oMath>
        <m:r>
          <w:rPr>
            <w:rFonts w:ascii="Cambria Math" w:hAnsi="Cambria Math"/>
            <w:szCs w:val="28"/>
          </w:rPr>
          <m:t>S</m:t>
        </m:r>
      </m:oMath>
      <w:r w:rsidRPr="007B3CB6">
        <w:rPr>
          <w:szCs w:val="28"/>
        </w:rPr>
        <w:t xml:space="preserve"> (</w:t>
      </w:r>
      <m:oMath>
        <m:sSup>
          <m:sSupPr>
            <m:ctrlPr>
              <w:rPr>
                <w:rFonts w:ascii="Cambria Math" w:hAnsi="Cambria Math"/>
                <w:szCs w:val="28"/>
              </w:rPr>
            </m:ctrlPr>
          </m:sSupPr>
          <m:e>
            <m:r>
              <m:rPr>
                <m:nor/>
              </m:rPr>
              <w:rPr>
                <w:szCs w:val="28"/>
              </w:rPr>
              <m:t>W/m</m:t>
            </m:r>
          </m:e>
          <m:sup>
            <m:r>
              <w:rPr>
                <w:rFonts w:ascii="Cambria Math" w:hAnsi="Cambria Math"/>
                <w:szCs w:val="28"/>
              </w:rPr>
              <m:t>2</m:t>
            </m:r>
          </m:sup>
        </m:sSup>
      </m:oMath>
      <w:r w:rsidRPr="007B3CB6">
        <w:rPr>
          <w:szCs w:val="28"/>
        </w:rPr>
        <w:t>):</w:t>
      </w:r>
    </w:p>
    <w:p w14:paraId="52FF32DF" w14:textId="77777777" w:rsidR="007B3CB6" w:rsidRPr="007B3CB6" w:rsidRDefault="007B3CB6" w:rsidP="00D52995">
      <w:pPr>
        <w:ind w:firstLine="567"/>
        <w:jc w:val="both"/>
        <w:rPr>
          <w:szCs w:val="28"/>
        </w:rPr>
      </w:pPr>
      <m:oMathPara>
        <m:oMath>
          <m:r>
            <w:rPr>
              <w:rFonts w:ascii="Cambria Math" w:hAnsi="Cambria Math"/>
              <w:szCs w:val="28"/>
            </w:rPr>
            <m:t>S=E⋅H=</m:t>
          </m:r>
          <m:f>
            <m:fPr>
              <m:ctrlPr>
                <w:rPr>
                  <w:rFonts w:ascii="Cambria Math" w:hAnsi="Cambria Math"/>
                  <w:szCs w:val="28"/>
                </w:rPr>
              </m:ctrlPr>
            </m:fPr>
            <m:num>
              <m:sSup>
                <m:sSupPr>
                  <m:ctrlPr>
                    <w:rPr>
                      <w:rFonts w:ascii="Cambria Math" w:hAnsi="Cambria Math"/>
                      <w:szCs w:val="28"/>
                    </w:rPr>
                  </m:ctrlPr>
                </m:sSupPr>
                <m:e>
                  <m:r>
                    <w:rPr>
                      <w:rFonts w:ascii="Cambria Math" w:hAnsi="Cambria Math"/>
                      <w:szCs w:val="28"/>
                    </w:rPr>
                    <m:t>E</m:t>
                  </m:r>
                </m:e>
                <m:sup>
                  <m:r>
                    <w:rPr>
                      <w:rFonts w:ascii="Cambria Math" w:hAnsi="Cambria Math"/>
                      <w:szCs w:val="28"/>
                    </w:rPr>
                    <m:t>2</m:t>
                  </m:r>
                </m:sup>
              </m:sSup>
            </m:num>
            <m:den>
              <m:r>
                <w:rPr>
                  <w:rFonts w:ascii="Cambria Math" w:hAnsi="Cambria Math"/>
                  <w:szCs w:val="28"/>
                </w:rPr>
                <m:t>η</m:t>
              </m:r>
            </m:den>
          </m:f>
        </m:oMath>
      </m:oMathPara>
    </w:p>
    <w:p w14:paraId="234F7705" w14:textId="77777777" w:rsidR="007B3CB6" w:rsidRPr="007B3CB6" w:rsidRDefault="007B3CB6" w:rsidP="00D52995">
      <w:pPr>
        <w:spacing w:after="100" w:afterAutospacing="1"/>
        <w:ind w:firstLine="567"/>
        <w:jc w:val="both"/>
        <w:rPr>
          <w:szCs w:val="28"/>
        </w:rPr>
      </w:pPr>
      <w:r w:rsidRPr="007B3CB6">
        <w:rPr>
          <w:szCs w:val="28"/>
        </w:rPr>
        <w:t>Където:</w:t>
      </w:r>
    </w:p>
    <w:p w14:paraId="3A95C4C5" w14:textId="77777777" w:rsidR="007B3CB6" w:rsidRPr="007B3CB6" w:rsidRDefault="007B3CB6" w:rsidP="00D52995">
      <w:pPr>
        <w:numPr>
          <w:ilvl w:val="0"/>
          <w:numId w:val="2"/>
        </w:numPr>
        <w:spacing w:after="100" w:afterAutospacing="1"/>
        <w:ind w:firstLine="567"/>
        <w:jc w:val="both"/>
        <w:rPr>
          <w:szCs w:val="28"/>
        </w:rPr>
      </w:pPr>
      <m:oMath>
        <m:r>
          <w:rPr>
            <w:rFonts w:ascii="Cambria Math" w:hAnsi="Cambria Math"/>
            <w:szCs w:val="28"/>
          </w:rPr>
          <m:t>E</m:t>
        </m:r>
      </m:oMath>
      <w:r w:rsidRPr="007B3CB6">
        <w:rPr>
          <w:szCs w:val="28"/>
        </w:rPr>
        <w:t xml:space="preserve"> е интензитетът на електрическото поле (</w:t>
      </w:r>
      <m:oMath>
        <m:r>
          <m:rPr>
            <m:nor/>
          </m:rPr>
          <w:rPr>
            <w:szCs w:val="28"/>
          </w:rPr>
          <m:t>V/m</m:t>
        </m:r>
      </m:oMath>
      <w:r w:rsidRPr="007B3CB6">
        <w:rPr>
          <w:szCs w:val="28"/>
        </w:rPr>
        <w:t>);</w:t>
      </w:r>
    </w:p>
    <w:p w14:paraId="1EAA9E1F" w14:textId="77777777" w:rsidR="007B3CB6" w:rsidRPr="007B3CB6" w:rsidRDefault="007B3CB6" w:rsidP="00D52995">
      <w:pPr>
        <w:numPr>
          <w:ilvl w:val="0"/>
          <w:numId w:val="2"/>
        </w:numPr>
        <w:spacing w:after="100" w:afterAutospacing="1"/>
        <w:ind w:firstLine="567"/>
        <w:jc w:val="both"/>
        <w:rPr>
          <w:szCs w:val="28"/>
        </w:rPr>
      </w:pPr>
      <m:oMath>
        <m:r>
          <w:rPr>
            <w:rFonts w:ascii="Cambria Math" w:hAnsi="Cambria Math"/>
            <w:szCs w:val="28"/>
          </w:rPr>
          <m:t>H</m:t>
        </m:r>
      </m:oMath>
      <w:r w:rsidRPr="007B3CB6">
        <w:rPr>
          <w:szCs w:val="28"/>
        </w:rPr>
        <w:t xml:space="preserve"> е интензитетът на магнитното поле (</w:t>
      </w:r>
      <m:oMath>
        <m:r>
          <m:rPr>
            <m:nor/>
          </m:rPr>
          <w:rPr>
            <w:szCs w:val="28"/>
          </w:rPr>
          <m:t>A/m</m:t>
        </m:r>
      </m:oMath>
      <w:r w:rsidRPr="007B3CB6">
        <w:rPr>
          <w:szCs w:val="28"/>
        </w:rPr>
        <w:t>);</w:t>
      </w:r>
    </w:p>
    <w:p w14:paraId="1280DBF6" w14:textId="77777777" w:rsidR="007B3CB6" w:rsidRPr="007B3CB6" w:rsidRDefault="007B3CB6" w:rsidP="00D52995">
      <w:pPr>
        <w:numPr>
          <w:ilvl w:val="0"/>
          <w:numId w:val="2"/>
        </w:numPr>
        <w:spacing w:after="100" w:afterAutospacing="1"/>
        <w:ind w:firstLine="567"/>
        <w:jc w:val="both"/>
        <w:rPr>
          <w:szCs w:val="28"/>
        </w:rPr>
      </w:pPr>
      <m:oMath>
        <m:r>
          <w:rPr>
            <w:rFonts w:ascii="Cambria Math" w:hAnsi="Cambria Math"/>
            <w:szCs w:val="28"/>
          </w:rPr>
          <m:t>η≈377 </m:t>
        </m:r>
        <m:r>
          <m:rPr>
            <m:sty m:val="p"/>
          </m:rPr>
          <w:rPr>
            <w:rFonts w:ascii="Cambria Math" w:hAnsi="Cambria Math"/>
            <w:szCs w:val="28"/>
          </w:rPr>
          <m:t>Ω</m:t>
        </m:r>
      </m:oMath>
      <w:r w:rsidRPr="007B3CB6">
        <w:rPr>
          <w:szCs w:val="28"/>
        </w:rPr>
        <w:t xml:space="preserve"> е вълновото съпротивление на свободното пространство (</w:t>
      </w:r>
      <m:oMath>
        <m:r>
          <w:rPr>
            <w:rFonts w:ascii="Cambria Math" w:hAnsi="Cambria Math"/>
            <w:szCs w:val="28"/>
          </w:rPr>
          <m:t>η=</m:t>
        </m:r>
        <m:rad>
          <m:radPr>
            <m:degHide m:val="1"/>
            <m:ctrlPr>
              <w:rPr>
                <w:rFonts w:ascii="Cambria Math" w:hAnsi="Cambria Math"/>
                <w:szCs w:val="28"/>
              </w:rPr>
            </m:ctrlPr>
          </m:radPr>
          <m:deg/>
          <m:e>
            <m:sSub>
              <m:sSubPr>
                <m:ctrlPr>
                  <w:rPr>
                    <w:rFonts w:ascii="Cambria Math" w:hAnsi="Cambria Math"/>
                    <w:szCs w:val="28"/>
                  </w:rPr>
                </m:ctrlPr>
              </m:sSubPr>
              <m:e>
                <m:r>
                  <w:rPr>
                    <w:rFonts w:ascii="Cambria Math" w:hAnsi="Cambria Math"/>
                    <w:szCs w:val="28"/>
                  </w:rPr>
                  <m:t>μ</m:t>
                </m:r>
              </m:e>
              <m:sub>
                <m:r>
                  <w:rPr>
                    <w:rFonts w:ascii="Cambria Math" w:hAnsi="Cambria Math"/>
                    <w:szCs w:val="28"/>
                  </w:rPr>
                  <m:t>0</m:t>
                </m:r>
              </m:sub>
            </m:sSub>
            <m:r>
              <w:rPr>
                <w:rFonts w:ascii="Cambria Math" w:hAnsi="Cambria Math"/>
                <w:szCs w:val="28"/>
              </w:rPr>
              <m:t>/</m:t>
            </m:r>
            <m:sSub>
              <m:sSubPr>
                <m:ctrlPr>
                  <w:rPr>
                    <w:rFonts w:ascii="Cambria Math" w:hAnsi="Cambria Math"/>
                    <w:szCs w:val="28"/>
                  </w:rPr>
                </m:ctrlPr>
              </m:sSubPr>
              <m:e>
                <m:r>
                  <w:rPr>
                    <w:rFonts w:ascii="Cambria Math" w:hAnsi="Cambria Math"/>
                    <w:szCs w:val="28"/>
                  </w:rPr>
                  <m:t>ε</m:t>
                </m:r>
              </m:e>
              <m:sub>
                <m:r>
                  <w:rPr>
                    <w:rFonts w:ascii="Cambria Math" w:hAnsi="Cambria Math"/>
                    <w:szCs w:val="28"/>
                  </w:rPr>
                  <m:t>0</m:t>
                </m:r>
              </m:sub>
            </m:sSub>
          </m:e>
        </m:rad>
      </m:oMath>
      <w:r w:rsidRPr="007B3CB6">
        <w:rPr>
          <w:szCs w:val="28"/>
        </w:rPr>
        <w:t>).</w:t>
      </w:r>
    </w:p>
    <w:p w14:paraId="748337E4" w14:textId="77777777" w:rsidR="007B3CB6" w:rsidRPr="007B3CB6" w:rsidRDefault="007B3CB6" w:rsidP="00D52995">
      <w:pPr>
        <w:spacing w:after="100" w:afterAutospacing="1"/>
        <w:ind w:firstLine="567"/>
        <w:jc w:val="both"/>
        <w:rPr>
          <w:szCs w:val="28"/>
        </w:rPr>
      </w:pPr>
      <w:r w:rsidRPr="007B3CB6">
        <w:rPr>
          <w:szCs w:val="28"/>
        </w:rPr>
        <w:t xml:space="preserve">При свободни пространства плътността на мощността намалява пропорционално на квадрата на разстоянието </w:t>
      </w:r>
      <m:oMath>
        <m:r>
          <w:rPr>
            <w:rFonts w:ascii="Cambria Math" w:hAnsi="Cambria Math"/>
            <w:szCs w:val="28"/>
          </w:rPr>
          <m:t>r</m:t>
        </m:r>
      </m:oMath>
      <w:r w:rsidRPr="007B3CB6">
        <w:rPr>
          <w:szCs w:val="28"/>
        </w:rPr>
        <w:t xml:space="preserve"> от източника (антената):</w:t>
      </w:r>
    </w:p>
    <w:p w14:paraId="690429A0" w14:textId="77777777" w:rsidR="007B3CB6" w:rsidRPr="005D7184" w:rsidRDefault="007B3CB6" w:rsidP="00D52995">
      <w:pPr>
        <w:ind w:firstLine="567"/>
        <w:jc w:val="both"/>
        <w:rPr>
          <w:szCs w:val="28"/>
        </w:rPr>
      </w:pPr>
      <m:oMathPara>
        <m:oMath>
          <m:r>
            <w:rPr>
              <w:rFonts w:ascii="Cambria Math" w:hAnsi="Cambria Math"/>
              <w:szCs w:val="28"/>
            </w:rPr>
            <m:t>S=</m:t>
          </m:r>
          <m:f>
            <m:fPr>
              <m:ctrlPr>
                <w:rPr>
                  <w:rFonts w:ascii="Cambria Math" w:hAnsi="Cambria Math"/>
                  <w:szCs w:val="28"/>
                </w:rPr>
              </m:ctrlPr>
            </m:fPr>
            <m:num>
              <m:sSub>
                <m:sSubPr>
                  <m:ctrlPr>
                    <w:rPr>
                      <w:rFonts w:ascii="Cambria Math" w:hAnsi="Cambria Math"/>
                      <w:szCs w:val="28"/>
                    </w:rPr>
                  </m:ctrlPr>
                </m:sSubPr>
                <m:e>
                  <m:r>
                    <w:rPr>
                      <w:rFonts w:ascii="Cambria Math" w:hAnsi="Cambria Math"/>
                      <w:szCs w:val="28"/>
                    </w:rPr>
                    <m:t>P</m:t>
                  </m:r>
                </m:e>
                <m:sub>
                  <m:r>
                    <w:rPr>
                      <w:rFonts w:ascii="Cambria Math" w:hAnsi="Cambria Math"/>
                      <w:szCs w:val="28"/>
                    </w:rPr>
                    <m:t>t</m:t>
                  </m:r>
                </m:sub>
              </m:sSub>
              <m:r>
                <w:rPr>
                  <w:rFonts w:ascii="Cambria Math" w:hAnsi="Cambria Math"/>
                  <w:szCs w:val="28"/>
                </w:rPr>
                <m:t>⋅G</m:t>
              </m:r>
            </m:num>
            <m:den>
              <m:r>
                <w:rPr>
                  <w:rFonts w:ascii="Cambria Math" w:hAnsi="Cambria Math"/>
                  <w:szCs w:val="28"/>
                </w:rPr>
                <m:t>4π</m:t>
              </m:r>
              <m:sSup>
                <m:sSupPr>
                  <m:ctrlPr>
                    <w:rPr>
                      <w:rFonts w:ascii="Cambria Math" w:hAnsi="Cambria Math"/>
                      <w:szCs w:val="28"/>
                    </w:rPr>
                  </m:ctrlPr>
                </m:sSupPr>
                <m:e>
                  <m:r>
                    <w:rPr>
                      <w:rFonts w:ascii="Cambria Math" w:hAnsi="Cambria Math"/>
                      <w:szCs w:val="28"/>
                    </w:rPr>
                    <m:t>r</m:t>
                  </m:r>
                </m:e>
                <m:sup>
                  <m:r>
                    <w:rPr>
                      <w:rFonts w:ascii="Cambria Math" w:hAnsi="Cambria Math"/>
                      <w:szCs w:val="28"/>
                    </w:rPr>
                    <m:t>2</m:t>
                  </m:r>
                </m:sup>
              </m:sSup>
            </m:den>
          </m:f>
        </m:oMath>
      </m:oMathPara>
    </w:p>
    <w:p w14:paraId="7B84E942" w14:textId="77777777" w:rsidR="005D7184" w:rsidRPr="007B3CB6" w:rsidRDefault="005D7184" w:rsidP="00D52995">
      <w:pPr>
        <w:ind w:firstLine="567"/>
        <w:jc w:val="both"/>
        <w:rPr>
          <w:szCs w:val="28"/>
        </w:rPr>
      </w:pPr>
    </w:p>
    <w:p w14:paraId="5FBDCC72" w14:textId="77777777" w:rsidR="007B3CB6" w:rsidRPr="007B3CB6" w:rsidRDefault="007B3CB6" w:rsidP="00D52995">
      <w:pPr>
        <w:spacing w:after="100" w:afterAutospacing="1"/>
        <w:ind w:firstLine="567"/>
        <w:jc w:val="both"/>
        <w:rPr>
          <w:szCs w:val="28"/>
        </w:rPr>
      </w:pPr>
      <w:r w:rsidRPr="007B3CB6">
        <w:rPr>
          <w:szCs w:val="28"/>
        </w:rPr>
        <w:t xml:space="preserve">Където </w:t>
      </w:r>
      <m:oMath>
        <m:sSub>
          <m:sSubPr>
            <m:ctrlPr>
              <w:rPr>
                <w:rFonts w:ascii="Cambria Math" w:hAnsi="Cambria Math"/>
                <w:szCs w:val="28"/>
              </w:rPr>
            </m:ctrlPr>
          </m:sSubPr>
          <m:e>
            <m:r>
              <w:rPr>
                <w:rFonts w:ascii="Cambria Math" w:hAnsi="Cambria Math"/>
                <w:szCs w:val="28"/>
              </w:rPr>
              <m:t>P</m:t>
            </m:r>
          </m:e>
          <m:sub>
            <m:r>
              <w:rPr>
                <w:rFonts w:ascii="Cambria Math" w:hAnsi="Cambria Math"/>
                <w:szCs w:val="28"/>
              </w:rPr>
              <m:t>t</m:t>
            </m:r>
          </m:sub>
        </m:sSub>
      </m:oMath>
      <w:r w:rsidRPr="007B3CB6">
        <w:rPr>
          <w:szCs w:val="28"/>
        </w:rPr>
        <w:t xml:space="preserve"> е излъчваната мощност от предавателя, а </w:t>
      </w:r>
      <m:oMath>
        <m:r>
          <w:rPr>
            <w:rFonts w:ascii="Cambria Math" w:hAnsi="Cambria Math"/>
            <w:szCs w:val="28"/>
          </w:rPr>
          <m:t>G</m:t>
        </m:r>
      </m:oMath>
      <w:r w:rsidRPr="007B3CB6">
        <w:rPr>
          <w:szCs w:val="28"/>
        </w:rPr>
        <w:t xml:space="preserve"> е коефициентът на усилване на антената.</w:t>
      </w:r>
    </w:p>
    <w:p w14:paraId="0F590BC8" w14:textId="31D86A71" w:rsidR="007B3CB6" w:rsidRPr="007B3CB6" w:rsidRDefault="003736F8" w:rsidP="00D52995">
      <w:pPr>
        <w:spacing w:after="100" w:afterAutospacing="1"/>
        <w:ind w:firstLine="567"/>
        <w:jc w:val="both"/>
        <w:outlineLvl w:val="2"/>
        <w:rPr>
          <w:b/>
          <w:bCs/>
          <w:szCs w:val="28"/>
        </w:rPr>
      </w:pPr>
      <w:r>
        <w:rPr>
          <w:b/>
          <w:bCs/>
          <w:szCs w:val="28"/>
        </w:rPr>
        <w:t>1.</w:t>
      </w:r>
      <w:r w:rsidR="007B3CB6" w:rsidRPr="007B3CB6">
        <w:rPr>
          <w:b/>
          <w:bCs/>
          <w:szCs w:val="28"/>
        </w:rPr>
        <w:t>2. Специфич</w:t>
      </w:r>
      <w:r w:rsidR="007B3CB6">
        <w:rPr>
          <w:b/>
          <w:bCs/>
          <w:szCs w:val="28"/>
          <w:lang w:val="en-US"/>
        </w:rPr>
        <w:t>e</w:t>
      </w:r>
      <w:r w:rsidR="007B3CB6">
        <w:rPr>
          <w:b/>
          <w:bCs/>
          <w:szCs w:val="28"/>
        </w:rPr>
        <w:t>н коефициент на поглъщане</w:t>
      </w:r>
      <w:r w:rsidR="007B3CB6" w:rsidRPr="007B3CB6">
        <w:rPr>
          <w:b/>
          <w:bCs/>
          <w:szCs w:val="28"/>
        </w:rPr>
        <w:t xml:space="preserve"> (SAR)</w:t>
      </w:r>
    </w:p>
    <w:p w14:paraId="6625AD61" w14:textId="381A2D5C" w:rsidR="007B3CB6" w:rsidRPr="007B3CB6" w:rsidRDefault="007B3CB6" w:rsidP="00D52995">
      <w:pPr>
        <w:spacing w:after="100" w:afterAutospacing="1"/>
        <w:ind w:firstLine="567"/>
        <w:jc w:val="both"/>
        <w:rPr>
          <w:szCs w:val="28"/>
        </w:rPr>
      </w:pPr>
      <w:r w:rsidRPr="007B3CB6">
        <w:rPr>
          <w:szCs w:val="28"/>
        </w:rPr>
        <w:t xml:space="preserve">Тъй като мобилните телефони функционират в непосредствена близост до човешкото тяло (в т.нар. </w:t>
      </w:r>
      <w:r w:rsidRPr="007B3CB6">
        <w:rPr>
          <w:i/>
          <w:iCs/>
          <w:szCs w:val="28"/>
        </w:rPr>
        <w:t>близка зона</w:t>
      </w:r>
      <w:r w:rsidRPr="007B3CB6">
        <w:rPr>
          <w:szCs w:val="28"/>
        </w:rPr>
        <w:t xml:space="preserve"> / </w:t>
      </w:r>
      <w:r w:rsidRPr="007B3CB6">
        <w:rPr>
          <w:i/>
          <w:iCs/>
          <w:szCs w:val="28"/>
        </w:rPr>
        <w:t>near-field</w:t>
      </w:r>
      <w:r w:rsidRPr="007B3CB6">
        <w:rPr>
          <w:szCs w:val="28"/>
        </w:rPr>
        <w:t xml:space="preserve">), определящ параметър за биологичната безопасност е </w:t>
      </w:r>
      <w:r w:rsidRPr="007B3CB6">
        <w:rPr>
          <w:b/>
          <w:bCs/>
          <w:szCs w:val="28"/>
        </w:rPr>
        <w:t>SAR</w:t>
      </w:r>
      <w:r w:rsidRPr="007B3CB6">
        <w:rPr>
          <w:szCs w:val="28"/>
        </w:rPr>
        <w:t xml:space="preserve"> (</w:t>
      </w:r>
      <w:r w:rsidRPr="007B3CB6">
        <w:rPr>
          <w:i/>
          <w:iCs/>
          <w:szCs w:val="28"/>
        </w:rPr>
        <w:t>Specific Absorption Rate</w:t>
      </w:r>
      <w:r w:rsidRPr="007B3CB6">
        <w:rPr>
          <w:szCs w:val="28"/>
        </w:rPr>
        <w:t>). Той измерва количеството електромагнитна енергия, абсорбирана от единица маса биологична тъкан за единица време (</w:t>
      </w:r>
      <m:oMath>
        <m:r>
          <m:rPr>
            <m:nor/>
          </m:rPr>
          <w:rPr>
            <w:szCs w:val="28"/>
          </w:rPr>
          <m:t>W/kg</m:t>
        </m:r>
      </m:oMath>
      <w:r w:rsidRPr="007B3CB6">
        <w:rPr>
          <w:szCs w:val="28"/>
        </w:rPr>
        <w:t>)</w:t>
      </w:r>
      <w:r w:rsidR="00C27FF9" w:rsidRPr="00C27FF9">
        <w:rPr>
          <w:szCs w:val="28"/>
          <w:lang w:val="en-US"/>
        </w:rPr>
        <w:t xml:space="preserve"> </w:t>
      </w:r>
      <w:r w:rsidR="00C27FF9" w:rsidRPr="0089784C">
        <w:rPr>
          <w:szCs w:val="28"/>
          <w:lang w:val="en-US"/>
        </w:rPr>
        <w:t>[</w:t>
      </w:r>
      <w:r w:rsidR="00C27FF9" w:rsidRPr="0089784C">
        <w:rPr>
          <w:szCs w:val="28"/>
        </w:rPr>
        <w:t>4</w:t>
      </w:r>
      <w:r w:rsidR="00C27FF9" w:rsidRPr="0089784C">
        <w:rPr>
          <w:szCs w:val="28"/>
          <w:lang w:val="en-US"/>
        </w:rPr>
        <w:t>]</w:t>
      </w:r>
      <w:r w:rsidRPr="007B3CB6">
        <w:rPr>
          <w:szCs w:val="28"/>
        </w:rPr>
        <w:t>:</w:t>
      </w:r>
    </w:p>
    <w:p w14:paraId="4E794525" w14:textId="77777777" w:rsidR="007B3CB6" w:rsidRPr="007B3CB6" w:rsidRDefault="007B3CB6" w:rsidP="00D52995">
      <w:pPr>
        <w:ind w:firstLine="567"/>
        <w:jc w:val="both"/>
        <w:rPr>
          <w:szCs w:val="28"/>
          <w:lang w:val="en-US"/>
        </w:rPr>
      </w:pPr>
      <m:oMathPara>
        <m:oMath>
          <m:r>
            <m:rPr>
              <m:nor/>
            </m:rPr>
            <w:rPr>
              <w:szCs w:val="28"/>
            </w:rPr>
            <w:lastRenderedPageBreak/>
            <m:t>SAR</m:t>
          </m:r>
          <m:r>
            <w:rPr>
              <w:rFonts w:ascii="Cambria Math" w:hAnsi="Cambria Math"/>
              <w:szCs w:val="28"/>
            </w:rPr>
            <m:t>=</m:t>
          </m:r>
          <m:f>
            <m:fPr>
              <m:ctrlPr>
                <w:rPr>
                  <w:rFonts w:ascii="Cambria Math" w:hAnsi="Cambria Math"/>
                  <w:szCs w:val="28"/>
                </w:rPr>
              </m:ctrlPr>
            </m:fPr>
            <m:num>
              <m:r>
                <w:rPr>
                  <w:rFonts w:ascii="Cambria Math" w:hAnsi="Cambria Math"/>
                  <w:szCs w:val="28"/>
                </w:rPr>
                <m:t>σ⋅</m:t>
              </m:r>
              <m:sSubSup>
                <m:sSubSupPr>
                  <m:ctrlPr>
                    <w:rPr>
                      <w:rFonts w:ascii="Cambria Math" w:hAnsi="Cambria Math"/>
                      <w:szCs w:val="28"/>
                    </w:rPr>
                  </m:ctrlPr>
                </m:sSubSupPr>
                <m:e>
                  <m:r>
                    <w:rPr>
                      <w:rFonts w:ascii="Cambria Math" w:hAnsi="Cambria Math"/>
                      <w:szCs w:val="28"/>
                    </w:rPr>
                    <m:t>E</m:t>
                  </m:r>
                </m:e>
                <m:sub>
                  <m:r>
                    <w:rPr>
                      <w:rFonts w:ascii="Cambria Math" w:hAnsi="Cambria Math"/>
                      <w:szCs w:val="28"/>
                    </w:rPr>
                    <m:t>i</m:t>
                  </m:r>
                </m:sub>
                <m:sup>
                  <m:r>
                    <w:rPr>
                      <w:rFonts w:ascii="Cambria Math" w:hAnsi="Cambria Math"/>
                      <w:szCs w:val="28"/>
                    </w:rPr>
                    <m:t>2</m:t>
                  </m:r>
                </m:sup>
              </m:sSubSup>
            </m:num>
            <m:den>
              <m:r>
                <w:rPr>
                  <w:rFonts w:ascii="Cambria Math" w:hAnsi="Cambria Math"/>
                  <w:szCs w:val="28"/>
                </w:rPr>
                <m:t>ρ</m:t>
              </m:r>
            </m:den>
          </m:f>
        </m:oMath>
      </m:oMathPara>
    </w:p>
    <w:p w14:paraId="3B4D20F2" w14:textId="77777777" w:rsidR="007B3CB6" w:rsidRPr="007B3CB6" w:rsidRDefault="007B3CB6" w:rsidP="00D52995">
      <w:pPr>
        <w:ind w:firstLine="567"/>
        <w:jc w:val="both"/>
        <w:rPr>
          <w:szCs w:val="28"/>
          <w:lang w:val="en-US"/>
        </w:rPr>
      </w:pPr>
    </w:p>
    <w:p w14:paraId="1D5E6D4B" w14:textId="77777777" w:rsidR="007B3CB6" w:rsidRPr="007B3CB6" w:rsidRDefault="007B3CB6" w:rsidP="00D52995">
      <w:pPr>
        <w:spacing w:after="100" w:afterAutospacing="1"/>
        <w:ind w:firstLine="567"/>
        <w:jc w:val="both"/>
        <w:rPr>
          <w:szCs w:val="28"/>
        </w:rPr>
      </w:pPr>
      <w:r w:rsidRPr="007B3CB6">
        <w:rPr>
          <w:szCs w:val="28"/>
        </w:rPr>
        <w:t>Където:</w:t>
      </w:r>
    </w:p>
    <w:p w14:paraId="4A938959" w14:textId="77777777" w:rsidR="007B3CB6" w:rsidRPr="007B3CB6" w:rsidRDefault="007B3CB6" w:rsidP="00D52995">
      <w:pPr>
        <w:numPr>
          <w:ilvl w:val="0"/>
          <w:numId w:val="3"/>
        </w:numPr>
        <w:spacing w:after="100" w:afterAutospacing="1"/>
        <w:ind w:firstLine="567"/>
        <w:jc w:val="both"/>
        <w:rPr>
          <w:szCs w:val="28"/>
        </w:rPr>
      </w:pPr>
      <m:oMath>
        <m:r>
          <w:rPr>
            <w:rFonts w:ascii="Cambria Math" w:hAnsi="Cambria Math"/>
            <w:szCs w:val="28"/>
          </w:rPr>
          <m:t>σ</m:t>
        </m:r>
      </m:oMath>
      <w:r w:rsidRPr="007B3CB6">
        <w:rPr>
          <w:szCs w:val="28"/>
        </w:rPr>
        <w:t xml:space="preserve"> е специфичната електрическа проводност на биологичната тъкан (</w:t>
      </w:r>
      <m:oMath>
        <m:r>
          <m:rPr>
            <m:nor/>
          </m:rPr>
          <w:rPr>
            <w:szCs w:val="28"/>
          </w:rPr>
          <m:t>S/m</m:t>
        </m:r>
      </m:oMath>
      <w:r w:rsidRPr="007B3CB6">
        <w:rPr>
          <w:szCs w:val="28"/>
        </w:rPr>
        <w:t>);</w:t>
      </w:r>
    </w:p>
    <w:p w14:paraId="1908F087" w14:textId="77777777" w:rsidR="007B3CB6" w:rsidRPr="007B3CB6" w:rsidRDefault="005B25DC" w:rsidP="00D52995">
      <w:pPr>
        <w:numPr>
          <w:ilvl w:val="0"/>
          <w:numId w:val="3"/>
        </w:numPr>
        <w:spacing w:after="100" w:afterAutospacing="1"/>
        <w:ind w:firstLine="567"/>
        <w:jc w:val="both"/>
        <w:rPr>
          <w:szCs w:val="28"/>
        </w:rPr>
      </w:pPr>
      <m:oMath>
        <m:sSub>
          <m:sSubPr>
            <m:ctrlPr>
              <w:rPr>
                <w:rFonts w:ascii="Cambria Math" w:hAnsi="Cambria Math"/>
                <w:szCs w:val="28"/>
              </w:rPr>
            </m:ctrlPr>
          </m:sSubPr>
          <m:e>
            <m:r>
              <w:rPr>
                <w:rFonts w:ascii="Cambria Math" w:hAnsi="Cambria Math"/>
                <w:szCs w:val="28"/>
              </w:rPr>
              <m:t>E</m:t>
            </m:r>
          </m:e>
          <m:sub>
            <m:r>
              <w:rPr>
                <w:rFonts w:ascii="Cambria Math" w:hAnsi="Cambria Math"/>
                <w:szCs w:val="28"/>
              </w:rPr>
              <m:t>i</m:t>
            </m:r>
          </m:sub>
        </m:sSub>
      </m:oMath>
      <w:r w:rsidR="007B3CB6" w:rsidRPr="007B3CB6">
        <w:rPr>
          <w:szCs w:val="28"/>
        </w:rPr>
        <w:t xml:space="preserve"> е индуцираният вътрешен интензитет на електрическото поле в тъканта (</w:t>
      </w:r>
      <m:oMath>
        <m:r>
          <m:rPr>
            <m:nor/>
          </m:rPr>
          <w:rPr>
            <w:szCs w:val="28"/>
          </w:rPr>
          <m:t>V/m</m:t>
        </m:r>
      </m:oMath>
      <w:r w:rsidR="007B3CB6" w:rsidRPr="007B3CB6">
        <w:rPr>
          <w:szCs w:val="28"/>
        </w:rPr>
        <w:t>);</w:t>
      </w:r>
    </w:p>
    <w:p w14:paraId="070032AE" w14:textId="77777777" w:rsidR="007B3CB6" w:rsidRPr="007B3CB6" w:rsidRDefault="007B3CB6" w:rsidP="00D52995">
      <w:pPr>
        <w:numPr>
          <w:ilvl w:val="0"/>
          <w:numId w:val="3"/>
        </w:numPr>
        <w:spacing w:after="100" w:afterAutospacing="1"/>
        <w:ind w:firstLine="567"/>
        <w:jc w:val="both"/>
        <w:rPr>
          <w:szCs w:val="28"/>
        </w:rPr>
      </w:pPr>
      <m:oMath>
        <m:r>
          <w:rPr>
            <w:rFonts w:ascii="Cambria Math" w:hAnsi="Cambria Math"/>
            <w:szCs w:val="28"/>
          </w:rPr>
          <m:t>ρ</m:t>
        </m:r>
      </m:oMath>
      <w:r w:rsidRPr="007B3CB6">
        <w:rPr>
          <w:szCs w:val="28"/>
        </w:rPr>
        <w:t xml:space="preserve"> е плътността на биологичната тъкан (</w:t>
      </w:r>
      <m:oMath>
        <m:sSup>
          <m:sSupPr>
            <m:ctrlPr>
              <w:rPr>
                <w:rFonts w:ascii="Cambria Math" w:hAnsi="Cambria Math"/>
                <w:szCs w:val="28"/>
              </w:rPr>
            </m:ctrlPr>
          </m:sSupPr>
          <m:e>
            <m:r>
              <m:rPr>
                <m:nor/>
              </m:rPr>
              <w:rPr>
                <w:szCs w:val="28"/>
              </w:rPr>
              <m:t>kg/m</m:t>
            </m:r>
          </m:e>
          <m:sup>
            <m:r>
              <w:rPr>
                <w:rFonts w:ascii="Cambria Math" w:hAnsi="Cambria Math"/>
                <w:szCs w:val="28"/>
              </w:rPr>
              <m:t>3</m:t>
            </m:r>
          </m:sup>
        </m:sSup>
      </m:oMath>
      <w:r w:rsidRPr="007B3CB6">
        <w:rPr>
          <w:szCs w:val="28"/>
        </w:rPr>
        <w:t>).</w:t>
      </w:r>
    </w:p>
    <w:p w14:paraId="2DA4E333" w14:textId="77777777" w:rsidR="007B3CB6" w:rsidRPr="007B3CB6" w:rsidRDefault="007B3CB6" w:rsidP="00D52995">
      <w:pPr>
        <w:spacing w:after="100" w:afterAutospacing="1"/>
        <w:ind w:firstLine="567"/>
        <w:jc w:val="both"/>
        <w:rPr>
          <w:szCs w:val="28"/>
        </w:rPr>
      </w:pPr>
      <w:r w:rsidRPr="007B3CB6">
        <w:rPr>
          <w:szCs w:val="28"/>
        </w:rPr>
        <w:t xml:space="preserve">Алтернативно, при провеждане на калориметрични измервания, SAR се изразява чрез температурното изменение в тъканта за време </w:t>
      </w:r>
      <m:oMath>
        <m:r>
          <m:rPr>
            <m:sty m:val="p"/>
          </m:rPr>
          <w:rPr>
            <w:rFonts w:ascii="Cambria Math" w:hAnsi="Cambria Math"/>
            <w:szCs w:val="28"/>
          </w:rPr>
          <m:t>Δ</m:t>
        </m:r>
        <m:r>
          <w:rPr>
            <w:rFonts w:ascii="Cambria Math" w:hAnsi="Cambria Math"/>
            <w:szCs w:val="28"/>
          </w:rPr>
          <m:t>t</m:t>
        </m:r>
      </m:oMath>
      <w:r w:rsidRPr="007B3CB6">
        <w:rPr>
          <w:szCs w:val="28"/>
        </w:rPr>
        <w:t>:</w:t>
      </w:r>
    </w:p>
    <w:p w14:paraId="29ACF8E4" w14:textId="77777777" w:rsidR="007B3CB6" w:rsidRPr="007B3CB6" w:rsidRDefault="007B3CB6" w:rsidP="00D52995">
      <w:pPr>
        <w:ind w:firstLine="567"/>
        <w:jc w:val="both"/>
        <w:rPr>
          <w:szCs w:val="28"/>
        </w:rPr>
      </w:pPr>
      <m:oMathPara>
        <m:oMath>
          <m:r>
            <m:rPr>
              <m:nor/>
            </m:rPr>
            <w:rPr>
              <w:szCs w:val="28"/>
            </w:rPr>
            <m:t>SAR</m:t>
          </m:r>
          <m:r>
            <w:rPr>
              <w:rFonts w:ascii="Cambria Math" w:hAnsi="Cambria Math"/>
              <w:szCs w:val="28"/>
            </w:rPr>
            <m:t>=c⋅</m:t>
          </m:r>
          <m:d>
            <m:dPr>
              <m:begChr m:val=""/>
              <m:endChr m:val="|"/>
              <m:ctrlPr>
                <w:rPr>
                  <w:rFonts w:ascii="Cambria Math" w:hAnsi="Cambria Math"/>
                  <w:szCs w:val="28"/>
                </w:rPr>
              </m:ctrlPr>
            </m:dPr>
            <m:e>
              <m:f>
                <m:fPr>
                  <m:ctrlPr>
                    <w:rPr>
                      <w:rFonts w:ascii="Cambria Math" w:hAnsi="Cambria Math"/>
                      <w:szCs w:val="28"/>
                    </w:rPr>
                  </m:ctrlPr>
                </m:fPr>
                <m:num>
                  <m:r>
                    <w:rPr>
                      <w:rFonts w:ascii="Cambria Math" w:hAnsi="Cambria Math"/>
                      <w:szCs w:val="28"/>
                    </w:rPr>
                    <m:t>dT</m:t>
                  </m:r>
                </m:num>
                <m:den>
                  <m:r>
                    <w:rPr>
                      <w:rFonts w:ascii="Cambria Math" w:hAnsi="Cambria Math"/>
                      <w:szCs w:val="28"/>
                    </w:rPr>
                    <m:t>dt</m:t>
                  </m:r>
                </m:den>
              </m:f>
            </m:e>
          </m:d>
          <m:sSub>
            <m:sSubPr>
              <m:ctrlPr>
                <w:rPr>
                  <w:rFonts w:ascii="Cambria Math" w:hAnsi="Cambria Math"/>
                  <w:szCs w:val="28"/>
                </w:rPr>
              </m:ctrlPr>
            </m:sSubPr>
            <m:e>
              <m:r>
                <w:rPr>
                  <w:rFonts w:ascii="Cambria Math" w:hAnsi="Cambria Math"/>
                  <w:szCs w:val="28"/>
                </w:rPr>
                <m:t>​</m:t>
              </m:r>
            </m:e>
            <m:sub>
              <m:r>
                <w:rPr>
                  <w:rFonts w:ascii="Cambria Math" w:hAnsi="Cambria Math"/>
                  <w:szCs w:val="28"/>
                </w:rPr>
                <m:t>t=0</m:t>
              </m:r>
            </m:sub>
          </m:sSub>
        </m:oMath>
      </m:oMathPara>
    </w:p>
    <w:p w14:paraId="6BD502BD" w14:textId="77777777" w:rsidR="007B3CB6" w:rsidRPr="007B3CB6" w:rsidRDefault="007B3CB6" w:rsidP="00D52995">
      <w:pPr>
        <w:spacing w:after="100" w:afterAutospacing="1"/>
        <w:ind w:firstLine="567"/>
        <w:jc w:val="both"/>
        <w:rPr>
          <w:szCs w:val="28"/>
        </w:rPr>
      </w:pPr>
      <w:r w:rsidRPr="007B3CB6">
        <w:rPr>
          <w:szCs w:val="28"/>
        </w:rPr>
        <w:t xml:space="preserve">Където </w:t>
      </w:r>
      <m:oMath>
        <m:r>
          <w:rPr>
            <w:rFonts w:ascii="Cambria Math" w:hAnsi="Cambria Math"/>
            <w:szCs w:val="28"/>
          </w:rPr>
          <m:t>c</m:t>
        </m:r>
      </m:oMath>
      <w:r w:rsidRPr="007B3CB6">
        <w:rPr>
          <w:szCs w:val="28"/>
        </w:rPr>
        <w:t xml:space="preserve"> е специфичният топлинен капацитет на биологичната тъкан (</w:t>
      </w:r>
      <m:oMath>
        <m:r>
          <m:rPr>
            <m:nor/>
          </m:rPr>
          <w:rPr>
            <w:szCs w:val="28"/>
          </w:rPr>
          <m:t>J/(kg</m:t>
        </m:r>
        <m:r>
          <w:rPr>
            <w:rFonts w:ascii="Cambria Math" w:hAnsi="Cambria Math"/>
            <w:szCs w:val="28"/>
          </w:rPr>
          <m:t>⋅</m:t>
        </m:r>
        <m:r>
          <m:rPr>
            <m:nor/>
          </m:rPr>
          <w:rPr>
            <w:szCs w:val="28"/>
          </w:rPr>
          <m:t>K)</m:t>
        </m:r>
      </m:oMath>
      <w:r w:rsidRPr="007B3CB6">
        <w:rPr>
          <w:szCs w:val="28"/>
        </w:rPr>
        <w:t>).</w:t>
      </w:r>
    </w:p>
    <w:p w14:paraId="65D70A8A" w14:textId="5E541037" w:rsidR="007B3CB6" w:rsidRPr="007B3CB6" w:rsidRDefault="003736F8" w:rsidP="00D52995">
      <w:pPr>
        <w:spacing w:after="100" w:afterAutospacing="1"/>
        <w:ind w:firstLine="567"/>
        <w:jc w:val="both"/>
        <w:outlineLvl w:val="2"/>
        <w:rPr>
          <w:b/>
          <w:bCs/>
          <w:szCs w:val="28"/>
        </w:rPr>
      </w:pPr>
      <w:r>
        <w:rPr>
          <w:b/>
          <w:bCs/>
          <w:szCs w:val="28"/>
        </w:rPr>
        <w:t>1.</w:t>
      </w:r>
      <w:r w:rsidR="007B3CB6" w:rsidRPr="007B3CB6">
        <w:rPr>
          <w:b/>
          <w:bCs/>
          <w:szCs w:val="28"/>
        </w:rPr>
        <w:t>3. Затихване на сигнала при преминаване през среди</w:t>
      </w:r>
    </w:p>
    <w:p w14:paraId="05BC2FF8" w14:textId="77777777" w:rsidR="007B3CB6" w:rsidRPr="007B3CB6" w:rsidRDefault="007B3CB6" w:rsidP="00D52995">
      <w:pPr>
        <w:spacing w:after="100" w:afterAutospacing="1"/>
        <w:ind w:firstLine="567"/>
        <w:jc w:val="both"/>
        <w:rPr>
          <w:szCs w:val="28"/>
        </w:rPr>
      </w:pPr>
      <w:r w:rsidRPr="007B3CB6">
        <w:rPr>
          <w:szCs w:val="28"/>
        </w:rPr>
        <w:t>При взаимодейстие с биологични тъкани или строителни прегради, електрическото поле затихва експоненциално съгласно закона на Беер-Ламбер:</w:t>
      </w:r>
    </w:p>
    <w:p w14:paraId="1F88FCC9" w14:textId="77777777" w:rsidR="007B3CB6" w:rsidRPr="007B3CB6" w:rsidRDefault="007B3CB6" w:rsidP="00D52995">
      <w:pPr>
        <w:ind w:firstLine="567"/>
        <w:jc w:val="both"/>
        <w:rPr>
          <w:szCs w:val="28"/>
        </w:rPr>
      </w:pPr>
      <m:oMathPara>
        <m:oMath>
          <m:r>
            <w:rPr>
              <w:rFonts w:ascii="Cambria Math" w:hAnsi="Cambria Math"/>
              <w:szCs w:val="28"/>
            </w:rPr>
            <m:t>E</m:t>
          </m:r>
          <m:d>
            <m:dPr>
              <m:ctrlPr>
                <w:rPr>
                  <w:rFonts w:ascii="Cambria Math" w:hAnsi="Cambria Math"/>
                  <w:szCs w:val="28"/>
                </w:rPr>
              </m:ctrlPr>
            </m:dPr>
            <m:e>
              <m:r>
                <w:rPr>
                  <w:rFonts w:ascii="Cambria Math" w:hAnsi="Cambria Math"/>
                  <w:szCs w:val="28"/>
                </w:rPr>
                <m:t>x</m:t>
              </m:r>
            </m:e>
          </m:d>
          <m:r>
            <w:rPr>
              <w:rFonts w:ascii="Cambria Math" w:hAnsi="Cambria Math"/>
              <w:szCs w:val="28"/>
            </w:rPr>
            <m:t>=</m:t>
          </m:r>
          <m:sSub>
            <m:sSubPr>
              <m:ctrlPr>
                <w:rPr>
                  <w:rFonts w:ascii="Cambria Math" w:hAnsi="Cambria Math"/>
                  <w:szCs w:val="28"/>
                </w:rPr>
              </m:ctrlPr>
            </m:sSubPr>
            <m:e>
              <m:r>
                <w:rPr>
                  <w:rFonts w:ascii="Cambria Math" w:hAnsi="Cambria Math"/>
                  <w:szCs w:val="28"/>
                </w:rPr>
                <m:t>E</m:t>
              </m:r>
            </m:e>
            <m:sub>
              <m:r>
                <w:rPr>
                  <w:rFonts w:ascii="Cambria Math" w:hAnsi="Cambria Math"/>
                  <w:szCs w:val="28"/>
                </w:rPr>
                <m:t>0</m:t>
              </m:r>
            </m:sub>
          </m:sSub>
          <m:r>
            <w:rPr>
              <w:rFonts w:ascii="Cambria Math" w:hAnsi="Cambria Math"/>
              <w:szCs w:val="28"/>
            </w:rPr>
            <m:t>⋅</m:t>
          </m:r>
          <m:sSup>
            <m:sSupPr>
              <m:ctrlPr>
                <w:rPr>
                  <w:rFonts w:ascii="Cambria Math" w:hAnsi="Cambria Math"/>
                  <w:szCs w:val="28"/>
                </w:rPr>
              </m:ctrlPr>
            </m:sSupPr>
            <m:e>
              <m:r>
                <w:rPr>
                  <w:rFonts w:ascii="Cambria Math" w:hAnsi="Cambria Math"/>
                  <w:szCs w:val="28"/>
                </w:rPr>
                <m:t>e</m:t>
              </m:r>
            </m:e>
            <m:sup>
              <m:r>
                <w:rPr>
                  <w:rFonts w:ascii="Cambria Math" w:hAnsi="Cambria Math"/>
                  <w:szCs w:val="28"/>
                </w:rPr>
                <m:t>-αx</m:t>
              </m:r>
            </m:sup>
          </m:sSup>
        </m:oMath>
      </m:oMathPara>
    </w:p>
    <w:p w14:paraId="65566DA1" w14:textId="77777777" w:rsidR="007B3CB6" w:rsidRDefault="007B3CB6" w:rsidP="00D52995">
      <w:pPr>
        <w:spacing w:after="100" w:afterAutospacing="1"/>
        <w:ind w:firstLine="567"/>
        <w:jc w:val="both"/>
        <w:rPr>
          <w:szCs w:val="28"/>
        </w:rPr>
      </w:pPr>
      <w:r w:rsidRPr="007B3CB6">
        <w:rPr>
          <w:szCs w:val="28"/>
        </w:rPr>
        <w:t xml:space="preserve">Където </w:t>
      </w:r>
      <m:oMath>
        <m:sSub>
          <m:sSubPr>
            <m:ctrlPr>
              <w:rPr>
                <w:rFonts w:ascii="Cambria Math" w:hAnsi="Cambria Math"/>
                <w:szCs w:val="28"/>
              </w:rPr>
            </m:ctrlPr>
          </m:sSubPr>
          <m:e>
            <m:r>
              <w:rPr>
                <w:rFonts w:ascii="Cambria Math" w:hAnsi="Cambria Math"/>
                <w:szCs w:val="28"/>
              </w:rPr>
              <m:t>E</m:t>
            </m:r>
          </m:e>
          <m:sub>
            <m:r>
              <w:rPr>
                <w:rFonts w:ascii="Cambria Math" w:hAnsi="Cambria Math"/>
                <w:szCs w:val="28"/>
              </w:rPr>
              <m:t>0</m:t>
            </m:r>
          </m:sub>
        </m:sSub>
      </m:oMath>
      <w:r w:rsidRPr="007B3CB6">
        <w:rPr>
          <w:szCs w:val="28"/>
        </w:rPr>
        <w:t xml:space="preserve"> е началният интензитет на полето на повърхността, </w:t>
      </w:r>
      <m:oMath>
        <m:r>
          <w:rPr>
            <w:rFonts w:ascii="Cambria Math" w:hAnsi="Cambria Math"/>
            <w:szCs w:val="28"/>
          </w:rPr>
          <m:t>x</m:t>
        </m:r>
      </m:oMath>
      <w:r w:rsidRPr="007B3CB6">
        <w:rPr>
          <w:szCs w:val="28"/>
        </w:rPr>
        <w:t xml:space="preserve"> е дълбочината на проникване (</w:t>
      </w:r>
      <m:oMath>
        <m:r>
          <m:rPr>
            <m:nor/>
          </m:rPr>
          <w:rPr>
            <w:szCs w:val="28"/>
          </w:rPr>
          <m:t>m</m:t>
        </m:r>
      </m:oMath>
      <w:r w:rsidRPr="007B3CB6">
        <w:rPr>
          <w:szCs w:val="28"/>
        </w:rPr>
        <w:t xml:space="preserve">), а </w:t>
      </w:r>
      <m:oMath>
        <m:r>
          <w:rPr>
            <w:rFonts w:ascii="Cambria Math" w:hAnsi="Cambria Math"/>
            <w:szCs w:val="28"/>
          </w:rPr>
          <m:t>α</m:t>
        </m:r>
      </m:oMath>
      <w:r w:rsidRPr="007B3CB6">
        <w:rPr>
          <w:szCs w:val="28"/>
        </w:rPr>
        <w:t xml:space="preserve"> е коефициентът на затихване, определен от диелектричните свойства на средата (</w:t>
      </w:r>
      <m:oMath>
        <m:r>
          <w:rPr>
            <w:rFonts w:ascii="Cambria Math" w:hAnsi="Cambria Math"/>
            <w:szCs w:val="28"/>
          </w:rPr>
          <m:t>ε,μ,σ</m:t>
        </m:r>
      </m:oMath>
      <w:r w:rsidRPr="007B3CB6">
        <w:rPr>
          <w:szCs w:val="28"/>
        </w:rPr>
        <w:t xml:space="preserve">) и работната честота </w:t>
      </w:r>
      <m:oMath>
        <m:r>
          <w:rPr>
            <w:rFonts w:ascii="Cambria Math" w:hAnsi="Cambria Math"/>
            <w:szCs w:val="28"/>
          </w:rPr>
          <m:t>f</m:t>
        </m:r>
      </m:oMath>
      <w:r w:rsidRPr="007B3CB6">
        <w:rPr>
          <w:szCs w:val="28"/>
        </w:rPr>
        <w:t>.</w:t>
      </w:r>
    </w:p>
    <w:p w14:paraId="4FC1718F" w14:textId="77777777" w:rsidR="007C198E" w:rsidRDefault="007C198E" w:rsidP="00D52995">
      <w:pPr>
        <w:pStyle w:val="ds-markdown-paragraph"/>
        <w:shd w:val="clear" w:color="auto" w:fill="FFFFFF"/>
        <w:spacing w:before="206" w:beforeAutospacing="0" w:after="206" w:afterAutospacing="0"/>
        <w:ind w:firstLine="567"/>
        <w:jc w:val="both"/>
        <w:rPr>
          <w:b/>
          <w:bCs/>
          <w:sz w:val="28"/>
          <w:szCs w:val="28"/>
        </w:rPr>
      </w:pPr>
      <w:r w:rsidRPr="005B282B">
        <w:rPr>
          <w:b/>
          <w:bCs/>
          <w:sz w:val="28"/>
          <w:szCs w:val="28"/>
        </w:rPr>
        <w:t xml:space="preserve">2.Методика на изследването </w:t>
      </w:r>
    </w:p>
    <w:p w14:paraId="023784DD" w14:textId="513A724E" w:rsidR="005B282B" w:rsidRDefault="005B282B" w:rsidP="00D52995">
      <w:pPr>
        <w:ind w:firstLine="567"/>
        <w:jc w:val="both"/>
        <w:rPr>
          <w:szCs w:val="28"/>
        </w:rPr>
      </w:pPr>
      <w:r w:rsidRPr="001477BC">
        <w:rPr>
          <w:rStyle w:val="a-size-large"/>
          <w:bCs/>
          <w:szCs w:val="28"/>
        </w:rPr>
        <w:t xml:space="preserve">За измерване на електромагнитното поле  се използва уред за контрол на </w:t>
      </w:r>
      <w:r>
        <w:rPr>
          <w:rStyle w:val="a-size-large"/>
          <w:bCs/>
          <w:szCs w:val="28"/>
        </w:rPr>
        <w:t xml:space="preserve">вектора на плътността на мощността </w:t>
      </w:r>
      <w:r w:rsidRPr="001477BC">
        <w:rPr>
          <w:rStyle w:val="a-size-large"/>
          <w:bCs/>
          <w:szCs w:val="28"/>
        </w:rPr>
        <w:t>GQ EMF-390 Multi-Field Electromagnetic Radiatio</w:t>
      </w:r>
      <w:r w:rsidRPr="001477BC">
        <w:rPr>
          <w:rStyle w:val="a-size-large"/>
          <w:bCs/>
          <w:szCs w:val="28"/>
          <w:lang w:val="en-US"/>
        </w:rPr>
        <w:t>n</w:t>
      </w:r>
      <w:r w:rsidRPr="001477BC">
        <w:rPr>
          <w:rStyle w:val="a-size-large"/>
          <w:bCs/>
          <w:szCs w:val="28"/>
        </w:rPr>
        <w:t xml:space="preserve">. Изследвани и измерени са няколко точки </w:t>
      </w:r>
      <w:r>
        <w:rPr>
          <w:rStyle w:val="a-size-large"/>
          <w:bCs/>
          <w:szCs w:val="28"/>
        </w:rPr>
        <w:t>в близост до мобилният телефон намиращи се в работната зона</w:t>
      </w:r>
      <w:r w:rsidRPr="001477BC">
        <w:rPr>
          <w:rStyle w:val="a-size-large"/>
          <w:bCs/>
          <w:szCs w:val="28"/>
        </w:rPr>
        <w:t>.</w:t>
      </w:r>
      <w:r>
        <w:rPr>
          <w:rStyle w:val="a-size-large"/>
          <w:bCs/>
          <w:szCs w:val="28"/>
        </w:rPr>
        <w:t xml:space="preserve"> </w:t>
      </w:r>
      <w:r w:rsidRPr="001477BC">
        <w:rPr>
          <w:rStyle w:val="a-size-large"/>
          <w:bCs/>
          <w:szCs w:val="28"/>
        </w:rPr>
        <w:t xml:space="preserve">Спецификациите на уреда включват </w:t>
      </w:r>
      <w:r w:rsidRPr="001477BC">
        <w:rPr>
          <w:bCs/>
          <w:szCs w:val="28"/>
        </w:rPr>
        <w:t>измерване на Електромагнитно поле по трите оси на векторите</w:t>
      </w:r>
      <w:r w:rsidRPr="001477BC">
        <w:rPr>
          <w:szCs w:val="28"/>
        </w:rPr>
        <w:t xml:space="preserve"> (X, Y, Z) Обхват: 0,0~500mG, 0,0 до 50µT, Раз</w:t>
      </w:r>
      <w:r w:rsidRPr="001477BC">
        <w:rPr>
          <w:bCs/>
          <w:szCs w:val="28"/>
        </w:rPr>
        <w:t>делителна способност: 0. 1mG, измерване на Електрично поле</w:t>
      </w:r>
      <w:r w:rsidRPr="001477BC">
        <w:rPr>
          <w:szCs w:val="28"/>
        </w:rPr>
        <w:t>: 0V/m до 1000V/m, Разделителна способност: 1 V/m,</w:t>
      </w:r>
      <w:r w:rsidRPr="001477BC">
        <w:rPr>
          <w:bCs/>
          <w:szCs w:val="28"/>
        </w:rPr>
        <w:t xml:space="preserve"> Измерване на радиочестотно поле в о</w:t>
      </w:r>
      <w:r w:rsidRPr="001477BC">
        <w:rPr>
          <w:szCs w:val="28"/>
        </w:rPr>
        <w:t>бхват: 0,02µW/m² ~ 9999mW/m², Разделителна способност: 0,01μW/m², 1pW/cm², 1dB, до 10GHz.</w:t>
      </w:r>
      <w:r w:rsidR="00C27FF9" w:rsidRPr="00C27FF9">
        <w:rPr>
          <w:szCs w:val="28"/>
          <w:lang w:val="en-US"/>
        </w:rPr>
        <w:t xml:space="preserve"> </w:t>
      </w:r>
      <w:r w:rsidR="00C27FF9" w:rsidRPr="0089784C">
        <w:rPr>
          <w:szCs w:val="28"/>
          <w:lang w:val="en-US"/>
        </w:rPr>
        <w:t>[</w:t>
      </w:r>
      <w:r w:rsidR="00C27FF9" w:rsidRPr="0089784C">
        <w:rPr>
          <w:szCs w:val="28"/>
        </w:rPr>
        <w:t>3</w:t>
      </w:r>
      <w:r w:rsidR="00C27FF9" w:rsidRPr="0089784C">
        <w:rPr>
          <w:szCs w:val="28"/>
          <w:lang w:val="en-US"/>
        </w:rPr>
        <w:t>]</w:t>
      </w:r>
      <w:r w:rsidR="00C27FF9">
        <w:rPr>
          <w:szCs w:val="28"/>
          <w:lang w:val="en-US"/>
        </w:rPr>
        <w:t xml:space="preserve"> </w:t>
      </w:r>
      <w:r>
        <w:rPr>
          <w:szCs w:val="28"/>
        </w:rPr>
        <w:t>На фиг.1 едно е показацана таблица с рефетентните стойности дадени от производителя на измервателната апаратура.</w:t>
      </w:r>
    </w:p>
    <w:p w14:paraId="750CA7F3" w14:textId="69BEC91C" w:rsidR="005B282B" w:rsidRPr="005B282B" w:rsidRDefault="005B282B" w:rsidP="00D52995">
      <w:pPr>
        <w:pStyle w:val="ds-markdown-paragraph"/>
        <w:shd w:val="clear" w:color="auto" w:fill="FFFFFF"/>
        <w:spacing w:before="206" w:beforeAutospacing="0" w:after="206" w:afterAutospacing="0"/>
        <w:ind w:firstLine="567"/>
        <w:jc w:val="center"/>
        <w:rPr>
          <w:b/>
          <w:bCs/>
          <w:sz w:val="28"/>
          <w:szCs w:val="28"/>
          <w:lang w:val="en-US"/>
        </w:rPr>
      </w:pPr>
      <w:r>
        <w:rPr>
          <w:b/>
          <w:bCs/>
          <w:noProof/>
          <w:sz w:val="28"/>
          <w:szCs w:val="28"/>
          <w:lang w:val="en-US"/>
        </w:rPr>
        <w:lastRenderedPageBreak/>
        <w:drawing>
          <wp:inline distT="0" distB="0" distL="0" distR="0" wp14:anchorId="5D6A9874" wp14:editId="7CF0E2EC">
            <wp:extent cx="3835021" cy="2449001"/>
            <wp:effectExtent l="0" t="0" r="0" b="8890"/>
            <wp:docPr id="1116985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50032" cy="2458587"/>
                    </a:xfrm>
                    <a:prstGeom prst="rect">
                      <a:avLst/>
                    </a:prstGeom>
                    <a:noFill/>
                    <a:ln>
                      <a:noFill/>
                    </a:ln>
                  </pic:spPr>
                </pic:pic>
              </a:graphicData>
            </a:graphic>
          </wp:inline>
        </w:drawing>
      </w:r>
    </w:p>
    <w:p w14:paraId="4D4AF34B" w14:textId="7DD8B050" w:rsidR="005B282B" w:rsidRPr="005B282B" w:rsidRDefault="005B282B" w:rsidP="00D52995">
      <w:pPr>
        <w:pStyle w:val="ds-markdown-paragraph"/>
        <w:shd w:val="clear" w:color="auto" w:fill="FFFFFF"/>
        <w:spacing w:before="206" w:beforeAutospacing="0" w:after="206" w:afterAutospacing="0"/>
        <w:ind w:firstLine="567"/>
        <w:jc w:val="center"/>
        <w:rPr>
          <w:i/>
          <w:iCs/>
          <w:sz w:val="20"/>
          <w:szCs w:val="20"/>
        </w:rPr>
      </w:pPr>
      <w:r w:rsidRPr="005B282B">
        <w:rPr>
          <w:i/>
          <w:iCs/>
          <w:sz w:val="20"/>
          <w:szCs w:val="20"/>
        </w:rPr>
        <w:t>Фиг.1 Референтни стойности дадени от производитела на измервателния уред</w:t>
      </w:r>
    </w:p>
    <w:p w14:paraId="7E11A62F" w14:textId="3153C3CD" w:rsidR="007C198E" w:rsidRDefault="007C198E" w:rsidP="00D52995">
      <w:pPr>
        <w:pStyle w:val="ds-markdown-paragraph"/>
        <w:shd w:val="clear" w:color="auto" w:fill="FFFFFF"/>
        <w:spacing w:before="206" w:beforeAutospacing="0" w:after="206" w:afterAutospacing="0"/>
        <w:ind w:firstLine="567"/>
        <w:jc w:val="both"/>
        <w:rPr>
          <w:b/>
          <w:color w:val="000000" w:themeColor="text1"/>
          <w:sz w:val="28"/>
          <w:szCs w:val="28"/>
        </w:rPr>
      </w:pPr>
      <w:r w:rsidRPr="005B282B">
        <w:rPr>
          <w:b/>
          <w:bCs/>
          <w:sz w:val="28"/>
          <w:szCs w:val="28"/>
        </w:rPr>
        <w:t>3.Резултати от изследването</w:t>
      </w:r>
      <w:r w:rsidR="005B282B">
        <w:rPr>
          <w:b/>
          <w:bCs/>
          <w:sz w:val="28"/>
          <w:szCs w:val="28"/>
        </w:rPr>
        <w:t>,</w:t>
      </w:r>
      <w:r w:rsidRPr="005B282B">
        <w:rPr>
          <w:b/>
          <w:bCs/>
          <w:sz w:val="28"/>
          <w:szCs w:val="28"/>
        </w:rPr>
        <w:t xml:space="preserve"> </w:t>
      </w:r>
      <w:r w:rsidR="005B282B" w:rsidRPr="00FB56CE">
        <w:rPr>
          <w:b/>
          <w:bCs/>
          <w:color w:val="000000" w:themeColor="text1"/>
          <w:sz w:val="28"/>
          <w:szCs w:val="28"/>
        </w:rPr>
        <w:t>анализ</w:t>
      </w:r>
      <w:r w:rsidR="005B282B" w:rsidRPr="004F7B8B">
        <w:rPr>
          <w:b/>
          <w:color w:val="000000" w:themeColor="text1"/>
          <w:sz w:val="28"/>
          <w:szCs w:val="28"/>
        </w:rPr>
        <w:t> </w:t>
      </w:r>
      <w:r w:rsidR="005B282B">
        <w:rPr>
          <w:b/>
          <w:color w:val="000000" w:themeColor="text1"/>
          <w:sz w:val="28"/>
          <w:szCs w:val="28"/>
        </w:rPr>
        <w:t>и</w:t>
      </w:r>
      <w:r w:rsidR="005B282B" w:rsidRPr="004F7B8B">
        <w:rPr>
          <w:b/>
          <w:color w:val="000000" w:themeColor="text1"/>
          <w:sz w:val="28"/>
          <w:szCs w:val="28"/>
        </w:rPr>
        <w:t xml:space="preserve"> сравнение</w:t>
      </w:r>
      <w:r w:rsidR="005B282B">
        <w:rPr>
          <w:b/>
          <w:color w:val="000000" w:themeColor="text1"/>
          <w:sz w:val="28"/>
          <w:szCs w:val="28"/>
        </w:rPr>
        <w:t xml:space="preserve"> </w:t>
      </w:r>
      <w:r w:rsidR="005B282B" w:rsidRPr="004F7B8B">
        <w:rPr>
          <w:b/>
          <w:color w:val="000000" w:themeColor="text1"/>
          <w:sz w:val="28"/>
          <w:szCs w:val="28"/>
        </w:rPr>
        <w:t>с</w:t>
      </w:r>
      <w:r w:rsidR="005B282B">
        <w:rPr>
          <w:b/>
          <w:color w:val="000000" w:themeColor="text1"/>
          <w:sz w:val="28"/>
          <w:szCs w:val="28"/>
        </w:rPr>
        <w:t xml:space="preserve"> </w:t>
      </w:r>
      <w:r w:rsidR="005B282B" w:rsidRPr="00FB56CE">
        <w:rPr>
          <w:b/>
          <w:color w:val="000000" w:themeColor="text1"/>
          <w:sz w:val="28"/>
          <w:szCs w:val="28"/>
        </w:rPr>
        <w:t>норми</w:t>
      </w:r>
      <w:r w:rsidR="005B282B">
        <w:rPr>
          <w:b/>
          <w:color w:val="000000" w:themeColor="text1"/>
          <w:sz w:val="28"/>
          <w:szCs w:val="28"/>
        </w:rPr>
        <w:t>те</w:t>
      </w:r>
    </w:p>
    <w:p w14:paraId="0B7217BA" w14:textId="4BE3C333" w:rsidR="00A13E91" w:rsidRDefault="00A13E91" w:rsidP="00D52995">
      <w:pPr>
        <w:shd w:val="clear" w:color="auto" w:fill="FFFFFF"/>
        <w:spacing w:after="100" w:afterAutospacing="1"/>
        <w:ind w:firstLine="567"/>
        <w:jc w:val="both"/>
        <w:rPr>
          <w:szCs w:val="28"/>
        </w:rPr>
      </w:pPr>
      <w:r>
        <w:rPr>
          <w:szCs w:val="28"/>
        </w:rPr>
        <w:t>На фиг.2 е показано измерване на трите изследвани параметъра на разстояние 3 см от мобилен телефон</w:t>
      </w:r>
      <w:r>
        <w:rPr>
          <w:szCs w:val="28"/>
          <w:lang w:val="en-US"/>
        </w:rPr>
        <w:t xml:space="preserve"> </w:t>
      </w:r>
      <w:r>
        <w:rPr>
          <w:szCs w:val="28"/>
        </w:rPr>
        <w:t xml:space="preserve"> работещ на честота от 1.8</w:t>
      </w:r>
      <w:proofErr w:type="spellStart"/>
      <w:r>
        <w:rPr>
          <w:szCs w:val="28"/>
          <w:lang w:val="en-US"/>
        </w:rPr>
        <w:t>Ghz</w:t>
      </w:r>
      <w:proofErr w:type="spellEnd"/>
      <w:r>
        <w:rPr>
          <w:szCs w:val="28"/>
          <w:lang w:val="en-US"/>
        </w:rPr>
        <w:t xml:space="preserve"> </w:t>
      </w:r>
      <w:r>
        <w:rPr>
          <w:szCs w:val="28"/>
        </w:rPr>
        <w:t>до 5</w:t>
      </w:r>
      <w:proofErr w:type="spellStart"/>
      <w:r>
        <w:rPr>
          <w:szCs w:val="28"/>
          <w:lang w:val="en-US"/>
        </w:rPr>
        <w:t>Ghz.</w:t>
      </w:r>
      <w:proofErr w:type="spellEnd"/>
      <w:r>
        <w:rPr>
          <w:szCs w:val="28"/>
          <w:lang w:val="en-US"/>
        </w:rPr>
        <w:t xml:space="preserve"> </w:t>
      </w:r>
      <w:r>
        <w:rPr>
          <w:szCs w:val="28"/>
        </w:rPr>
        <w:t xml:space="preserve">В табличен вид в таб.1 са дадени измерените стойности в зависимост от разстоянието от изследваното устройство. Става ясно, че измерените стойности намаляват значително с повишаване на разстоянието като при разстояние над 60см от източника напрегнатостта на плътността на енергийния поток спада до нива близки до горната граница на допустимите норми. Напрвени са изследвания при различни работни режими на мобилният телефон на фиг.2 е показана опитна постановка при която телефонът е в режим на разговор. На фиг.3 е показан режим на работа при които телефона действа като </w:t>
      </w:r>
      <w:r>
        <w:rPr>
          <w:szCs w:val="28"/>
          <w:lang w:val="en-US"/>
        </w:rPr>
        <w:t>Wi-Fi</w:t>
      </w:r>
      <w:r>
        <w:rPr>
          <w:szCs w:val="28"/>
        </w:rPr>
        <w:t xml:space="preserve"> точка за достъп, а на фиг.4 е показана работата на телефона при използването му в интернет. На фигурите се виждат завишените в пъти стойности от норматичната уредба тъй като телефоните имат мощни краини усилватели и антени.</w:t>
      </w:r>
      <w:r w:rsidR="00FC0B34">
        <w:rPr>
          <w:szCs w:val="28"/>
        </w:rPr>
        <w:t xml:space="preserve"> От таб.1 става яни безопасните разстояния при които се постига оптимална защита електромагнитените полета създавани от мобилния телефон, а имено разтояния на поне 50-60 см от излъчващото крайно устройство.</w:t>
      </w:r>
    </w:p>
    <w:p w14:paraId="244FA7BA" w14:textId="6DC8B46B" w:rsidR="00A13E91" w:rsidRPr="00A13E91" w:rsidRDefault="00A13E91" w:rsidP="00D52995">
      <w:pPr>
        <w:shd w:val="clear" w:color="auto" w:fill="FFFFFF"/>
        <w:spacing w:after="100" w:afterAutospacing="1"/>
        <w:ind w:firstLine="567"/>
        <w:jc w:val="both"/>
        <w:rPr>
          <w:b/>
          <w:color w:val="000000" w:themeColor="text1"/>
          <w:szCs w:val="28"/>
          <w:lang w:val="en-US"/>
        </w:rPr>
      </w:pPr>
      <w:r w:rsidRPr="00A13E91">
        <w:rPr>
          <w:b/>
          <w:noProof/>
          <w:color w:val="000000" w:themeColor="text1"/>
          <w:szCs w:val="28"/>
          <w:lang w:val="en-US"/>
        </w:rPr>
        <w:lastRenderedPageBreak/>
        <w:drawing>
          <wp:inline distT="0" distB="0" distL="0" distR="0" wp14:anchorId="624C4DC0" wp14:editId="23517304">
            <wp:extent cx="4758009" cy="3582538"/>
            <wp:effectExtent l="0" t="0" r="5080" b="0"/>
            <wp:docPr id="13114721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6442" cy="3588888"/>
                    </a:xfrm>
                    <a:prstGeom prst="rect">
                      <a:avLst/>
                    </a:prstGeom>
                    <a:noFill/>
                    <a:ln>
                      <a:noFill/>
                    </a:ln>
                  </pic:spPr>
                </pic:pic>
              </a:graphicData>
            </a:graphic>
          </wp:inline>
        </w:drawing>
      </w:r>
    </w:p>
    <w:p w14:paraId="15F38869" w14:textId="5770322C" w:rsidR="00A13E91" w:rsidRPr="00A13E91" w:rsidRDefault="00A13E91" w:rsidP="00D52995">
      <w:pPr>
        <w:shd w:val="clear" w:color="auto" w:fill="FFFFFF"/>
        <w:spacing w:after="100" w:afterAutospacing="1"/>
        <w:ind w:firstLine="567"/>
        <w:jc w:val="both"/>
        <w:rPr>
          <w:bCs/>
          <w:i/>
          <w:iCs/>
          <w:color w:val="000000" w:themeColor="text1"/>
          <w:sz w:val="22"/>
          <w:szCs w:val="22"/>
        </w:rPr>
      </w:pPr>
      <w:r w:rsidRPr="00A13E91">
        <w:rPr>
          <w:bCs/>
          <w:i/>
          <w:iCs/>
          <w:color w:val="000000" w:themeColor="text1"/>
          <w:sz w:val="22"/>
          <w:szCs w:val="22"/>
        </w:rPr>
        <w:t xml:space="preserve">Фиг.2 Работа на телефона при обаждане на разстояние </w:t>
      </w:r>
      <w:r>
        <w:rPr>
          <w:bCs/>
          <w:i/>
          <w:iCs/>
          <w:color w:val="000000" w:themeColor="text1"/>
          <w:sz w:val="22"/>
          <w:szCs w:val="22"/>
        </w:rPr>
        <w:t>1</w:t>
      </w:r>
      <w:r w:rsidRPr="00A13E91">
        <w:rPr>
          <w:bCs/>
          <w:i/>
          <w:iCs/>
          <w:color w:val="000000" w:themeColor="text1"/>
          <w:sz w:val="22"/>
          <w:szCs w:val="22"/>
        </w:rPr>
        <w:t xml:space="preserve"> см</w:t>
      </w:r>
    </w:p>
    <w:p w14:paraId="6A8F0931" w14:textId="11F2747E" w:rsidR="00A13E91" w:rsidRPr="00A13E91" w:rsidRDefault="00A13E91" w:rsidP="00D52995">
      <w:pPr>
        <w:shd w:val="clear" w:color="auto" w:fill="FFFFFF"/>
        <w:spacing w:after="100" w:afterAutospacing="1"/>
        <w:ind w:firstLine="567"/>
        <w:jc w:val="both"/>
        <w:rPr>
          <w:b/>
          <w:i/>
          <w:iCs/>
          <w:color w:val="000000" w:themeColor="text1"/>
          <w:sz w:val="22"/>
          <w:szCs w:val="22"/>
          <w:lang w:val="en-US"/>
        </w:rPr>
      </w:pPr>
      <w:r w:rsidRPr="00A13E91">
        <w:rPr>
          <w:b/>
          <w:i/>
          <w:iCs/>
          <w:noProof/>
          <w:color w:val="000000" w:themeColor="text1"/>
          <w:sz w:val="22"/>
          <w:szCs w:val="22"/>
          <w:lang w:val="en-US"/>
        </w:rPr>
        <w:drawing>
          <wp:inline distT="0" distB="0" distL="0" distR="0" wp14:anchorId="06BF0E2A" wp14:editId="10658FFC">
            <wp:extent cx="3542494" cy="4704710"/>
            <wp:effectExtent l="9525" t="0" r="0" b="0"/>
            <wp:docPr id="14325845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3543540" cy="4706099"/>
                    </a:xfrm>
                    <a:prstGeom prst="rect">
                      <a:avLst/>
                    </a:prstGeom>
                    <a:noFill/>
                    <a:ln>
                      <a:noFill/>
                    </a:ln>
                  </pic:spPr>
                </pic:pic>
              </a:graphicData>
            </a:graphic>
          </wp:inline>
        </w:drawing>
      </w:r>
    </w:p>
    <w:p w14:paraId="441D5E7A" w14:textId="370DFEC6" w:rsidR="00A13E91" w:rsidRDefault="00A13E91" w:rsidP="00D52995">
      <w:pPr>
        <w:shd w:val="clear" w:color="auto" w:fill="FFFFFF"/>
        <w:spacing w:after="100" w:afterAutospacing="1"/>
        <w:ind w:firstLine="567"/>
        <w:jc w:val="both"/>
        <w:rPr>
          <w:bCs/>
          <w:i/>
          <w:iCs/>
          <w:color w:val="000000" w:themeColor="text1"/>
          <w:sz w:val="22"/>
          <w:szCs w:val="22"/>
        </w:rPr>
      </w:pPr>
      <w:r w:rsidRPr="00A13E91">
        <w:rPr>
          <w:bCs/>
          <w:i/>
          <w:iCs/>
          <w:color w:val="000000" w:themeColor="text1"/>
          <w:sz w:val="22"/>
          <w:szCs w:val="22"/>
        </w:rPr>
        <w:t xml:space="preserve">Фиг.3 Работа на телефона в режим на </w:t>
      </w:r>
      <w:r w:rsidRPr="00A13E91">
        <w:rPr>
          <w:bCs/>
          <w:i/>
          <w:iCs/>
          <w:color w:val="000000" w:themeColor="text1"/>
          <w:sz w:val="22"/>
          <w:szCs w:val="22"/>
          <w:lang w:val="en-US"/>
        </w:rPr>
        <w:t>Wi</w:t>
      </w:r>
      <w:r w:rsidRPr="00A13E91">
        <w:rPr>
          <w:bCs/>
          <w:i/>
          <w:iCs/>
          <w:color w:val="000000" w:themeColor="text1"/>
          <w:sz w:val="22"/>
          <w:szCs w:val="22"/>
        </w:rPr>
        <w:t>-</w:t>
      </w:r>
      <w:r w:rsidRPr="00A13E91">
        <w:rPr>
          <w:bCs/>
          <w:i/>
          <w:iCs/>
          <w:color w:val="000000" w:themeColor="text1"/>
          <w:sz w:val="22"/>
          <w:szCs w:val="22"/>
          <w:lang w:val="en-US"/>
        </w:rPr>
        <w:t xml:space="preserve">Fi </w:t>
      </w:r>
      <w:r w:rsidRPr="00A13E91">
        <w:rPr>
          <w:bCs/>
          <w:i/>
          <w:iCs/>
          <w:color w:val="000000" w:themeColor="text1"/>
          <w:sz w:val="22"/>
          <w:szCs w:val="22"/>
        </w:rPr>
        <w:t>точка за достъп на разстояние 1 см</w:t>
      </w:r>
    </w:p>
    <w:p w14:paraId="1F1D72A7" w14:textId="77777777" w:rsidR="00A13E91" w:rsidRDefault="00A13E91" w:rsidP="00D52995">
      <w:pPr>
        <w:shd w:val="clear" w:color="auto" w:fill="FFFFFF"/>
        <w:spacing w:after="100" w:afterAutospacing="1"/>
        <w:ind w:firstLine="567"/>
        <w:jc w:val="both"/>
        <w:rPr>
          <w:bCs/>
          <w:i/>
          <w:iCs/>
          <w:color w:val="000000" w:themeColor="text1"/>
          <w:sz w:val="22"/>
          <w:szCs w:val="22"/>
        </w:rPr>
      </w:pPr>
    </w:p>
    <w:p w14:paraId="0CE8452F" w14:textId="77777777" w:rsidR="00A13E91" w:rsidRDefault="00A13E91" w:rsidP="00D52995">
      <w:pPr>
        <w:shd w:val="clear" w:color="auto" w:fill="FFFFFF"/>
        <w:spacing w:after="100" w:afterAutospacing="1"/>
        <w:ind w:firstLine="567"/>
        <w:jc w:val="both"/>
        <w:rPr>
          <w:bCs/>
          <w:i/>
          <w:iCs/>
          <w:color w:val="000000" w:themeColor="text1"/>
          <w:sz w:val="22"/>
          <w:szCs w:val="22"/>
        </w:rPr>
      </w:pPr>
    </w:p>
    <w:p w14:paraId="7621F94A" w14:textId="41257786" w:rsidR="00A13E91" w:rsidRPr="00A13E91" w:rsidRDefault="00FC0B34" w:rsidP="00D52995">
      <w:pPr>
        <w:shd w:val="clear" w:color="auto" w:fill="FFFFFF"/>
        <w:spacing w:after="100" w:afterAutospacing="1"/>
        <w:ind w:firstLine="567"/>
        <w:jc w:val="both"/>
        <w:rPr>
          <w:bCs/>
          <w:i/>
          <w:iCs/>
          <w:color w:val="000000" w:themeColor="text1"/>
          <w:sz w:val="22"/>
          <w:szCs w:val="22"/>
        </w:rPr>
      </w:pPr>
      <w:r>
        <w:rPr>
          <w:noProof/>
        </w:rPr>
        <w:lastRenderedPageBreak/>
        <w:drawing>
          <wp:inline distT="0" distB="0" distL="0" distR="0" wp14:anchorId="5DFCC133" wp14:editId="44BE7339">
            <wp:extent cx="3616325" cy="5259565"/>
            <wp:effectExtent l="0" t="2222" r="952" b="953"/>
            <wp:docPr id="4218566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6200000">
                      <a:off x="0" y="0"/>
                      <a:ext cx="3628214" cy="5276857"/>
                    </a:xfrm>
                    <a:prstGeom prst="rect">
                      <a:avLst/>
                    </a:prstGeom>
                    <a:noFill/>
                    <a:ln>
                      <a:noFill/>
                    </a:ln>
                  </pic:spPr>
                </pic:pic>
              </a:graphicData>
            </a:graphic>
          </wp:inline>
        </w:drawing>
      </w:r>
    </w:p>
    <w:p w14:paraId="44A0D747" w14:textId="1245FCB0" w:rsidR="00FC0B34" w:rsidRDefault="00FC0B34" w:rsidP="00D52995">
      <w:pPr>
        <w:shd w:val="clear" w:color="auto" w:fill="FFFFFF"/>
        <w:spacing w:after="100" w:afterAutospacing="1"/>
        <w:ind w:firstLine="567"/>
        <w:jc w:val="both"/>
        <w:rPr>
          <w:bCs/>
          <w:i/>
          <w:iCs/>
          <w:color w:val="000000" w:themeColor="text1"/>
          <w:sz w:val="22"/>
          <w:szCs w:val="22"/>
        </w:rPr>
      </w:pPr>
      <w:r w:rsidRPr="00A13E91">
        <w:rPr>
          <w:bCs/>
          <w:i/>
          <w:iCs/>
          <w:color w:val="000000" w:themeColor="text1"/>
          <w:sz w:val="22"/>
          <w:szCs w:val="22"/>
        </w:rPr>
        <w:t>Фиг.</w:t>
      </w:r>
      <w:r>
        <w:rPr>
          <w:bCs/>
          <w:i/>
          <w:iCs/>
          <w:color w:val="000000" w:themeColor="text1"/>
          <w:sz w:val="22"/>
          <w:szCs w:val="22"/>
        </w:rPr>
        <w:t>4</w:t>
      </w:r>
      <w:r w:rsidRPr="00A13E91">
        <w:rPr>
          <w:bCs/>
          <w:i/>
          <w:iCs/>
          <w:color w:val="000000" w:themeColor="text1"/>
          <w:sz w:val="22"/>
          <w:szCs w:val="22"/>
        </w:rPr>
        <w:t xml:space="preserve"> Работа на телефона в режим на </w:t>
      </w:r>
      <w:r>
        <w:rPr>
          <w:bCs/>
          <w:i/>
          <w:iCs/>
          <w:color w:val="000000" w:themeColor="text1"/>
          <w:sz w:val="22"/>
          <w:szCs w:val="22"/>
        </w:rPr>
        <w:t>интернет трафик на разстояние</w:t>
      </w:r>
      <w:r w:rsidRPr="00A13E91">
        <w:rPr>
          <w:bCs/>
          <w:i/>
          <w:iCs/>
          <w:color w:val="000000" w:themeColor="text1"/>
          <w:sz w:val="22"/>
          <w:szCs w:val="22"/>
        </w:rPr>
        <w:t xml:space="preserve"> 1 см</w:t>
      </w:r>
    </w:p>
    <w:p w14:paraId="640F67BE" w14:textId="0B2B6AA4" w:rsidR="00FC0B34" w:rsidRPr="00FC0B34" w:rsidRDefault="00FC0B34" w:rsidP="00D52995">
      <w:pPr>
        <w:shd w:val="clear" w:color="auto" w:fill="FFFFFF"/>
        <w:spacing w:after="100" w:afterAutospacing="1"/>
        <w:ind w:firstLine="567"/>
        <w:jc w:val="both"/>
        <w:rPr>
          <w:sz w:val="24"/>
        </w:rPr>
      </w:pPr>
      <w:r w:rsidRPr="00FB56CE">
        <w:rPr>
          <w:sz w:val="24"/>
        </w:rPr>
        <w:t>Таб.1 Измерени резултати във връзка от разстоянието от излъчв</w:t>
      </w:r>
      <w:r>
        <w:rPr>
          <w:sz w:val="24"/>
        </w:rPr>
        <w:t>ащия мобилен телефон</w:t>
      </w:r>
    </w:p>
    <w:tbl>
      <w:tblPr>
        <w:tblStyle w:val="TableGrid"/>
        <w:tblW w:w="9803" w:type="dxa"/>
        <w:tblInd w:w="-147" w:type="dxa"/>
        <w:tblLook w:val="04A0" w:firstRow="1" w:lastRow="0" w:firstColumn="1" w:lastColumn="0" w:noHBand="0" w:noVBand="1"/>
      </w:tblPr>
      <w:tblGrid>
        <w:gridCol w:w="2561"/>
        <w:gridCol w:w="2414"/>
        <w:gridCol w:w="2414"/>
        <w:gridCol w:w="2414"/>
      </w:tblGrid>
      <w:tr w:rsidR="00FC0B34" w:rsidRPr="001B3004" w14:paraId="39A2BD8B" w14:textId="77777777" w:rsidTr="00FC0B34">
        <w:trPr>
          <w:trHeight w:val="396"/>
        </w:trPr>
        <w:tc>
          <w:tcPr>
            <w:tcW w:w="2561" w:type="dxa"/>
          </w:tcPr>
          <w:p w14:paraId="22FD8FB8" w14:textId="412AE3E9" w:rsidR="00FC0B34" w:rsidRPr="00FB56CE" w:rsidRDefault="00FC0B34" w:rsidP="00D52995">
            <w:pPr>
              <w:pStyle w:val="NoSpacing"/>
              <w:jc w:val="both"/>
            </w:pPr>
            <w:r w:rsidRPr="00FB56CE">
              <w:t>Разстояние от</w:t>
            </w:r>
            <w:r>
              <w:rPr>
                <w:lang w:val="en-US"/>
              </w:rPr>
              <w:t xml:space="preserve"> </w:t>
            </w:r>
            <w:r>
              <w:t>мобилия телефон</w:t>
            </w:r>
            <w:r w:rsidRPr="00FB56CE">
              <w:t>, см</w:t>
            </w:r>
          </w:p>
        </w:tc>
        <w:tc>
          <w:tcPr>
            <w:tcW w:w="2414" w:type="dxa"/>
          </w:tcPr>
          <w:p w14:paraId="747F5D48" w14:textId="77777777" w:rsidR="00FC0B34" w:rsidRPr="00FB56CE" w:rsidRDefault="00FC0B34" w:rsidP="00D52995">
            <w:pPr>
              <w:pStyle w:val="NoSpacing"/>
              <w:jc w:val="both"/>
              <w:rPr>
                <w:sz w:val="18"/>
                <w:szCs w:val="18"/>
                <w:vertAlign w:val="superscript"/>
                <w:lang w:val="en-US"/>
              </w:rPr>
            </w:pPr>
            <w:r w:rsidRPr="00FB56CE">
              <w:rPr>
                <w:sz w:val="18"/>
                <w:szCs w:val="18"/>
                <w:shd w:val="clear" w:color="auto" w:fill="FFFFFF"/>
              </w:rPr>
              <w:t>Напрегнатостта  на плътността на енергийния поток</w:t>
            </w:r>
            <w:r w:rsidRPr="00FB56CE">
              <w:rPr>
                <w:sz w:val="18"/>
                <w:szCs w:val="18"/>
                <w:shd w:val="clear" w:color="auto" w:fill="FFFFFF"/>
                <w:lang w:val="en-US"/>
              </w:rPr>
              <w:t>,</w:t>
            </w:r>
            <w:r w:rsidRPr="00FB56CE">
              <w:rPr>
                <w:sz w:val="18"/>
                <w:szCs w:val="18"/>
                <w:shd w:val="clear" w:color="auto" w:fill="FFFFFF"/>
              </w:rPr>
              <w:t xml:space="preserve"> </w:t>
            </w:r>
            <w:proofErr w:type="spellStart"/>
            <w:r w:rsidRPr="00FB56CE">
              <w:rPr>
                <w:sz w:val="18"/>
                <w:szCs w:val="18"/>
                <w:shd w:val="clear" w:color="auto" w:fill="FFFFFF"/>
                <w:lang w:val="en-US"/>
              </w:rPr>
              <w:t>mW</w:t>
            </w:r>
            <w:proofErr w:type="spellEnd"/>
            <w:r w:rsidRPr="00FB56CE">
              <w:rPr>
                <w:sz w:val="18"/>
                <w:szCs w:val="18"/>
                <w:shd w:val="clear" w:color="auto" w:fill="FFFFFF"/>
                <w:lang w:val="en-US"/>
              </w:rPr>
              <w:t>/m</w:t>
            </w:r>
            <w:r w:rsidRPr="00FB56CE">
              <w:rPr>
                <w:sz w:val="18"/>
                <w:szCs w:val="18"/>
                <w:shd w:val="clear" w:color="auto" w:fill="FFFFFF"/>
                <w:vertAlign w:val="superscript"/>
                <w:lang w:val="en-US"/>
              </w:rPr>
              <w:t>2</w:t>
            </w:r>
          </w:p>
        </w:tc>
        <w:tc>
          <w:tcPr>
            <w:tcW w:w="2414" w:type="dxa"/>
          </w:tcPr>
          <w:p w14:paraId="552A9262" w14:textId="77777777" w:rsidR="00FC0B34" w:rsidRPr="00FB56CE" w:rsidRDefault="00FC0B34" w:rsidP="00D52995">
            <w:pPr>
              <w:ind w:firstLine="567"/>
              <w:jc w:val="both"/>
              <w:rPr>
                <w:sz w:val="20"/>
                <w:szCs w:val="20"/>
                <w:lang w:val="en-US"/>
              </w:rPr>
            </w:pPr>
            <w:r w:rsidRPr="00FB56CE">
              <w:rPr>
                <w:sz w:val="20"/>
                <w:szCs w:val="20"/>
              </w:rPr>
              <w:t>Напрегнатост на електрическото поле</w:t>
            </w:r>
            <w:r w:rsidRPr="00FB56CE">
              <w:rPr>
                <w:sz w:val="20"/>
                <w:szCs w:val="20"/>
                <w:lang w:val="en-US"/>
              </w:rPr>
              <w:t>,</w:t>
            </w:r>
            <w:r w:rsidRPr="00FB56CE">
              <w:rPr>
                <w:sz w:val="20"/>
                <w:szCs w:val="20"/>
              </w:rPr>
              <w:t xml:space="preserve"> </w:t>
            </w:r>
            <w:r w:rsidRPr="00FB56CE">
              <w:rPr>
                <w:sz w:val="20"/>
                <w:szCs w:val="20"/>
                <w:lang w:val="en-US"/>
              </w:rPr>
              <w:t>V/m</w:t>
            </w:r>
          </w:p>
        </w:tc>
        <w:tc>
          <w:tcPr>
            <w:tcW w:w="2414" w:type="dxa"/>
          </w:tcPr>
          <w:p w14:paraId="5D3EA3EC" w14:textId="2C1F90F7" w:rsidR="00FC0B34" w:rsidRPr="00FC0B34" w:rsidRDefault="00FC0B34" w:rsidP="00D52995">
            <w:pPr>
              <w:pStyle w:val="Heading1"/>
              <w:ind w:firstLine="567"/>
              <w:jc w:val="both"/>
            </w:pPr>
            <w:r w:rsidRPr="00FC0B34">
              <w:rPr>
                <w:rStyle w:val="mw-page-title-main"/>
              </w:rPr>
              <w:t>Интензитет на магнитното поле</w:t>
            </w:r>
            <w:r w:rsidRPr="00FC0B34">
              <w:rPr>
                <w:rStyle w:val="mw-page-title-main"/>
                <w:lang w:val="en-US"/>
              </w:rPr>
              <w:t xml:space="preserve">, </w:t>
            </w:r>
            <w:proofErr w:type="spellStart"/>
            <w:r w:rsidRPr="00FC0B34">
              <w:rPr>
                <w:rStyle w:val="mw-page-title-main"/>
                <w:caps w:val="0"/>
                <w:lang w:val="en-US"/>
              </w:rPr>
              <w:t>m</w:t>
            </w:r>
            <w:r w:rsidRPr="00FC0B34">
              <w:rPr>
                <w:rStyle w:val="mw-page-title-main"/>
                <w:lang w:val="en-US"/>
              </w:rPr>
              <w:t>G</w:t>
            </w:r>
            <w:proofErr w:type="spellEnd"/>
          </w:p>
          <w:p w14:paraId="47238B45" w14:textId="77777777" w:rsidR="00FC0B34" w:rsidRPr="001B3004" w:rsidRDefault="00FC0B34" w:rsidP="00D52995">
            <w:pPr>
              <w:spacing w:after="100" w:afterAutospacing="1"/>
              <w:ind w:firstLine="567"/>
              <w:jc w:val="both"/>
              <w:rPr>
                <w:color w:val="000000" w:themeColor="text1"/>
                <w:sz w:val="20"/>
                <w:szCs w:val="20"/>
              </w:rPr>
            </w:pPr>
          </w:p>
        </w:tc>
      </w:tr>
      <w:tr w:rsidR="00FC0B34" w:rsidRPr="00FB56CE" w14:paraId="228ABFC3" w14:textId="77777777" w:rsidTr="00FC0B34">
        <w:trPr>
          <w:trHeight w:val="240"/>
        </w:trPr>
        <w:tc>
          <w:tcPr>
            <w:tcW w:w="2561" w:type="dxa"/>
          </w:tcPr>
          <w:p w14:paraId="334E516B" w14:textId="442B11D7" w:rsidR="00FC0B34" w:rsidRPr="00FC0B34" w:rsidRDefault="00FC0B34" w:rsidP="00D52995">
            <w:pPr>
              <w:spacing w:after="100" w:afterAutospacing="1"/>
              <w:ind w:firstLine="567"/>
              <w:jc w:val="both"/>
              <w:rPr>
                <w:szCs w:val="28"/>
              </w:rPr>
            </w:pPr>
            <w:r>
              <w:rPr>
                <w:szCs w:val="28"/>
              </w:rPr>
              <w:t>1</w:t>
            </w:r>
          </w:p>
        </w:tc>
        <w:tc>
          <w:tcPr>
            <w:tcW w:w="2414" w:type="dxa"/>
          </w:tcPr>
          <w:p w14:paraId="5E963A21" w14:textId="5D90F578" w:rsidR="00FC0B34" w:rsidRPr="001B3004" w:rsidRDefault="00FC0B34" w:rsidP="00D52995">
            <w:pPr>
              <w:spacing w:after="100" w:afterAutospacing="1"/>
              <w:ind w:firstLine="567"/>
              <w:jc w:val="both"/>
              <w:rPr>
                <w:szCs w:val="28"/>
              </w:rPr>
            </w:pPr>
            <w:r>
              <w:rPr>
                <w:szCs w:val="28"/>
              </w:rPr>
              <w:t>894</w:t>
            </w:r>
          </w:p>
        </w:tc>
        <w:tc>
          <w:tcPr>
            <w:tcW w:w="2414" w:type="dxa"/>
          </w:tcPr>
          <w:p w14:paraId="4440F009" w14:textId="35177ADD" w:rsidR="00FC0B34" w:rsidRPr="001B3004" w:rsidRDefault="00FC0B34" w:rsidP="00D52995">
            <w:pPr>
              <w:spacing w:after="100" w:afterAutospacing="1"/>
              <w:ind w:firstLine="567"/>
              <w:jc w:val="both"/>
              <w:rPr>
                <w:szCs w:val="28"/>
              </w:rPr>
            </w:pPr>
            <w:r>
              <w:rPr>
                <w:szCs w:val="28"/>
              </w:rPr>
              <w:t>13</w:t>
            </w:r>
          </w:p>
        </w:tc>
        <w:tc>
          <w:tcPr>
            <w:tcW w:w="2414" w:type="dxa"/>
          </w:tcPr>
          <w:p w14:paraId="0A456044" w14:textId="4F5D60DE" w:rsidR="00FC0B34" w:rsidRPr="001B3004" w:rsidRDefault="00FC0B34" w:rsidP="00D52995">
            <w:pPr>
              <w:spacing w:after="100" w:afterAutospacing="1"/>
              <w:ind w:firstLine="567"/>
              <w:jc w:val="both"/>
              <w:rPr>
                <w:szCs w:val="28"/>
              </w:rPr>
            </w:pPr>
            <w:r>
              <w:rPr>
                <w:szCs w:val="28"/>
              </w:rPr>
              <w:t>0.15</w:t>
            </w:r>
          </w:p>
        </w:tc>
      </w:tr>
      <w:tr w:rsidR="00FC0B34" w:rsidRPr="00FB56CE" w14:paraId="1597F01D" w14:textId="77777777" w:rsidTr="00FC0B34">
        <w:trPr>
          <w:trHeight w:val="240"/>
        </w:trPr>
        <w:tc>
          <w:tcPr>
            <w:tcW w:w="2561" w:type="dxa"/>
          </w:tcPr>
          <w:p w14:paraId="3FEB5203" w14:textId="2A1AAB1B" w:rsidR="00FC0B34" w:rsidRPr="00FC0B34" w:rsidRDefault="00FC0B34" w:rsidP="00D52995">
            <w:pPr>
              <w:spacing w:after="100" w:afterAutospacing="1"/>
              <w:ind w:firstLine="567"/>
              <w:jc w:val="both"/>
              <w:rPr>
                <w:szCs w:val="28"/>
              </w:rPr>
            </w:pPr>
            <w:r>
              <w:rPr>
                <w:szCs w:val="28"/>
              </w:rPr>
              <w:t>3</w:t>
            </w:r>
          </w:p>
        </w:tc>
        <w:tc>
          <w:tcPr>
            <w:tcW w:w="2414" w:type="dxa"/>
          </w:tcPr>
          <w:p w14:paraId="41B62371" w14:textId="22F5986B" w:rsidR="00FC0B34" w:rsidRPr="001B3004" w:rsidRDefault="00FC0B34" w:rsidP="00D52995">
            <w:pPr>
              <w:spacing w:after="100" w:afterAutospacing="1"/>
              <w:ind w:firstLine="567"/>
              <w:jc w:val="both"/>
              <w:rPr>
                <w:szCs w:val="28"/>
              </w:rPr>
            </w:pPr>
            <w:r>
              <w:rPr>
                <w:szCs w:val="28"/>
              </w:rPr>
              <w:t>654</w:t>
            </w:r>
          </w:p>
        </w:tc>
        <w:tc>
          <w:tcPr>
            <w:tcW w:w="2414" w:type="dxa"/>
          </w:tcPr>
          <w:p w14:paraId="037A848A" w14:textId="37A94CF9" w:rsidR="00FC0B34" w:rsidRPr="00FC0B34" w:rsidRDefault="00FC0B34" w:rsidP="00D52995">
            <w:pPr>
              <w:spacing w:after="100" w:afterAutospacing="1"/>
              <w:ind w:firstLine="567"/>
              <w:jc w:val="both"/>
              <w:rPr>
                <w:szCs w:val="28"/>
              </w:rPr>
            </w:pPr>
            <w:r>
              <w:rPr>
                <w:szCs w:val="28"/>
              </w:rPr>
              <w:t>12</w:t>
            </w:r>
          </w:p>
        </w:tc>
        <w:tc>
          <w:tcPr>
            <w:tcW w:w="2414" w:type="dxa"/>
          </w:tcPr>
          <w:p w14:paraId="0E3B577C" w14:textId="0FF2ACF0" w:rsidR="00FC0B34" w:rsidRPr="00FC0B34" w:rsidRDefault="00FC0B34" w:rsidP="00D52995">
            <w:pPr>
              <w:spacing w:after="100" w:afterAutospacing="1"/>
              <w:ind w:firstLine="567"/>
              <w:jc w:val="both"/>
              <w:rPr>
                <w:szCs w:val="28"/>
              </w:rPr>
            </w:pPr>
            <w:r w:rsidRPr="00FB56CE">
              <w:rPr>
                <w:szCs w:val="28"/>
                <w:lang w:val="en-US"/>
              </w:rPr>
              <w:t>0.</w:t>
            </w:r>
            <w:r>
              <w:rPr>
                <w:szCs w:val="28"/>
              </w:rPr>
              <w:t>12</w:t>
            </w:r>
          </w:p>
        </w:tc>
      </w:tr>
      <w:tr w:rsidR="00FC0B34" w:rsidRPr="00FB56CE" w14:paraId="15F92488" w14:textId="77777777" w:rsidTr="00FC0B34">
        <w:trPr>
          <w:trHeight w:val="248"/>
        </w:trPr>
        <w:tc>
          <w:tcPr>
            <w:tcW w:w="2561" w:type="dxa"/>
          </w:tcPr>
          <w:p w14:paraId="00E347A1" w14:textId="088E1BFE" w:rsidR="00FC0B34" w:rsidRPr="00FC0B34" w:rsidRDefault="00FC0B34" w:rsidP="00D52995">
            <w:pPr>
              <w:spacing w:after="100" w:afterAutospacing="1"/>
              <w:ind w:firstLine="567"/>
              <w:jc w:val="both"/>
              <w:rPr>
                <w:szCs w:val="28"/>
              </w:rPr>
            </w:pPr>
            <w:r>
              <w:rPr>
                <w:szCs w:val="28"/>
              </w:rPr>
              <w:t>10</w:t>
            </w:r>
          </w:p>
        </w:tc>
        <w:tc>
          <w:tcPr>
            <w:tcW w:w="2414" w:type="dxa"/>
          </w:tcPr>
          <w:p w14:paraId="2A3F9CB8" w14:textId="15DD58E6" w:rsidR="00FC0B34" w:rsidRPr="001B3004" w:rsidRDefault="00FC0B34" w:rsidP="00D52995">
            <w:pPr>
              <w:spacing w:after="100" w:afterAutospacing="1"/>
              <w:ind w:firstLine="567"/>
              <w:jc w:val="both"/>
              <w:rPr>
                <w:szCs w:val="28"/>
              </w:rPr>
            </w:pPr>
            <w:r>
              <w:rPr>
                <w:szCs w:val="28"/>
              </w:rPr>
              <w:t>420</w:t>
            </w:r>
          </w:p>
        </w:tc>
        <w:tc>
          <w:tcPr>
            <w:tcW w:w="2414" w:type="dxa"/>
          </w:tcPr>
          <w:p w14:paraId="656BFF48" w14:textId="55D22C30" w:rsidR="00FC0B34" w:rsidRPr="001B3004" w:rsidRDefault="00FC0B34" w:rsidP="00D52995">
            <w:pPr>
              <w:spacing w:after="100" w:afterAutospacing="1"/>
              <w:ind w:firstLine="567"/>
              <w:jc w:val="both"/>
              <w:rPr>
                <w:szCs w:val="28"/>
              </w:rPr>
            </w:pPr>
            <w:r>
              <w:rPr>
                <w:szCs w:val="28"/>
              </w:rPr>
              <w:t>10</w:t>
            </w:r>
          </w:p>
        </w:tc>
        <w:tc>
          <w:tcPr>
            <w:tcW w:w="2414" w:type="dxa"/>
          </w:tcPr>
          <w:p w14:paraId="7B2D5A96" w14:textId="6BE1319A" w:rsidR="00FC0B34" w:rsidRPr="00FC0B34" w:rsidRDefault="00FC0B34" w:rsidP="00D52995">
            <w:pPr>
              <w:spacing w:after="100" w:afterAutospacing="1"/>
              <w:ind w:firstLine="567"/>
              <w:jc w:val="both"/>
              <w:rPr>
                <w:szCs w:val="28"/>
              </w:rPr>
            </w:pPr>
            <w:r w:rsidRPr="00FB56CE">
              <w:rPr>
                <w:szCs w:val="28"/>
                <w:lang w:val="en-US"/>
              </w:rPr>
              <w:t>0.1</w:t>
            </w:r>
            <w:r>
              <w:rPr>
                <w:szCs w:val="28"/>
              </w:rPr>
              <w:t>0</w:t>
            </w:r>
          </w:p>
        </w:tc>
      </w:tr>
      <w:tr w:rsidR="00FC0B34" w:rsidRPr="00FB56CE" w14:paraId="7E931F99" w14:textId="77777777" w:rsidTr="00FC0B34">
        <w:trPr>
          <w:trHeight w:val="240"/>
        </w:trPr>
        <w:tc>
          <w:tcPr>
            <w:tcW w:w="2561" w:type="dxa"/>
          </w:tcPr>
          <w:p w14:paraId="11FB2896" w14:textId="2740F67D" w:rsidR="00FC0B34" w:rsidRPr="00FC0B34" w:rsidRDefault="00FC0B34" w:rsidP="00D52995">
            <w:pPr>
              <w:spacing w:after="100" w:afterAutospacing="1"/>
              <w:ind w:firstLine="567"/>
              <w:jc w:val="both"/>
              <w:rPr>
                <w:szCs w:val="28"/>
              </w:rPr>
            </w:pPr>
            <w:r>
              <w:rPr>
                <w:szCs w:val="28"/>
              </w:rPr>
              <w:t>30</w:t>
            </w:r>
          </w:p>
        </w:tc>
        <w:tc>
          <w:tcPr>
            <w:tcW w:w="2414" w:type="dxa"/>
          </w:tcPr>
          <w:p w14:paraId="6B50B84A" w14:textId="1BDA84E3" w:rsidR="00FC0B34" w:rsidRPr="001B3004" w:rsidRDefault="00FC0B34" w:rsidP="00D52995">
            <w:pPr>
              <w:spacing w:after="100" w:afterAutospacing="1"/>
              <w:ind w:firstLine="567"/>
              <w:jc w:val="both"/>
              <w:rPr>
                <w:szCs w:val="28"/>
              </w:rPr>
            </w:pPr>
            <w:r>
              <w:rPr>
                <w:szCs w:val="28"/>
              </w:rPr>
              <w:t>110</w:t>
            </w:r>
          </w:p>
        </w:tc>
        <w:tc>
          <w:tcPr>
            <w:tcW w:w="2414" w:type="dxa"/>
          </w:tcPr>
          <w:p w14:paraId="12BAD8C2" w14:textId="0F369B91" w:rsidR="00FC0B34" w:rsidRPr="001B3004" w:rsidRDefault="00FC0B34" w:rsidP="00D52995">
            <w:pPr>
              <w:spacing w:after="100" w:afterAutospacing="1"/>
              <w:ind w:firstLine="567"/>
              <w:jc w:val="both"/>
              <w:rPr>
                <w:szCs w:val="28"/>
              </w:rPr>
            </w:pPr>
            <w:r>
              <w:rPr>
                <w:szCs w:val="28"/>
              </w:rPr>
              <w:t>8</w:t>
            </w:r>
          </w:p>
        </w:tc>
        <w:tc>
          <w:tcPr>
            <w:tcW w:w="2414" w:type="dxa"/>
          </w:tcPr>
          <w:p w14:paraId="251A5748" w14:textId="0F6B8A87" w:rsidR="00FC0B34" w:rsidRPr="00FC0B34" w:rsidRDefault="00FC0B34" w:rsidP="00D52995">
            <w:pPr>
              <w:spacing w:after="100" w:afterAutospacing="1"/>
              <w:ind w:firstLine="567"/>
              <w:jc w:val="both"/>
              <w:rPr>
                <w:szCs w:val="28"/>
              </w:rPr>
            </w:pPr>
            <w:r w:rsidRPr="00FB56CE">
              <w:rPr>
                <w:szCs w:val="28"/>
                <w:lang w:val="en-US"/>
              </w:rPr>
              <w:t>0.</w:t>
            </w:r>
            <w:r>
              <w:rPr>
                <w:szCs w:val="28"/>
              </w:rPr>
              <w:t>05</w:t>
            </w:r>
          </w:p>
        </w:tc>
      </w:tr>
      <w:tr w:rsidR="00FC0B34" w:rsidRPr="00FB56CE" w14:paraId="3078A33F" w14:textId="77777777" w:rsidTr="00FC0B34">
        <w:trPr>
          <w:trHeight w:val="240"/>
        </w:trPr>
        <w:tc>
          <w:tcPr>
            <w:tcW w:w="2561" w:type="dxa"/>
          </w:tcPr>
          <w:p w14:paraId="6D30247E" w14:textId="3D33195C" w:rsidR="00FC0B34" w:rsidRPr="00FC0B34" w:rsidRDefault="00FC0B34" w:rsidP="00D52995">
            <w:pPr>
              <w:spacing w:after="100" w:afterAutospacing="1"/>
              <w:ind w:firstLine="567"/>
              <w:jc w:val="both"/>
              <w:rPr>
                <w:szCs w:val="28"/>
              </w:rPr>
            </w:pPr>
            <w:r>
              <w:rPr>
                <w:szCs w:val="28"/>
              </w:rPr>
              <w:t>50</w:t>
            </w:r>
          </w:p>
        </w:tc>
        <w:tc>
          <w:tcPr>
            <w:tcW w:w="2414" w:type="dxa"/>
          </w:tcPr>
          <w:p w14:paraId="6AF4F5F9" w14:textId="0C476E21" w:rsidR="00FC0B34" w:rsidRPr="001B3004" w:rsidRDefault="00FC0B34" w:rsidP="00D52995">
            <w:pPr>
              <w:spacing w:after="100" w:afterAutospacing="1"/>
              <w:ind w:firstLine="567"/>
              <w:jc w:val="both"/>
              <w:rPr>
                <w:szCs w:val="28"/>
              </w:rPr>
            </w:pPr>
            <w:r>
              <w:rPr>
                <w:szCs w:val="28"/>
              </w:rPr>
              <w:t>21</w:t>
            </w:r>
          </w:p>
        </w:tc>
        <w:tc>
          <w:tcPr>
            <w:tcW w:w="2414" w:type="dxa"/>
          </w:tcPr>
          <w:p w14:paraId="528D4991" w14:textId="4E5EFF7C" w:rsidR="00FC0B34" w:rsidRPr="001B3004" w:rsidRDefault="00FC0B34" w:rsidP="00D52995">
            <w:pPr>
              <w:spacing w:after="100" w:afterAutospacing="1"/>
              <w:ind w:firstLine="567"/>
              <w:jc w:val="both"/>
              <w:rPr>
                <w:szCs w:val="28"/>
              </w:rPr>
            </w:pPr>
            <w:r>
              <w:rPr>
                <w:szCs w:val="28"/>
              </w:rPr>
              <w:t>3</w:t>
            </w:r>
          </w:p>
        </w:tc>
        <w:tc>
          <w:tcPr>
            <w:tcW w:w="2414" w:type="dxa"/>
          </w:tcPr>
          <w:p w14:paraId="114C201D" w14:textId="510FC0BA" w:rsidR="00FC0B34" w:rsidRPr="00FC0B34" w:rsidRDefault="00FC0B34" w:rsidP="00D52995">
            <w:pPr>
              <w:spacing w:after="100" w:afterAutospacing="1"/>
              <w:ind w:firstLine="567"/>
              <w:jc w:val="both"/>
              <w:rPr>
                <w:szCs w:val="28"/>
              </w:rPr>
            </w:pPr>
            <w:r w:rsidRPr="00FB56CE">
              <w:rPr>
                <w:szCs w:val="28"/>
                <w:lang w:val="en-US"/>
              </w:rPr>
              <w:t>0.0</w:t>
            </w:r>
            <w:r>
              <w:rPr>
                <w:szCs w:val="28"/>
              </w:rPr>
              <w:t>4</w:t>
            </w:r>
          </w:p>
        </w:tc>
      </w:tr>
    </w:tbl>
    <w:p w14:paraId="1A1B5712" w14:textId="77777777" w:rsidR="00FC0B34" w:rsidRPr="00FC0B34" w:rsidRDefault="00FC0B34" w:rsidP="00D52995">
      <w:pPr>
        <w:pStyle w:val="ds-markdown-paragraph"/>
        <w:shd w:val="clear" w:color="auto" w:fill="FFFFFF"/>
        <w:spacing w:before="206" w:beforeAutospacing="0" w:after="206" w:afterAutospacing="0"/>
        <w:ind w:firstLine="567"/>
        <w:jc w:val="both"/>
        <w:rPr>
          <w:b/>
          <w:bCs/>
          <w:sz w:val="28"/>
          <w:szCs w:val="28"/>
        </w:rPr>
      </w:pPr>
    </w:p>
    <w:p w14:paraId="67E25566" w14:textId="77777777" w:rsidR="007C198E" w:rsidRPr="005B282B" w:rsidRDefault="007C198E" w:rsidP="00D52995">
      <w:pPr>
        <w:pStyle w:val="ds-markdown-paragraph"/>
        <w:shd w:val="clear" w:color="auto" w:fill="FFFFFF"/>
        <w:spacing w:before="206" w:beforeAutospacing="0" w:after="206" w:afterAutospacing="0"/>
        <w:ind w:firstLine="567"/>
        <w:jc w:val="both"/>
        <w:rPr>
          <w:b/>
          <w:bCs/>
          <w:sz w:val="28"/>
          <w:szCs w:val="28"/>
        </w:rPr>
      </w:pPr>
      <w:r w:rsidRPr="005B282B">
        <w:rPr>
          <w:b/>
          <w:bCs/>
          <w:sz w:val="28"/>
          <w:szCs w:val="28"/>
        </w:rPr>
        <w:t>4.Заключение</w:t>
      </w:r>
    </w:p>
    <w:p w14:paraId="362B6766" w14:textId="69436FC8" w:rsidR="00FC0B34" w:rsidRDefault="00C27FF9" w:rsidP="00D52995">
      <w:pPr>
        <w:spacing w:after="100" w:afterAutospacing="1"/>
        <w:ind w:firstLine="567"/>
        <w:jc w:val="both"/>
        <w:rPr>
          <w:szCs w:val="28"/>
        </w:rPr>
      </w:pPr>
      <w:r w:rsidRPr="00C27FF9">
        <w:rPr>
          <w:szCs w:val="28"/>
        </w:rPr>
        <w:t>Настоящото изследване предостави ясна представа за характера и разпределението на електромагнитните излъчвания от мобилни телефони при реални условия на работа. Въз основа на проведените лабораторни измервания и последвалия анализ могат да бъдат направени следните основни изводи:</w:t>
      </w:r>
      <w:r>
        <w:rPr>
          <w:szCs w:val="28"/>
        </w:rPr>
        <w:t xml:space="preserve"> </w:t>
      </w:r>
      <w:r w:rsidRPr="00C27FF9">
        <w:rPr>
          <w:szCs w:val="28"/>
        </w:rPr>
        <w:t>Критична зона на облъчване: В непосредствена близост до устройството (на разстояние 1 cm и 3 cm) се отчитат нива на плътността на мощността, които превишават допустимите хигиенни норми приблизително 30 пъти. Това потвърждава, следвайки закона за обратното квадратни разстояния, че при директен контакт с тялото или при държане на телефона до ухото по време на разговор, организмът е изложен на високо електромагнитно натоварване.</w:t>
      </w:r>
      <w:r>
        <w:rPr>
          <w:szCs w:val="28"/>
        </w:rPr>
        <w:t xml:space="preserve"> </w:t>
      </w:r>
      <w:r w:rsidRPr="00C27FF9">
        <w:rPr>
          <w:szCs w:val="28"/>
        </w:rPr>
        <w:t xml:space="preserve">Бързо затихване с разстоянието: С </w:t>
      </w:r>
      <w:r w:rsidRPr="00C27FF9">
        <w:rPr>
          <w:szCs w:val="28"/>
        </w:rPr>
        <w:lastRenderedPageBreak/>
        <w:t>увеличаване на разстоянието от източника нивата на излъчване спадат експоненциално. На разстояние от 50 cm плътността на мощността вече спада до напълно допустими и безопасни нива, отговарящи на установените стандарти.</w:t>
      </w:r>
      <w:r>
        <w:rPr>
          <w:szCs w:val="28"/>
        </w:rPr>
        <w:t xml:space="preserve"> </w:t>
      </w:r>
      <w:r w:rsidRPr="00C27FF9">
        <w:rPr>
          <w:szCs w:val="28"/>
        </w:rPr>
        <w:t>Практическо значение: Резултатите подчертават изключителната важност на спазването на правилата за безопасна експлоатация на мобилни устройства. Разстоянието се очертава като най-достъпният и ефективен фактор за защита от електромагнитно излъчване.</w:t>
      </w:r>
      <w:r>
        <w:rPr>
          <w:szCs w:val="28"/>
        </w:rPr>
        <w:t xml:space="preserve"> </w:t>
      </w:r>
      <w:r w:rsidRPr="00C27FF9">
        <w:rPr>
          <w:szCs w:val="28"/>
        </w:rPr>
        <w:t xml:space="preserve">В обобщение, въпреки че съвременните мобилни комуникации са незаменими в ежедневието, тяхната употреба трябва да бъде съобразена с потенциалните рискове от близкото поле. За да се сведе до минимум излагането на високи нива на електромагнитна енергия, се препоръчва </w:t>
      </w:r>
      <w:r>
        <w:rPr>
          <w:szCs w:val="28"/>
        </w:rPr>
        <w:t xml:space="preserve">провеждането </w:t>
      </w:r>
      <w:r w:rsidRPr="00C27FF9">
        <w:rPr>
          <w:szCs w:val="28"/>
        </w:rPr>
        <w:t>на по-кратки разговори и избягването на носенето на мобилния телефон в непосредствена близост до тялото</w:t>
      </w:r>
      <w:r>
        <w:rPr>
          <w:szCs w:val="28"/>
        </w:rPr>
        <w:t>.</w:t>
      </w:r>
    </w:p>
    <w:p w14:paraId="7C108204" w14:textId="77777777" w:rsidR="007C198E" w:rsidRPr="00506C06" w:rsidRDefault="007C198E" w:rsidP="007C198E">
      <w:pPr>
        <w:shd w:val="clear" w:color="auto" w:fill="FFFFFF"/>
        <w:spacing w:before="206" w:after="206" w:line="429" w:lineRule="atLeast"/>
        <w:ind w:left="220" w:firstLine="708"/>
        <w:jc w:val="both"/>
        <w:rPr>
          <w:b/>
          <w:color w:val="000000" w:themeColor="text1"/>
          <w:szCs w:val="28"/>
        </w:rPr>
      </w:pPr>
      <w:r w:rsidRPr="00506C06">
        <w:rPr>
          <w:b/>
          <w:color w:val="000000" w:themeColor="text1"/>
          <w:szCs w:val="28"/>
        </w:rPr>
        <w:t>Използвана литература</w:t>
      </w:r>
    </w:p>
    <w:p w14:paraId="2058BC6E" w14:textId="77777777" w:rsidR="007C198E" w:rsidRPr="0089784C" w:rsidRDefault="007C198E" w:rsidP="007C198E">
      <w:pPr>
        <w:pStyle w:val="ListParagraph"/>
        <w:ind w:left="928"/>
        <w:jc w:val="both"/>
        <w:rPr>
          <w:szCs w:val="28"/>
        </w:rPr>
      </w:pPr>
      <w:r w:rsidRPr="0089784C">
        <w:rPr>
          <w:szCs w:val="28"/>
          <w:lang w:val="en-US"/>
        </w:rPr>
        <w:t>[1]</w:t>
      </w:r>
      <w:r>
        <w:rPr>
          <w:szCs w:val="28"/>
          <w:lang w:val="en-US"/>
        </w:rPr>
        <w:t xml:space="preserve"> </w:t>
      </w:r>
      <w:r w:rsidRPr="0089784C">
        <w:rPr>
          <w:szCs w:val="28"/>
        </w:rPr>
        <w:t>YORDAN SHTEREV IVANOV, HEALTH ASPECTS OF MODERN WIRELESS TECHNOLOGY, STEMEDU-2020 НАУЧНА КОНФЕРЕНЦИЯ С МЕЖДУНАРОДНО УЧАСТИЕ 2020, Велико Търново</w:t>
      </w:r>
    </w:p>
    <w:p w14:paraId="07418DDF" w14:textId="77777777" w:rsidR="007C198E" w:rsidRPr="0089784C" w:rsidRDefault="007C198E" w:rsidP="007C198E">
      <w:pPr>
        <w:pStyle w:val="ListParagraph"/>
        <w:ind w:left="928"/>
        <w:jc w:val="both"/>
        <w:rPr>
          <w:szCs w:val="28"/>
        </w:rPr>
      </w:pPr>
    </w:p>
    <w:p w14:paraId="78EC698B" w14:textId="77777777" w:rsidR="007C198E" w:rsidRDefault="007C198E" w:rsidP="007C198E">
      <w:pPr>
        <w:pStyle w:val="ListParagraph"/>
        <w:ind w:left="928"/>
        <w:rPr>
          <w:szCs w:val="28"/>
          <w:lang w:val="en-US"/>
        </w:rPr>
      </w:pPr>
      <w:r w:rsidRPr="0089784C">
        <w:rPr>
          <w:szCs w:val="28"/>
          <w:lang w:val="en-US"/>
        </w:rPr>
        <w:t>[</w:t>
      </w:r>
      <w:r w:rsidRPr="0089784C">
        <w:rPr>
          <w:szCs w:val="28"/>
        </w:rPr>
        <w:t>2</w:t>
      </w:r>
      <w:r w:rsidRPr="0089784C">
        <w:rPr>
          <w:szCs w:val="28"/>
          <w:lang w:val="en-US"/>
        </w:rPr>
        <w:t>]</w:t>
      </w:r>
      <w:r>
        <w:rPr>
          <w:szCs w:val="28"/>
          <w:lang w:val="en-US"/>
        </w:rPr>
        <w:t xml:space="preserve"> </w:t>
      </w:r>
      <w:r w:rsidRPr="0089784C">
        <w:rPr>
          <w:szCs w:val="28"/>
        </w:rPr>
        <w:t xml:space="preserve">N. </w:t>
      </w:r>
      <w:r w:rsidRPr="0089784C">
        <w:rPr>
          <w:szCs w:val="28"/>
          <w:lang w:val="en-US"/>
        </w:rPr>
        <w:t>YORDANOV</w:t>
      </w:r>
      <w:r w:rsidRPr="0089784C">
        <w:rPr>
          <w:szCs w:val="28"/>
        </w:rPr>
        <w:t xml:space="preserve">, </w:t>
      </w:r>
      <w:r>
        <w:rPr>
          <w:szCs w:val="28"/>
        </w:rPr>
        <w:t xml:space="preserve">Уейвлет анализ на акустични сигнали.2018 Сборник доклади от Годишна университетска научна конференция 2018, Том 9, стр 131-137, </w:t>
      </w:r>
      <w:r>
        <w:rPr>
          <w:szCs w:val="28"/>
          <w:lang w:val="en-US"/>
        </w:rPr>
        <w:t>ISBN 1314-1937</w:t>
      </w:r>
      <w:r w:rsidRPr="0089784C">
        <w:rPr>
          <w:szCs w:val="28"/>
          <w:lang w:val="en-US"/>
        </w:rPr>
        <w:t>.</w:t>
      </w:r>
    </w:p>
    <w:p w14:paraId="2099E8EB" w14:textId="77777777" w:rsidR="007C198E" w:rsidRPr="000F1BFB" w:rsidRDefault="007C198E" w:rsidP="007C198E">
      <w:pPr>
        <w:pStyle w:val="ListParagraph"/>
        <w:ind w:left="928"/>
        <w:rPr>
          <w:szCs w:val="28"/>
          <w:lang w:val="en-US"/>
        </w:rPr>
      </w:pPr>
    </w:p>
    <w:p w14:paraId="4B8936BE" w14:textId="77777777" w:rsidR="007C198E" w:rsidRPr="0089784C" w:rsidRDefault="007C198E" w:rsidP="007C198E">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8"/>
        <w:jc w:val="both"/>
        <w:rPr>
          <w:bCs/>
          <w:spacing w:val="2"/>
          <w:szCs w:val="28"/>
          <w:shd w:val="clear" w:color="auto" w:fill="FAFAFA"/>
        </w:rPr>
      </w:pPr>
      <w:r w:rsidRPr="0089784C">
        <w:rPr>
          <w:szCs w:val="28"/>
          <w:lang w:val="en-US"/>
        </w:rPr>
        <w:t>[</w:t>
      </w:r>
      <w:r w:rsidRPr="0089784C">
        <w:rPr>
          <w:szCs w:val="28"/>
        </w:rPr>
        <w:t>3</w:t>
      </w:r>
      <w:r w:rsidRPr="0089784C">
        <w:rPr>
          <w:szCs w:val="28"/>
          <w:lang w:val="en-US"/>
        </w:rPr>
        <w:t>]</w:t>
      </w:r>
      <w:r>
        <w:rPr>
          <w:szCs w:val="28"/>
          <w:lang w:val="en-US"/>
        </w:rPr>
        <w:t xml:space="preserve"> </w:t>
      </w:r>
      <w:r w:rsidRPr="0089784C">
        <w:rPr>
          <w:szCs w:val="28"/>
        </w:rPr>
        <w:t>Наредба  №9 от 1991г. за пределно допустими нива на електромагнитни полета в населени територии и определяне на хигиенозащитни зони около излъчващи обекти издадена от Министерство на здравеопазването, в сила от 03.05.1991г., изм. в ДВ бр.8 от 22 януари 2002г.</w:t>
      </w:r>
    </w:p>
    <w:p w14:paraId="6A05F9C7" w14:textId="77777777" w:rsidR="007C198E" w:rsidRPr="0089784C" w:rsidRDefault="007C198E" w:rsidP="007C198E">
      <w:pPr>
        <w:pStyle w:val="ListParagraph"/>
        <w:rPr>
          <w:bCs/>
          <w:spacing w:val="2"/>
          <w:szCs w:val="28"/>
          <w:shd w:val="clear" w:color="auto" w:fill="FAFAFA"/>
        </w:rPr>
      </w:pPr>
    </w:p>
    <w:p w14:paraId="024C3092" w14:textId="4A400C87" w:rsidR="007C198E" w:rsidRPr="0089784C" w:rsidRDefault="007C198E" w:rsidP="007C198E">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8"/>
        <w:jc w:val="both"/>
        <w:rPr>
          <w:bCs/>
          <w:spacing w:val="2"/>
          <w:szCs w:val="28"/>
          <w:shd w:val="clear" w:color="auto" w:fill="FAFAFA"/>
        </w:rPr>
      </w:pPr>
      <w:r w:rsidRPr="0089784C">
        <w:rPr>
          <w:szCs w:val="28"/>
          <w:lang w:val="en-US"/>
        </w:rPr>
        <w:t>[</w:t>
      </w:r>
      <w:r w:rsidRPr="0089784C">
        <w:rPr>
          <w:szCs w:val="28"/>
        </w:rPr>
        <w:t>4</w:t>
      </w:r>
      <w:r w:rsidRPr="0089784C">
        <w:rPr>
          <w:szCs w:val="28"/>
          <w:lang w:val="en-US"/>
        </w:rPr>
        <w:t>]</w:t>
      </w:r>
      <w:r w:rsidR="00C27FF9">
        <w:rPr>
          <w:szCs w:val="28"/>
        </w:rPr>
        <w:t xml:space="preserve"> </w:t>
      </w:r>
      <w:r w:rsidRPr="0089784C">
        <w:rPr>
          <w:szCs w:val="28"/>
        </w:rPr>
        <w:t>Report from the Commission on the application of council recommendation of 12 July 1999 (1999/519/EC) on the limitation of the exposure of the general public to electromagnetic fields (0 Hz to 300 GHz), Second Implementation Report 2002-2007.</w:t>
      </w:r>
    </w:p>
    <w:p w14:paraId="7717E00C" w14:textId="5ADE0905" w:rsidR="007C198E" w:rsidRPr="00C27FF9" w:rsidRDefault="007C198E" w:rsidP="00C27FF9">
      <w:pPr>
        <w:spacing w:after="60"/>
        <w:rPr>
          <w:color w:val="000000"/>
          <w:szCs w:val="28"/>
        </w:rPr>
      </w:pPr>
    </w:p>
    <w:p w14:paraId="69FB1209" w14:textId="77777777" w:rsidR="007C198E" w:rsidRDefault="007C198E" w:rsidP="007C198E">
      <w:pPr>
        <w:pStyle w:val="ListParagraph"/>
        <w:spacing w:after="60"/>
        <w:ind w:left="928"/>
        <w:rPr>
          <w:color w:val="000000"/>
          <w:szCs w:val="28"/>
        </w:rPr>
      </w:pPr>
    </w:p>
    <w:p w14:paraId="5FEFCFD7" w14:textId="77777777" w:rsidR="007C198E" w:rsidRPr="002C0D10" w:rsidRDefault="007C198E" w:rsidP="007C198E">
      <w:pPr>
        <w:pStyle w:val="ListParagraph"/>
        <w:spacing w:after="60"/>
        <w:ind w:left="928"/>
        <w:rPr>
          <w:color w:val="000000"/>
          <w:sz w:val="24"/>
        </w:rPr>
      </w:pPr>
      <w:r w:rsidRPr="002C0D10">
        <w:rPr>
          <w:color w:val="000000"/>
          <w:sz w:val="24"/>
        </w:rPr>
        <w:t>Д-р инж. Росен Иванов Цветков</w:t>
      </w:r>
    </w:p>
    <w:p w14:paraId="0E054C84" w14:textId="3DAD2792" w:rsidR="007C198E" w:rsidRPr="002C0D10" w:rsidRDefault="007C198E" w:rsidP="007C198E">
      <w:pPr>
        <w:pStyle w:val="ListParagraph"/>
        <w:spacing w:after="60"/>
        <w:ind w:left="928"/>
        <w:rPr>
          <w:color w:val="000000"/>
          <w:sz w:val="24"/>
        </w:rPr>
      </w:pPr>
      <w:r w:rsidRPr="002C0D10">
        <w:rPr>
          <w:color w:val="000000"/>
          <w:sz w:val="24"/>
        </w:rPr>
        <w:t>„НВУ“ Васил Левски</w:t>
      </w:r>
      <w:r>
        <w:rPr>
          <w:color w:val="000000"/>
          <w:sz w:val="24"/>
          <w:lang w:val="en-US"/>
        </w:rPr>
        <w:t xml:space="preserve"> </w:t>
      </w:r>
      <w:r w:rsidR="00A42868">
        <w:rPr>
          <w:color w:val="000000"/>
          <w:sz w:val="24"/>
        </w:rPr>
        <w:t xml:space="preserve">главен </w:t>
      </w:r>
      <w:r>
        <w:rPr>
          <w:color w:val="000000"/>
          <w:sz w:val="24"/>
        </w:rPr>
        <w:t>асистент катедра „КИС“</w:t>
      </w:r>
    </w:p>
    <w:p w14:paraId="7C551C85" w14:textId="77777777" w:rsidR="007C198E" w:rsidRPr="002C0D10" w:rsidRDefault="007C198E" w:rsidP="007C198E">
      <w:pPr>
        <w:pStyle w:val="ListParagraph"/>
        <w:spacing w:after="60"/>
        <w:ind w:left="928"/>
        <w:rPr>
          <w:color w:val="000000"/>
          <w:sz w:val="24"/>
          <w:lang w:val="en-US"/>
        </w:rPr>
      </w:pPr>
      <w:r w:rsidRPr="002C0D10">
        <w:rPr>
          <w:color w:val="000000"/>
          <w:sz w:val="24"/>
        </w:rPr>
        <w:t xml:space="preserve">Гр.Севлиево ул.Атанас Влаев №2, тел.0887316763 </w:t>
      </w:r>
      <w:r w:rsidRPr="002C0D10">
        <w:rPr>
          <w:color w:val="000000"/>
          <w:sz w:val="24"/>
          <w:lang w:val="en-US"/>
        </w:rPr>
        <w:t>email rosensoft@abv.bg</w:t>
      </w:r>
    </w:p>
    <w:p w14:paraId="2A98A3CA" w14:textId="77777777" w:rsidR="007C198E" w:rsidRDefault="007C198E" w:rsidP="007B3CB6">
      <w:pPr>
        <w:spacing w:after="100" w:afterAutospacing="1"/>
        <w:jc w:val="both"/>
        <w:rPr>
          <w:szCs w:val="28"/>
        </w:rPr>
      </w:pPr>
    </w:p>
    <w:p w14:paraId="0ED2A89F" w14:textId="77777777" w:rsidR="00476293" w:rsidRDefault="00476293" w:rsidP="00476293">
      <w:pPr>
        <w:jc w:val="both"/>
        <w:rPr>
          <w:szCs w:val="28"/>
        </w:rPr>
      </w:pPr>
    </w:p>
    <w:sectPr w:rsidR="00476293"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DC2A7" w14:textId="77777777" w:rsidR="006353D2" w:rsidRDefault="006353D2" w:rsidP="00A0193A">
      <w:r>
        <w:separator/>
      </w:r>
    </w:p>
  </w:endnote>
  <w:endnote w:type="continuationSeparator" w:id="0">
    <w:p w14:paraId="2D0E9A60" w14:textId="77777777" w:rsidR="006353D2" w:rsidRDefault="006353D2"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AD296" w14:textId="77777777" w:rsidR="006353D2" w:rsidRDefault="006353D2" w:rsidP="00A0193A">
      <w:r>
        <w:separator/>
      </w:r>
    </w:p>
  </w:footnote>
  <w:footnote w:type="continuationSeparator" w:id="0">
    <w:p w14:paraId="7036DCCF" w14:textId="77777777" w:rsidR="006353D2" w:rsidRDefault="006353D2"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3D424973"/>
    <w:multiLevelType w:val="multilevel"/>
    <w:tmpl w:val="21228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6D00AB"/>
    <w:multiLevelType w:val="multilevel"/>
    <w:tmpl w:val="A3E65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9363235">
    <w:abstractNumId w:val="0"/>
  </w:num>
  <w:num w:numId="2" w16cid:durableId="102312536">
    <w:abstractNumId w:val="2"/>
  </w:num>
  <w:num w:numId="3" w16cid:durableId="17232893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51D66"/>
    <w:rsid w:val="000621FF"/>
    <w:rsid w:val="0007387D"/>
    <w:rsid w:val="000B2FA3"/>
    <w:rsid w:val="00121F6A"/>
    <w:rsid w:val="00124CF7"/>
    <w:rsid w:val="00127C45"/>
    <w:rsid w:val="001537E6"/>
    <w:rsid w:val="00155CA9"/>
    <w:rsid w:val="001712CF"/>
    <w:rsid w:val="001B5649"/>
    <w:rsid w:val="001E6585"/>
    <w:rsid w:val="001F6E53"/>
    <w:rsid w:val="00210521"/>
    <w:rsid w:val="00226429"/>
    <w:rsid w:val="0022685B"/>
    <w:rsid w:val="00237706"/>
    <w:rsid w:val="00241969"/>
    <w:rsid w:val="00245689"/>
    <w:rsid w:val="002459E0"/>
    <w:rsid w:val="002521A9"/>
    <w:rsid w:val="002565CF"/>
    <w:rsid w:val="0026135C"/>
    <w:rsid w:val="00261DCD"/>
    <w:rsid w:val="00274819"/>
    <w:rsid w:val="00276C0F"/>
    <w:rsid w:val="002A7C9B"/>
    <w:rsid w:val="002B00F1"/>
    <w:rsid w:val="002B1FEE"/>
    <w:rsid w:val="003004BD"/>
    <w:rsid w:val="00371186"/>
    <w:rsid w:val="003736F8"/>
    <w:rsid w:val="00386A6A"/>
    <w:rsid w:val="003B1F44"/>
    <w:rsid w:val="003E4E40"/>
    <w:rsid w:val="00415DF1"/>
    <w:rsid w:val="00476293"/>
    <w:rsid w:val="004F589D"/>
    <w:rsid w:val="00503623"/>
    <w:rsid w:val="00534842"/>
    <w:rsid w:val="00580671"/>
    <w:rsid w:val="00596D79"/>
    <w:rsid w:val="005B25DC"/>
    <w:rsid w:val="005B282B"/>
    <w:rsid w:val="005C35F1"/>
    <w:rsid w:val="005D7184"/>
    <w:rsid w:val="006353D2"/>
    <w:rsid w:val="0068049F"/>
    <w:rsid w:val="0068074F"/>
    <w:rsid w:val="00686EAC"/>
    <w:rsid w:val="00694543"/>
    <w:rsid w:val="006A7C1E"/>
    <w:rsid w:val="006D7048"/>
    <w:rsid w:val="006F2052"/>
    <w:rsid w:val="007041A3"/>
    <w:rsid w:val="00710DE2"/>
    <w:rsid w:val="00763C2E"/>
    <w:rsid w:val="0077663F"/>
    <w:rsid w:val="007973BD"/>
    <w:rsid w:val="007B3CB6"/>
    <w:rsid w:val="007B5909"/>
    <w:rsid w:val="007B686C"/>
    <w:rsid w:val="007C198E"/>
    <w:rsid w:val="007E2105"/>
    <w:rsid w:val="008129C2"/>
    <w:rsid w:val="00842C7F"/>
    <w:rsid w:val="008652CB"/>
    <w:rsid w:val="00877F5E"/>
    <w:rsid w:val="008B22A4"/>
    <w:rsid w:val="008B7B8F"/>
    <w:rsid w:val="008C7A58"/>
    <w:rsid w:val="008D1109"/>
    <w:rsid w:val="009003B5"/>
    <w:rsid w:val="00901270"/>
    <w:rsid w:val="009102B7"/>
    <w:rsid w:val="0091243D"/>
    <w:rsid w:val="00925081"/>
    <w:rsid w:val="009375B6"/>
    <w:rsid w:val="00940E4A"/>
    <w:rsid w:val="00957EAF"/>
    <w:rsid w:val="009605D7"/>
    <w:rsid w:val="00967173"/>
    <w:rsid w:val="0098344D"/>
    <w:rsid w:val="00996456"/>
    <w:rsid w:val="009B47A1"/>
    <w:rsid w:val="009E6451"/>
    <w:rsid w:val="009F29F2"/>
    <w:rsid w:val="009F6B0F"/>
    <w:rsid w:val="00A0193A"/>
    <w:rsid w:val="00A13E91"/>
    <w:rsid w:val="00A42868"/>
    <w:rsid w:val="00A86955"/>
    <w:rsid w:val="00A8717A"/>
    <w:rsid w:val="00B245AD"/>
    <w:rsid w:val="00B3091F"/>
    <w:rsid w:val="00B41AF1"/>
    <w:rsid w:val="00B601CF"/>
    <w:rsid w:val="00B9433C"/>
    <w:rsid w:val="00B97CDE"/>
    <w:rsid w:val="00BC2FB1"/>
    <w:rsid w:val="00BD084C"/>
    <w:rsid w:val="00C27FF9"/>
    <w:rsid w:val="00C46C28"/>
    <w:rsid w:val="00CA7C37"/>
    <w:rsid w:val="00CB7B8B"/>
    <w:rsid w:val="00CF19F3"/>
    <w:rsid w:val="00D1767C"/>
    <w:rsid w:val="00D52995"/>
    <w:rsid w:val="00D940F8"/>
    <w:rsid w:val="00DF315E"/>
    <w:rsid w:val="00E019C5"/>
    <w:rsid w:val="00E0218D"/>
    <w:rsid w:val="00E0714D"/>
    <w:rsid w:val="00E16576"/>
    <w:rsid w:val="00E26ABF"/>
    <w:rsid w:val="00E746D1"/>
    <w:rsid w:val="00E766EE"/>
    <w:rsid w:val="00E8797D"/>
    <w:rsid w:val="00EA28F3"/>
    <w:rsid w:val="00EA48CD"/>
    <w:rsid w:val="00ED1FBC"/>
    <w:rsid w:val="00EF5F53"/>
    <w:rsid w:val="00F0297C"/>
    <w:rsid w:val="00F43811"/>
    <w:rsid w:val="00F4696C"/>
    <w:rsid w:val="00F64D1C"/>
    <w:rsid w:val="00F814FB"/>
    <w:rsid w:val="00F930D7"/>
    <w:rsid w:val="00FC0B34"/>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FC0B34"/>
    <w:pPr>
      <w:keepNext/>
      <w:shd w:val="clear" w:color="auto" w:fill="FFFFFF"/>
      <w:spacing w:after="0" w:line="240" w:lineRule="auto"/>
      <w:jc w:val="center"/>
      <w:outlineLvl w:val="0"/>
    </w:pPr>
    <w:rPr>
      <w:rFonts w:ascii="Times New Roman" w:hAnsi="Times New Roman" w:cs="Times New Roman"/>
      <w:caps/>
      <w:color w:val="000000" w:themeColor="text1"/>
      <w:sz w:val="20"/>
      <w:szCs w:val="20"/>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C0B34"/>
    <w:rPr>
      <w:rFonts w:ascii="Times New Roman" w:hAnsi="Times New Roman" w:cs="Times New Roman"/>
      <w:caps/>
      <w:color w:val="000000" w:themeColor="text1"/>
      <w:sz w:val="20"/>
      <w:szCs w:val="20"/>
      <w:shd w:val="clear" w:color="auto" w:fill="FFFFFF"/>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5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paragraph" w:customStyle="1" w:styleId="ds-markdown-paragraph">
    <w:name w:val="ds-markdown-paragraph"/>
    <w:basedOn w:val="Normal"/>
    <w:rsid w:val="007C198E"/>
    <w:pPr>
      <w:spacing w:before="100" w:beforeAutospacing="1" w:after="100" w:afterAutospacing="1"/>
    </w:pPr>
    <w:rPr>
      <w:sz w:val="24"/>
    </w:rPr>
  </w:style>
  <w:style w:type="character" w:customStyle="1" w:styleId="a-size-large">
    <w:name w:val="a-size-large"/>
    <w:basedOn w:val="DefaultParagraphFont"/>
    <w:rsid w:val="005B282B"/>
  </w:style>
  <w:style w:type="character" w:customStyle="1" w:styleId="mw-page-title-main">
    <w:name w:val="mw-page-title-main"/>
    <w:basedOn w:val="DefaultParagraphFont"/>
    <w:rsid w:val="00FC0B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1477</Words>
  <Characters>8425</Characters>
  <Application>Microsoft Office Word</Application>
  <DocSecurity>0</DocSecurity>
  <Lines>70</Lines>
  <Paragraphs>19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somcho somchev</cp:lastModifiedBy>
  <cp:revision>2</cp:revision>
  <dcterms:created xsi:type="dcterms:W3CDTF">2026-09-12T16:44:00Z</dcterms:created>
  <dcterms:modified xsi:type="dcterms:W3CDTF">2026-09-12T16:44:00Z</dcterms:modified>
</cp:coreProperties>
</file>