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E7E26" w14:textId="5747D10B" w:rsidR="008D1109" w:rsidRPr="00471759" w:rsidRDefault="00471759" w:rsidP="00471759">
      <w:pPr>
        <w:jc w:val="center"/>
        <w:rPr>
          <w:b/>
          <w:bCs/>
          <w:sz w:val="32"/>
          <w:szCs w:val="32"/>
        </w:rPr>
      </w:pPr>
      <w:r w:rsidRPr="00471759">
        <w:rPr>
          <w:b/>
          <w:bCs/>
          <w:sz w:val="32"/>
          <w:szCs w:val="32"/>
        </w:rPr>
        <w:t>АРХИТЕКТУРА, ФУНКЦИОНАЛЕН МОДЕЛ, ТЕХНОЛОГИЧНА ИНФРАСТРУКТУРА И ОПЕРАТИВНИ ПРОЦЕДУРИ</w:t>
      </w:r>
      <w:r>
        <w:rPr>
          <w:b/>
          <w:bCs/>
          <w:sz w:val="32"/>
          <w:szCs w:val="32"/>
        </w:rPr>
        <w:t xml:space="preserve"> </w:t>
      </w:r>
      <w:r w:rsidRPr="00471759">
        <w:rPr>
          <w:b/>
          <w:bCs/>
          <w:sz w:val="32"/>
          <w:szCs w:val="32"/>
        </w:rPr>
        <w:t>НА НАЦИОНАЛНАТА СИСТЕМА 112</w:t>
      </w:r>
    </w:p>
    <w:p w14:paraId="2E7EBC72" w14:textId="77777777" w:rsidR="003B4BBC" w:rsidRDefault="003B4BBC" w:rsidP="00E019C5">
      <w:pPr>
        <w:jc w:val="center"/>
        <w:rPr>
          <w:szCs w:val="28"/>
        </w:rPr>
      </w:pPr>
    </w:p>
    <w:p w14:paraId="0D80780B" w14:textId="7B988FE5" w:rsidR="008D1109" w:rsidRDefault="00471759" w:rsidP="00E019C5">
      <w:pPr>
        <w:jc w:val="center"/>
        <w:rPr>
          <w:b/>
          <w:bCs/>
          <w:sz w:val="32"/>
          <w:szCs w:val="32"/>
        </w:rPr>
      </w:pPr>
      <w:r>
        <w:rPr>
          <w:b/>
          <w:bCs/>
          <w:sz w:val="32"/>
          <w:szCs w:val="32"/>
        </w:rPr>
        <w:t>Нефизе Мехмедали</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7291CB32" w14:textId="2BB6DFE3" w:rsidR="003B4BBC" w:rsidRDefault="00471759" w:rsidP="00471759">
      <w:pPr>
        <w:jc w:val="center"/>
        <w:rPr>
          <w:b/>
          <w:bCs/>
          <w:szCs w:val="28"/>
        </w:rPr>
      </w:pPr>
      <w:r w:rsidRPr="00471759">
        <w:rPr>
          <w:b/>
          <w:bCs/>
          <w:sz w:val="32"/>
          <w:szCs w:val="32"/>
        </w:rPr>
        <w:t>ARCHITECTURE, FUNCTIONAL MODEL, TECHNOLOGICAL INFRASTRUCTURE, AND OPERATIONAL PROCEDURES OF THE NATIONAL 112 SYSTEM</w:t>
      </w:r>
    </w:p>
    <w:p w14:paraId="22751C3F" w14:textId="2A3FBF33" w:rsidR="008D1109" w:rsidRDefault="008D1109" w:rsidP="00E019C5">
      <w:pPr>
        <w:jc w:val="center"/>
        <w:rPr>
          <w:szCs w:val="28"/>
          <w:lang w:val="en-US"/>
        </w:rPr>
      </w:pPr>
    </w:p>
    <w:p w14:paraId="0539B7B2" w14:textId="15062672" w:rsidR="003B4BBC" w:rsidRPr="0010060B" w:rsidRDefault="00471759" w:rsidP="003B4BBC">
      <w:pPr>
        <w:spacing w:before="100" w:beforeAutospacing="1" w:after="100" w:afterAutospacing="1"/>
        <w:contextualSpacing/>
        <w:jc w:val="center"/>
        <w:rPr>
          <w:szCs w:val="28"/>
        </w:rPr>
      </w:pPr>
      <w:r>
        <w:rPr>
          <w:b/>
          <w:bCs/>
          <w:sz w:val="32"/>
          <w:szCs w:val="32"/>
          <w:lang w:val="en-US"/>
        </w:rPr>
        <w:t>Nefize Mehmedali</w:t>
      </w:r>
      <w:r w:rsidR="003B4BBC">
        <w:rPr>
          <w:b/>
          <w:bCs/>
          <w:sz w:val="32"/>
          <w:szCs w:val="32"/>
          <w:lang w:val="en-US"/>
        </w:rPr>
        <w:t xml:space="preserve"> </w:t>
      </w:r>
    </w:p>
    <w:p w14:paraId="1072AA97" w14:textId="1A070D58" w:rsidR="00274819" w:rsidRDefault="00274819" w:rsidP="00E019C5">
      <w:pPr>
        <w:jc w:val="center"/>
        <w:rPr>
          <w:szCs w:val="28"/>
          <w:lang w:val="en-US"/>
        </w:rPr>
      </w:pPr>
    </w:p>
    <w:p w14:paraId="1B979C13" w14:textId="27FDAEF2" w:rsidR="00274819" w:rsidRPr="00213595" w:rsidRDefault="003B4BBC" w:rsidP="003004BD">
      <w:pPr>
        <w:ind w:firstLine="567"/>
        <w:jc w:val="both"/>
        <w:rPr>
          <w:i/>
          <w:iCs/>
          <w:sz w:val="24"/>
          <w:lang w:val="en-US"/>
        </w:rPr>
      </w:pPr>
      <w:r w:rsidRPr="0010060B">
        <w:rPr>
          <w:b/>
          <w:bCs/>
          <w:i/>
          <w:iCs/>
          <w:sz w:val="24"/>
        </w:rPr>
        <w:t>Резюме:</w:t>
      </w:r>
      <w:r w:rsidRPr="0010060B">
        <w:rPr>
          <w:i/>
          <w:iCs/>
          <w:sz w:val="24"/>
        </w:rPr>
        <w:t xml:space="preserve"> </w:t>
      </w:r>
      <w:r w:rsidR="00471759" w:rsidRPr="00471759">
        <w:rPr>
          <w:i/>
          <w:iCs/>
          <w:sz w:val="24"/>
        </w:rPr>
        <w:t xml:space="preserve">Настоящият доклад разглежда архитектурата, функционалния модел, технологичната инфраструктура и оперативните процедури на Националната система за спешни повиквания с единен европейски номер 112 в Република България. Анализирани са нормативните, институционалните и организационните основи на системата, структурата на районните центрове и взаимодействието със службите за спешно реагиране. Специално внимание е отделено на технологичната архитектура, автоматизираното разпределение на повикванията, системите за управление на инциденти, географските информационни системи и съвременните </w:t>
      </w:r>
      <w:proofErr w:type="spellStart"/>
      <w:r w:rsidR="00471759" w:rsidRPr="00471759">
        <w:rPr>
          <w:i/>
          <w:iCs/>
          <w:sz w:val="24"/>
        </w:rPr>
        <w:t>локализационни</w:t>
      </w:r>
      <w:proofErr w:type="spellEnd"/>
      <w:r w:rsidR="00471759" w:rsidRPr="00471759">
        <w:rPr>
          <w:i/>
          <w:iCs/>
          <w:sz w:val="24"/>
        </w:rPr>
        <w:t xml:space="preserve"> технологии </w:t>
      </w:r>
      <w:proofErr w:type="spellStart"/>
      <w:r w:rsidR="00471759" w:rsidRPr="00471759">
        <w:rPr>
          <w:i/>
          <w:iCs/>
          <w:sz w:val="24"/>
        </w:rPr>
        <w:t>Cell</w:t>
      </w:r>
      <w:proofErr w:type="spellEnd"/>
      <w:r w:rsidR="00471759" w:rsidRPr="00471759">
        <w:rPr>
          <w:i/>
          <w:iCs/>
          <w:sz w:val="24"/>
        </w:rPr>
        <w:t xml:space="preserve">-ID, AML и </w:t>
      </w:r>
      <w:proofErr w:type="spellStart"/>
      <w:r w:rsidR="00471759" w:rsidRPr="00471759">
        <w:rPr>
          <w:i/>
          <w:iCs/>
          <w:sz w:val="24"/>
        </w:rPr>
        <w:t>eCall</w:t>
      </w:r>
      <w:proofErr w:type="spellEnd"/>
      <w:r w:rsidR="00471759" w:rsidRPr="00471759">
        <w:rPr>
          <w:i/>
          <w:iCs/>
          <w:sz w:val="24"/>
        </w:rPr>
        <w:t>. Обоснована е необходимостта от последователна технологична модернизация за повишаване на оперативната ефективност, устойчивостта и качеството на спешното реагиране.</w:t>
      </w:r>
    </w:p>
    <w:p w14:paraId="29DBD415" w14:textId="71640005" w:rsidR="00274819" w:rsidRDefault="00274819" w:rsidP="003004BD">
      <w:pPr>
        <w:ind w:firstLine="567"/>
        <w:jc w:val="both"/>
        <w:rPr>
          <w:szCs w:val="28"/>
        </w:rPr>
      </w:pPr>
    </w:p>
    <w:p w14:paraId="2461AA37" w14:textId="13AB7A1B" w:rsidR="00274819" w:rsidRPr="005022FD" w:rsidRDefault="00274819" w:rsidP="003004BD">
      <w:pPr>
        <w:ind w:firstLine="567"/>
        <w:jc w:val="both"/>
        <w:rPr>
          <w:i/>
          <w:iCs/>
          <w:sz w:val="24"/>
          <w:lang w:val="en-US"/>
        </w:rPr>
      </w:pPr>
      <w:r>
        <w:rPr>
          <w:b/>
          <w:bCs/>
          <w:i/>
          <w:iCs/>
          <w:sz w:val="24"/>
        </w:rPr>
        <w:t>Ключови думи:</w:t>
      </w:r>
      <w:r>
        <w:rPr>
          <w:i/>
          <w:iCs/>
          <w:sz w:val="24"/>
        </w:rPr>
        <w:t xml:space="preserve"> </w:t>
      </w:r>
      <w:r w:rsidR="00471759" w:rsidRPr="00471759">
        <w:rPr>
          <w:i/>
          <w:iCs/>
          <w:sz w:val="24"/>
        </w:rPr>
        <w:t>Национална система 112, спешни повиквания, технологич</w:t>
      </w:r>
      <w:r w:rsidR="00471759">
        <w:rPr>
          <w:i/>
          <w:iCs/>
          <w:sz w:val="24"/>
        </w:rPr>
        <w:t>на архитектура</w:t>
      </w:r>
    </w:p>
    <w:p w14:paraId="14068DE0" w14:textId="5A7D97ED" w:rsidR="00274819" w:rsidRDefault="00274819" w:rsidP="003004BD">
      <w:pPr>
        <w:ind w:firstLine="567"/>
        <w:jc w:val="both"/>
        <w:rPr>
          <w:szCs w:val="28"/>
        </w:rPr>
      </w:pPr>
    </w:p>
    <w:p w14:paraId="1F3A38DD" w14:textId="12815B49" w:rsidR="00274819" w:rsidRPr="00471759" w:rsidRDefault="003B4BBC" w:rsidP="003004BD">
      <w:pPr>
        <w:ind w:firstLine="567"/>
        <w:jc w:val="both"/>
        <w:rPr>
          <w:i/>
          <w:iCs/>
          <w:sz w:val="24"/>
        </w:rPr>
      </w:pPr>
      <w:r w:rsidRPr="003B4BBC">
        <w:rPr>
          <w:b/>
          <w:bCs/>
          <w:i/>
          <w:iCs/>
          <w:sz w:val="24"/>
          <w:lang w:val="en-US"/>
        </w:rPr>
        <w:t xml:space="preserve">Abstract: </w:t>
      </w:r>
      <w:r w:rsidR="00471759" w:rsidRPr="00471759">
        <w:rPr>
          <w:bCs/>
          <w:i/>
          <w:iCs/>
          <w:sz w:val="24"/>
          <w:lang w:val="en-US"/>
        </w:rPr>
        <w:t>This report examines the architecture, functional model, technological infrastructure, and operational procedures of the National Emergency Call System (using the single European number 112) in the Republic of Bulgaria. It analyzes the system's regulatory, institutional, and organizational foundations, the structure of regional centers, and the interaction with emergency response services. Special attention is paid to the technological architecture, automated call distribution, incident management systems, geographic information systems, and modern location technologies such as Cell-ID, AML, and eCall. The report substantiates the need for continuous technological modernization to enhance operational efficiency, resilience, and the quality of emergency response.</w:t>
      </w:r>
    </w:p>
    <w:p w14:paraId="42E0ACE4" w14:textId="405591FA" w:rsidR="00274819" w:rsidRPr="00274819" w:rsidRDefault="00274819" w:rsidP="003004BD">
      <w:pPr>
        <w:ind w:firstLine="567"/>
        <w:jc w:val="both"/>
        <w:rPr>
          <w:szCs w:val="28"/>
          <w:lang w:val="en-US"/>
        </w:rPr>
      </w:pPr>
    </w:p>
    <w:p w14:paraId="2DCDF3EC" w14:textId="06EC1382" w:rsidR="00274819" w:rsidRPr="005022FD" w:rsidRDefault="00274819" w:rsidP="003004BD">
      <w:pPr>
        <w:ind w:firstLine="567"/>
        <w:jc w:val="both"/>
        <w:rPr>
          <w:i/>
          <w:iCs/>
          <w:sz w:val="24"/>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471759" w:rsidRPr="00471759">
        <w:rPr>
          <w:i/>
          <w:iCs/>
          <w:sz w:val="24"/>
        </w:rPr>
        <w:t xml:space="preserve">National 112 </w:t>
      </w:r>
      <w:proofErr w:type="spellStart"/>
      <w:r w:rsidR="00471759" w:rsidRPr="00471759">
        <w:rPr>
          <w:i/>
          <w:iCs/>
          <w:sz w:val="24"/>
        </w:rPr>
        <w:t>system</w:t>
      </w:r>
      <w:proofErr w:type="spellEnd"/>
      <w:r w:rsidR="00471759" w:rsidRPr="00471759">
        <w:rPr>
          <w:i/>
          <w:iCs/>
          <w:sz w:val="24"/>
        </w:rPr>
        <w:t xml:space="preserve">, </w:t>
      </w:r>
      <w:proofErr w:type="spellStart"/>
      <w:r w:rsidR="00471759" w:rsidRPr="00471759">
        <w:rPr>
          <w:i/>
          <w:iCs/>
          <w:sz w:val="24"/>
        </w:rPr>
        <w:t>emergency</w:t>
      </w:r>
      <w:proofErr w:type="spellEnd"/>
      <w:r w:rsidR="00471759" w:rsidRPr="00471759">
        <w:rPr>
          <w:i/>
          <w:iCs/>
          <w:sz w:val="24"/>
        </w:rPr>
        <w:t xml:space="preserve"> </w:t>
      </w:r>
      <w:proofErr w:type="spellStart"/>
      <w:r w:rsidR="00471759" w:rsidRPr="00471759">
        <w:rPr>
          <w:i/>
          <w:iCs/>
          <w:sz w:val="24"/>
        </w:rPr>
        <w:t>calls</w:t>
      </w:r>
      <w:proofErr w:type="spellEnd"/>
      <w:r w:rsidR="00471759" w:rsidRPr="00471759">
        <w:rPr>
          <w:i/>
          <w:iCs/>
          <w:sz w:val="24"/>
        </w:rPr>
        <w:t xml:space="preserve">, </w:t>
      </w:r>
      <w:proofErr w:type="spellStart"/>
      <w:r w:rsidR="00471759" w:rsidRPr="00471759">
        <w:rPr>
          <w:i/>
          <w:iCs/>
          <w:sz w:val="24"/>
        </w:rPr>
        <w:t>technological</w:t>
      </w:r>
      <w:proofErr w:type="spellEnd"/>
      <w:r w:rsidR="00471759" w:rsidRPr="00471759">
        <w:rPr>
          <w:i/>
          <w:iCs/>
          <w:sz w:val="24"/>
        </w:rPr>
        <w:t xml:space="preserve"> </w:t>
      </w:r>
      <w:proofErr w:type="spellStart"/>
      <w:r w:rsidR="00471759" w:rsidRPr="00471759">
        <w:rPr>
          <w:i/>
          <w:iCs/>
          <w:sz w:val="24"/>
        </w:rPr>
        <w:t>architecture</w:t>
      </w:r>
      <w:proofErr w:type="spellEnd"/>
    </w:p>
    <w:p w14:paraId="023C3CE7" w14:textId="2B740211" w:rsidR="00274819" w:rsidRPr="009605D7" w:rsidRDefault="00274819" w:rsidP="003004BD">
      <w:pPr>
        <w:ind w:firstLine="567"/>
        <w:rPr>
          <w:szCs w:val="28"/>
          <w:lang w:val="ru-RU"/>
        </w:rPr>
      </w:pPr>
    </w:p>
    <w:p w14:paraId="1C801EAB" w14:textId="77777777" w:rsidR="00A86955" w:rsidRPr="004C7433" w:rsidRDefault="00A86955" w:rsidP="003004BD">
      <w:pPr>
        <w:ind w:firstLine="567"/>
        <w:rPr>
          <w:szCs w:val="28"/>
        </w:rPr>
      </w:pPr>
    </w:p>
    <w:p w14:paraId="2F1B9C8B" w14:textId="77777777" w:rsidR="00D45D68" w:rsidRPr="00D45D68" w:rsidRDefault="00D45D68" w:rsidP="001622BD">
      <w:pPr>
        <w:ind w:firstLine="567"/>
        <w:jc w:val="both"/>
        <w:rPr>
          <w:b/>
          <w:bCs/>
          <w:szCs w:val="28"/>
        </w:rPr>
      </w:pPr>
      <w:r w:rsidRPr="00D45D68">
        <w:rPr>
          <w:b/>
          <w:bCs/>
          <w:szCs w:val="28"/>
        </w:rPr>
        <w:t>Въведение</w:t>
      </w:r>
    </w:p>
    <w:p w14:paraId="15A14900" w14:textId="77777777" w:rsidR="004C7433" w:rsidRPr="004C7433" w:rsidRDefault="004C7433" w:rsidP="001622BD">
      <w:pPr>
        <w:pStyle w:val="af1"/>
        <w:spacing w:before="0" w:beforeAutospacing="0" w:after="0" w:afterAutospacing="0"/>
        <w:ind w:firstLine="546"/>
        <w:contextualSpacing/>
        <w:jc w:val="both"/>
        <w:rPr>
          <w:sz w:val="28"/>
          <w:szCs w:val="28"/>
        </w:rPr>
      </w:pPr>
      <w:r w:rsidRPr="004C7433">
        <w:rPr>
          <w:sz w:val="28"/>
          <w:szCs w:val="28"/>
        </w:rPr>
        <w:t>Съвременната система за защита на населението при инциденти, аварии, бедствия и други ситуации, създаващи непосредствен риск за живота, здравето, сигурността и имуществото, е пряко зависима от способността на държавата да осигурява бързо приемане, обработване и насочване на спешната информация към компетентните служби. В Република България тази функция се реализира чрез Националната система за спешни повиквания с единен европейски номер 112 (НС 112), която представлява интегрирана организационна, комуникационна и информационна среда за осигуряване на достъп до службите за спешно реагиране. Нейното функциониране е нормативно регламентирано със Закона за Националната система за спешни повиквания с единен европейски номер 112 и е свързано с изискванията на Закона за електронните съобщения и Закона за защита при бедствия [1–3].</w:t>
      </w:r>
    </w:p>
    <w:p w14:paraId="565417D0" w14:textId="77777777" w:rsidR="004C7433" w:rsidRPr="004C7433" w:rsidRDefault="004C7433" w:rsidP="001622BD">
      <w:pPr>
        <w:pStyle w:val="af1"/>
        <w:spacing w:before="0" w:beforeAutospacing="0" w:after="0" w:afterAutospacing="0"/>
        <w:ind w:firstLine="546"/>
        <w:contextualSpacing/>
        <w:jc w:val="both"/>
        <w:rPr>
          <w:sz w:val="28"/>
          <w:szCs w:val="28"/>
        </w:rPr>
      </w:pPr>
      <w:r w:rsidRPr="004C7433">
        <w:rPr>
          <w:sz w:val="28"/>
          <w:szCs w:val="28"/>
        </w:rPr>
        <w:t>Развитието на НС 112 следва общоевропейската концепция за предоставяне на достъп до спешни служби чрез единния номер 112. Директива (ЕС) 2018/1972 за създаване на Европейски кодекс за електронни съобщения установява нормативната рамка относно достъпа до спешни комуникации и предоставянето на информация за местоположението на викащия [4]. Наред с това обработването на лични данни в процеса на приемане и управление на спешните повиквания трябва да бъде съобразено с приложимите изисквания за защита на личните данни [5].</w:t>
      </w:r>
    </w:p>
    <w:p w14:paraId="07D38CDD" w14:textId="77777777" w:rsidR="004C7433" w:rsidRPr="004C7433" w:rsidRDefault="004C7433" w:rsidP="001622BD">
      <w:pPr>
        <w:pStyle w:val="af1"/>
        <w:spacing w:before="0" w:beforeAutospacing="0" w:after="0" w:afterAutospacing="0"/>
        <w:ind w:firstLine="546"/>
        <w:contextualSpacing/>
        <w:jc w:val="both"/>
        <w:rPr>
          <w:sz w:val="28"/>
          <w:szCs w:val="28"/>
        </w:rPr>
      </w:pPr>
      <w:r w:rsidRPr="004C7433">
        <w:rPr>
          <w:sz w:val="28"/>
          <w:szCs w:val="28"/>
        </w:rPr>
        <w:t xml:space="preserve">Технологичното развитие на електронните съобщения постепенно променя архитектурата и функционалните възможности на системите за спешни комуникации. Наред с традиционното гласово повикване все по-съществено значение придобиват прецизната автоматизирана локализация, IP-базираните комуникации, обменът на данни и възможностите за мултимедийно взаимодействие. Концепцията за </w:t>
      </w:r>
      <w:proofErr w:type="spellStart"/>
      <w:r w:rsidRPr="004C7433">
        <w:rPr>
          <w:sz w:val="28"/>
          <w:szCs w:val="28"/>
        </w:rPr>
        <w:t>Next</w:t>
      </w:r>
      <w:proofErr w:type="spellEnd"/>
      <w:r w:rsidRPr="004C7433">
        <w:rPr>
          <w:sz w:val="28"/>
          <w:szCs w:val="28"/>
        </w:rPr>
        <w:t xml:space="preserve"> </w:t>
      </w:r>
      <w:proofErr w:type="spellStart"/>
      <w:r w:rsidRPr="004C7433">
        <w:rPr>
          <w:sz w:val="28"/>
          <w:szCs w:val="28"/>
        </w:rPr>
        <w:t>Generation</w:t>
      </w:r>
      <w:proofErr w:type="spellEnd"/>
      <w:r w:rsidRPr="004C7433">
        <w:rPr>
          <w:sz w:val="28"/>
          <w:szCs w:val="28"/>
        </w:rPr>
        <w:t xml:space="preserve"> 112 (NG112) предвижда преминаване към технологична среда, позволяваща интегрирано управление на различни комуникационни канали и информационни потоци [6]. Важен компонент на тази трансформация е </w:t>
      </w:r>
      <w:proofErr w:type="spellStart"/>
      <w:r w:rsidRPr="004C7433">
        <w:rPr>
          <w:sz w:val="28"/>
          <w:szCs w:val="28"/>
        </w:rPr>
        <w:t>Advanced</w:t>
      </w:r>
      <w:proofErr w:type="spellEnd"/>
      <w:r w:rsidRPr="004C7433">
        <w:rPr>
          <w:sz w:val="28"/>
          <w:szCs w:val="28"/>
        </w:rPr>
        <w:t xml:space="preserve"> </w:t>
      </w:r>
      <w:proofErr w:type="spellStart"/>
      <w:r w:rsidRPr="004C7433">
        <w:rPr>
          <w:sz w:val="28"/>
          <w:szCs w:val="28"/>
        </w:rPr>
        <w:t>Mobile</w:t>
      </w:r>
      <w:proofErr w:type="spellEnd"/>
      <w:r w:rsidRPr="004C7433">
        <w:rPr>
          <w:sz w:val="28"/>
          <w:szCs w:val="28"/>
        </w:rPr>
        <w:t xml:space="preserve"> </w:t>
      </w:r>
      <w:proofErr w:type="spellStart"/>
      <w:r w:rsidRPr="004C7433">
        <w:rPr>
          <w:sz w:val="28"/>
          <w:szCs w:val="28"/>
        </w:rPr>
        <w:t>Location</w:t>
      </w:r>
      <w:proofErr w:type="spellEnd"/>
      <w:r w:rsidRPr="004C7433">
        <w:rPr>
          <w:sz w:val="28"/>
          <w:szCs w:val="28"/>
        </w:rPr>
        <w:t xml:space="preserve"> (AML), чрез която към центровете за спешни повиквания може да бъде предоставяна по-прецизна информация за местоположението на потребителя [7]. Развитието на NG112 и свързаните оперативни модели е предмет и на специализирани препоръки на Европейската асоциация за спешни номера [8].</w:t>
      </w:r>
    </w:p>
    <w:p w14:paraId="0DF0F309" w14:textId="3D4B1BD8" w:rsidR="004C7433" w:rsidRPr="004C7433" w:rsidRDefault="004C7433" w:rsidP="001622BD">
      <w:pPr>
        <w:pStyle w:val="af1"/>
        <w:spacing w:before="0" w:beforeAutospacing="0" w:after="0" w:afterAutospacing="0"/>
        <w:ind w:firstLine="546"/>
        <w:contextualSpacing/>
        <w:jc w:val="both"/>
        <w:rPr>
          <w:sz w:val="28"/>
          <w:szCs w:val="28"/>
        </w:rPr>
      </w:pPr>
      <w:r w:rsidRPr="004C7433">
        <w:rPr>
          <w:sz w:val="28"/>
          <w:szCs w:val="28"/>
        </w:rPr>
        <w:t xml:space="preserve">В този контекст целта на настоящия доклад е да се анализират архитектурата, функционалният модел, технологичната инфраструктура и основните оперативни процедури на НС 112 в Република България. За постигането на целта се разглеждат нормативните и институционалните основи на системата, технологичните механизми за приемане, локализиране, обработване и </w:t>
      </w:r>
      <w:proofErr w:type="spellStart"/>
      <w:r w:rsidRPr="004C7433">
        <w:rPr>
          <w:sz w:val="28"/>
          <w:szCs w:val="28"/>
        </w:rPr>
        <w:t>маршрутизиране</w:t>
      </w:r>
      <w:proofErr w:type="spellEnd"/>
      <w:r w:rsidRPr="004C7433">
        <w:rPr>
          <w:sz w:val="28"/>
          <w:szCs w:val="28"/>
        </w:rPr>
        <w:t xml:space="preserve"> на спешните повиквания, взаимодействието със службите за спешно реагиране, както и механизмите за сигурност, резервираност и непрекъсваемост. Специално внимание се отделя на перспективите за развитие към NG112, внедряването на мултимедийни комуникации и потенциалното приложение на изкуствен интелект и машинно обучение за подпомагане на обработката на спешни повиквания.</w:t>
      </w:r>
    </w:p>
    <w:p w14:paraId="26EF6014" w14:textId="2ED52B9E" w:rsidR="004C7433" w:rsidRPr="004C7433" w:rsidRDefault="004C7433" w:rsidP="001622BD">
      <w:pPr>
        <w:pStyle w:val="af1"/>
        <w:spacing w:before="0" w:beforeAutospacing="0" w:after="0" w:afterAutospacing="0"/>
        <w:ind w:firstLine="546"/>
        <w:contextualSpacing/>
        <w:jc w:val="both"/>
        <w:rPr>
          <w:sz w:val="28"/>
          <w:szCs w:val="28"/>
        </w:rPr>
      </w:pPr>
      <w:r w:rsidRPr="004C7433">
        <w:rPr>
          <w:sz w:val="28"/>
          <w:szCs w:val="28"/>
        </w:rPr>
        <w:t>Обект на изследването е Националната система за спешни повиквания с единен европейски номер 112 в Република България като интегрирана организационна, информационна и комуникационна система за приемане, обработване и насочване на спешни повиквания към компетентните служби за спешно реагиране.</w:t>
      </w:r>
    </w:p>
    <w:p w14:paraId="33D5A9C3" w14:textId="4AEAE6C6" w:rsidR="004C7433" w:rsidRPr="004C7433" w:rsidRDefault="004C7433" w:rsidP="001622BD">
      <w:pPr>
        <w:pStyle w:val="af1"/>
        <w:spacing w:before="0" w:beforeAutospacing="0" w:after="0" w:afterAutospacing="0"/>
        <w:ind w:firstLine="546"/>
        <w:contextualSpacing/>
        <w:jc w:val="both"/>
        <w:rPr>
          <w:sz w:val="28"/>
          <w:szCs w:val="28"/>
        </w:rPr>
      </w:pPr>
      <w:r w:rsidRPr="004C7433">
        <w:rPr>
          <w:sz w:val="28"/>
          <w:szCs w:val="28"/>
        </w:rPr>
        <w:t xml:space="preserve">Предмет на изследването са архитектурата, функционалният модел, технологичната инфраструктура и оперативните процедури на НС 112, включително механизмите за приемане, локализиране, категоризиране и </w:t>
      </w:r>
      <w:proofErr w:type="spellStart"/>
      <w:r w:rsidRPr="004C7433">
        <w:rPr>
          <w:sz w:val="28"/>
          <w:szCs w:val="28"/>
        </w:rPr>
        <w:t>маршрутизиране</w:t>
      </w:r>
      <w:proofErr w:type="spellEnd"/>
      <w:r w:rsidRPr="004C7433">
        <w:rPr>
          <w:sz w:val="28"/>
          <w:szCs w:val="28"/>
        </w:rPr>
        <w:t xml:space="preserve"> на спешните повиквания, взаимодействието със службите за спешно реагиране, осигуряването на сигурност и устойчивост и технологичната еволюция към NG112.</w:t>
      </w:r>
    </w:p>
    <w:p w14:paraId="36E76A18" w14:textId="2077CB2C" w:rsidR="003B4BBC" w:rsidRDefault="004C7433" w:rsidP="001622BD">
      <w:pPr>
        <w:pStyle w:val="af1"/>
        <w:spacing w:before="0" w:beforeAutospacing="0" w:after="0" w:afterAutospacing="0"/>
        <w:ind w:firstLine="546"/>
        <w:contextualSpacing/>
        <w:jc w:val="both"/>
        <w:rPr>
          <w:sz w:val="28"/>
          <w:szCs w:val="28"/>
        </w:rPr>
      </w:pPr>
      <w:r w:rsidRPr="004C7433">
        <w:rPr>
          <w:sz w:val="28"/>
          <w:szCs w:val="28"/>
        </w:rPr>
        <w:t>Изследването се основава на нормативен, системен, структурно-функционален и сравнителен анализ. Подобен подход позволява НС 112 да бъде разглеждана не само като средство за приемане на спешни повиквания, а като комплексна информационно-комуникационна система, в която нормативната рамка, човешкият фактор, телекомуникационната инфраструктура, информационните технологии и оперативното взаимодействие формират единен механизъм за осигуряване на ефективно спешно реагиране.</w:t>
      </w:r>
      <w:r w:rsidR="003B4BBC" w:rsidRPr="000D0D0F">
        <w:rPr>
          <w:sz w:val="28"/>
          <w:szCs w:val="28"/>
        </w:rPr>
        <w:t>.</w:t>
      </w:r>
    </w:p>
    <w:p w14:paraId="494EA7E4" w14:textId="77777777" w:rsidR="00192717" w:rsidRDefault="00192717" w:rsidP="00192717">
      <w:pPr>
        <w:ind w:firstLine="567"/>
        <w:jc w:val="both"/>
        <w:rPr>
          <w:szCs w:val="28"/>
        </w:rPr>
      </w:pPr>
    </w:p>
    <w:p w14:paraId="08027757" w14:textId="6DB5C3A0" w:rsidR="004C7433" w:rsidRPr="004C7433" w:rsidRDefault="004C7433" w:rsidP="004C7433">
      <w:pPr>
        <w:ind w:firstLine="567"/>
        <w:jc w:val="both"/>
        <w:rPr>
          <w:rStyle w:val="af2"/>
          <w:rFonts w:eastAsiaTheme="majorEastAsia"/>
          <w:szCs w:val="28"/>
        </w:rPr>
      </w:pPr>
      <w:r w:rsidRPr="004C7433">
        <w:rPr>
          <w:rStyle w:val="af2"/>
          <w:rFonts w:eastAsiaTheme="majorEastAsia"/>
          <w:szCs w:val="28"/>
        </w:rPr>
        <w:t>1. Нормативни, институционални и организационни основи на Националната система 112</w:t>
      </w:r>
    </w:p>
    <w:p w14:paraId="27B2ACCA"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Националната система за спешни повиквания с единен европейски номер 112 представлява ключов елемент от националния механизъм за защита на живота, здравето, сигурността и имуществото на гражданите при възникване на спешни ситуации. Нейното предназначение е да осигури единна точка за достъп до службите за спешно реагиране чрез приемане, обработване и своевременно насочване на информацията за възникнал инцидент към компетентните структури. Организацията и функционирането на системата се основават на принципите на непрекъснатост, достъпност, оперативност и взаимодействие между институциите, ангажирани със спешното реагиране [1–3].</w:t>
      </w:r>
    </w:p>
    <w:p w14:paraId="45A20DC8"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Правната основа за функционирането на НС 112 в Република България се определя преди всичко от Закона за Националната система за спешни повиквания с единен европейски номер 112. Нормативната рамка се допълва от Закона за електронните съобщения и Закона за защита при бедствия, които уреждат свързани аспекти на електронните комуникации, защитата на населението и взаимодействието между компетентните институции [1–3]. На европейско равнище съществено значение има Директива (ЕС) 2018/1972 за установяване на Европейски кодекс за електронни съобщения, която регламентира достъпа до спешни комуникации и изискванията, свързани с информацията за местоположението на викащия [4].</w:t>
      </w:r>
    </w:p>
    <w:p w14:paraId="552B75C7"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Особено значение има защитата на информацията, която се обработва при приемането и управлението на спешните повиквания. Естеството на дейността предполага обработване на лични данни и информация, свързана с конкретен инцидент и неговото местоположение. Поради това информационните процеси следва да бъдат организирани при спазване на приложимата нормативна рамка за защита на личните данни, включително Регламент (ЕС) 2016/679 [5].</w:t>
      </w:r>
    </w:p>
    <w:p w14:paraId="0EEABF68"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В институционален аспект организацията на НС 112 е изградена така, че да осигурява непрекъснато приемане и обработване на спешните повиквания и последващото им насочване към съответните служби за спешно реагиране. Системата изпълнява посредническа и координационна функция между гражданина, подаващ сигнала, и компетентните структури, които разполагат с правомощията и ресурсите за непосредствена реакция. Това определя необходимостта от ясно разпределение на отговорностите, стандартизирани оперативни процедури и надеждно информационно взаимодействие между участващите институции.</w:t>
      </w:r>
    </w:p>
    <w:p w14:paraId="2D6F32AF"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Съществен елемент от организационния модел е териториалното структуриране на дейността чрез районните центрове 112. Този подход позволява обработването на спешните комуникации да бъде организирано в рамките на единна национална система, като същевременно се създават предпоставки за оперативно взаимодействие със структурите за спешно реагиране. Организационният модел е пряко свързан и с необходимостта от непрекъсваемост на дейността, тъй като достъпът до номер 112 трябва да бъде осигурен постоянно, независимо от натоварването или възникването на технически и организационни затруднения [1, 9].</w:t>
      </w:r>
    </w:p>
    <w:p w14:paraId="615BA6F1" w14:textId="0F14E5CC" w:rsidR="00B7407F" w:rsidRPr="004C7433" w:rsidRDefault="004C7433" w:rsidP="004C7433">
      <w:pPr>
        <w:ind w:firstLine="567"/>
        <w:jc w:val="both"/>
        <w:rPr>
          <w:b/>
          <w:szCs w:val="28"/>
        </w:rPr>
      </w:pPr>
      <w:r w:rsidRPr="004C7433">
        <w:rPr>
          <w:rStyle w:val="af2"/>
          <w:rFonts w:eastAsiaTheme="majorEastAsia"/>
          <w:b w:val="0"/>
          <w:szCs w:val="28"/>
        </w:rPr>
        <w:t>Следователно нормативната регламентация, институционалната организация и териториалната структура формират взаимосвързаната основа на НС 112. Тяхното ефективно функциониране създава необходимите условия за реализиране на основния оперативен процес – приемане на спешното повикване → обработване на информацията → определяне на характера на инцидента → насочване към компетентната служба за спешно реагиране. Върху тази организационна основа се изграждат технологичната архитектура и функционалният модел на системата, които определят възможностите ѝ за своевременно и надеждно управление на постъпващите спешни комуникации.</w:t>
      </w:r>
    </w:p>
    <w:p w14:paraId="54979163" w14:textId="77777777" w:rsidR="00085D68" w:rsidRDefault="00085D68" w:rsidP="00870BC5">
      <w:pPr>
        <w:ind w:firstLine="567"/>
        <w:jc w:val="both"/>
        <w:rPr>
          <w:b/>
          <w:bCs/>
          <w:szCs w:val="28"/>
        </w:rPr>
      </w:pPr>
    </w:p>
    <w:p w14:paraId="0F458A97" w14:textId="3D16A8DC" w:rsidR="004C7433" w:rsidRPr="004C7433" w:rsidRDefault="00870BC5" w:rsidP="004C7433">
      <w:pPr>
        <w:ind w:firstLine="567"/>
        <w:jc w:val="both"/>
        <w:rPr>
          <w:rStyle w:val="af2"/>
          <w:rFonts w:eastAsiaTheme="majorEastAsia"/>
          <w:szCs w:val="28"/>
        </w:rPr>
      </w:pPr>
      <w:r w:rsidRPr="00870BC5">
        <w:rPr>
          <w:b/>
          <w:bCs/>
          <w:szCs w:val="28"/>
        </w:rPr>
        <w:t xml:space="preserve">2. </w:t>
      </w:r>
      <w:r w:rsidR="004C7433" w:rsidRPr="004C7433">
        <w:rPr>
          <w:rStyle w:val="af2"/>
          <w:rFonts w:eastAsiaTheme="majorEastAsia"/>
          <w:szCs w:val="28"/>
        </w:rPr>
        <w:t>Технологична архитектура и функционален модел за обработка на спешни повиквания</w:t>
      </w:r>
      <w:r w:rsidR="004C7433">
        <w:rPr>
          <w:rStyle w:val="af2"/>
          <w:rFonts w:eastAsiaTheme="majorEastAsia"/>
          <w:szCs w:val="28"/>
        </w:rPr>
        <w:t>.</w:t>
      </w:r>
    </w:p>
    <w:p w14:paraId="036BE3D1"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Ефективното функциониране на Националната система 112 е пряко зависимо от нейната технологична архитектура, която осигурява приемането, обработването, локализирането и насочването на спешните повиквания към компетентните служби за спешно реагиране. Технологичната инфраструктура следва да се разглежда като интегрирана информационно-комуникационна среда, в която телекомуникационните ресурси, автоматизираните системи за разпределение на повикванията, географските информационни системи и средствата за управление на информацията функционират в единен оперативен процес. Именно взаимодействието между тези компоненти позволява постъпилият сигнал да бъде трансформиран от първоначално комуникационно събитие в структурирана информация, необходима за организиране на последващото спешно реагиране [1, 9].</w:t>
      </w:r>
    </w:p>
    <w:p w14:paraId="5D0F823F" w14:textId="77777777" w:rsidR="004C7433" w:rsidRPr="004C7433" w:rsidRDefault="004C7433" w:rsidP="004C7433">
      <w:pPr>
        <w:ind w:firstLine="567"/>
        <w:jc w:val="both"/>
        <w:rPr>
          <w:rStyle w:val="af2"/>
          <w:rFonts w:eastAsiaTheme="majorEastAsia"/>
          <w:b w:val="0"/>
          <w:szCs w:val="28"/>
        </w:rPr>
      </w:pPr>
    </w:p>
    <w:p w14:paraId="37048301"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 xml:space="preserve">Съществен компонент на технологичната архитектура е автоматизираното управление и разпределение на входящите повиквания. Чрез съответните комуникационни и информационни средства постъпилото повикване се приема и предоставя за обработване от оператор. Технологичният модел е ориентиран към осигуряване на непрекъснатост на обслужването, управление на комуникационния поток и възможност за взаимодействие между отделните функционални компоненти на системата. В този контекст системите от типа </w:t>
      </w:r>
      <w:proofErr w:type="spellStart"/>
      <w:r w:rsidRPr="004C7433">
        <w:rPr>
          <w:rStyle w:val="af2"/>
          <w:rFonts w:eastAsiaTheme="majorEastAsia"/>
          <w:b w:val="0"/>
          <w:szCs w:val="28"/>
        </w:rPr>
        <w:t>Automatic</w:t>
      </w:r>
      <w:proofErr w:type="spellEnd"/>
      <w:r w:rsidRPr="004C7433">
        <w:rPr>
          <w:rStyle w:val="af2"/>
          <w:rFonts w:eastAsiaTheme="majorEastAsia"/>
          <w:b w:val="0"/>
          <w:szCs w:val="28"/>
        </w:rPr>
        <w:t xml:space="preserve"> </w:t>
      </w:r>
      <w:proofErr w:type="spellStart"/>
      <w:r w:rsidRPr="004C7433">
        <w:rPr>
          <w:rStyle w:val="af2"/>
          <w:rFonts w:eastAsiaTheme="majorEastAsia"/>
          <w:b w:val="0"/>
          <w:szCs w:val="28"/>
        </w:rPr>
        <w:t>Call</w:t>
      </w:r>
      <w:proofErr w:type="spellEnd"/>
      <w:r w:rsidRPr="004C7433">
        <w:rPr>
          <w:rStyle w:val="af2"/>
          <w:rFonts w:eastAsiaTheme="majorEastAsia"/>
          <w:b w:val="0"/>
          <w:szCs w:val="28"/>
        </w:rPr>
        <w:t xml:space="preserve"> </w:t>
      </w:r>
      <w:proofErr w:type="spellStart"/>
      <w:r w:rsidRPr="004C7433">
        <w:rPr>
          <w:rStyle w:val="af2"/>
          <w:rFonts w:eastAsiaTheme="majorEastAsia"/>
          <w:b w:val="0"/>
          <w:szCs w:val="28"/>
        </w:rPr>
        <w:t>Distribution</w:t>
      </w:r>
      <w:proofErr w:type="spellEnd"/>
      <w:r w:rsidRPr="004C7433">
        <w:rPr>
          <w:rStyle w:val="af2"/>
          <w:rFonts w:eastAsiaTheme="majorEastAsia"/>
          <w:b w:val="0"/>
          <w:szCs w:val="28"/>
        </w:rPr>
        <w:t xml:space="preserve"> (ACD) изпълняват функция по автоматизирано разпределяне на входящия трафик, а информационните системи за управление на инциденти подпомагат регистрирането, структурирането и последващото предаване на информацията.</w:t>
      </w:r>
    </w:p>
    <w:p w14:paraId="1ED0916E"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Особено значение за качеството на спешното реагиране има определянето на местоположението на лицето, подаващо сигнала. Информацията за местоположението е съществен елемент от спешната комуникация, тъй като позволява компетентните структури да бъдат насочени към мястото на инцидента. Европейската нормативна рамка поставя изисквания относно предоставянето на информация за местоположението на викащия при спешни комуникации [4]. Технологично тази функция може да бъде подпомагана чрез различни механизми за локализация, включително мрежови данни и възможностите на съвременните мобилни устройства.</w:t>
      </w:r>
    </w:p>
    <w:p w14:paraId="28382710" w14:textId="502B4512"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 xml:space="preserve">Важна стъпка в развитието на </w:t>
      </w:r>
      <w:proofErr w:type="spellStart"/>
      <w:r w:rsidRPr="004C7433">
        <w:rPr>
          <w:rStyle w:val="af2"/>
          <w:rFonts w:eastAsiaTheme="majorEastAsia"/>
          <w:b w:val="0"/>
          <w:szCs w:val="28"/>
        </w:rPr>
        <w:t>локализационните</w:t>
      </w:r>
      <w:proofErr w:type="spellEnd"/>
      <w:r w:rsidRPr="004C7433">
        <w:rPr>
          <w:rStyle w:val="af2"/>
          <w:rFonts w:eastAsiaTheme="majorEastAsia"/>
          <w:b w:val="0"/>
          <w:szCs w:val="28"/>
        </w:rPr>
        <w:t xml:space="preserve"> възможности представлява технологията </w:t>
      </w:r>
      <w:proofErr w:type="spellStart"/>
      <w:r w:rsidRPr="004C7433">
        <w:rPr>
          <w:rStyle w:val="af2"/>
          <w:rFonts w:eastAsiaTheme="majorEastAsia"/>
          <w:b w:val="0"/>
          <w:szCs w:val="28"/>
        </w:rPr>
        <w:t>Advanced</w:t>
      </w:r>
      <w:proofErr w:type="spellEnd"/>
      <w:r w:rsidRPr="004C7433">
        <w:rPr>
          <w:rStyle w:val="af2"/>
          <w:rFonts w:eastAsiaTheme="majorEastAsia"/>
          <w:b w:val="0"/>
          <w:szCs w:val="28"/>
        </w:rPr>
        <w:t xml:space="preserve"> </w:t>
      </w:r>
      <w:proofErr w:type="spellStart"/>
      <w:r w:rsidRPr="004C7433">
        <w:rPr>
          <w:rStyle w:val="af2"/>
          <w:rFonts w:eastAsiaTheme="majorEastAsia"/>
          <w:b w:val="0"/>
          <w:szCs w:val="28"/>
        </w:rPr>
        <w:t>Mobile</w:t>
      </w:r>
      <w:proofErr w:type="spellEnd"/>
      <w:r w:rsidRPr="004C7433">
        <w:rPr>
          <w:rStyle w:val="af2"/>
          <w:rFonts w:eastAsiaTheme="majorEastAsia"/>
          <w:b w:val="0"/>
          <w:szCs w:val="28"/>
        </w:rPr>
        <w:t xml:space="preserve"> </w:t>
      </w:r>
      <w:proofErr w:type="spellStart"/>
      <w:r w:rsidRPr="004C7433">
        <w:rPr>
          <w:rStyle w:val="af2"/>
          <w:rFonts w:eastAsiaTheme="majorEastAsia"/>
          <w:b w:val="0"/>
          <w:szCs w:val="28"/>
        </w:rPr>
        <w:t>Location</w:t>
      </w:r>
      <w:proofErr w:type="spellEnd"/>
      <w:r w:rsidRPr="004C7433">
        <w:rPr>
          <w:rStyle w:val="af2"/>
          <w:rFonts w:eastAsiaTheme="majorEastAsia"/>
          <w:b w:val="0"/>
          <w:szCs w:val="28"/>
        </w:rPr>
        <w:t xml:space="preserve"> (AML). При осъществяване на спешно повикване съвместимо мобилно устройство може автоматично да активира наличните средства за определяне на местоположението и да предостави получената информация за нуждите на спешните служби. Стандартизирането на механизмите за предаване на AML данни създава предпоставки за по-точно определяне на местоположението в сравнение с използването единствено на информация, получена от мобилната мрежа [7]. От оперативна гледна точка това е особено важно при ситуации, в които подателят не може да посочи точно местонахождението си.</w:t>
      </w:r>
    </w:p>
    <w:p w14:paraId="54DFDADB" w14:textId="20F15BB1"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 xml:space="preserve">Друг технологичен компонент, разглеждан в рамките на системата, е </w:t>
      </w:r>
      <w:proofErr w:type="spellStart"/>
      <w:r w:rsidRPr="004C7433">
        <w:rPr>
          <w:rStyle w:val="af2"/>
          <w:rFonts w:eastAsiaTheme="majorEastAsia"/>
          <w:b w:val="0"/>
          <w:szCs w:val="28"/>
        </w:rPr>
        <w:t>eCall</w:t>
      </w:r>
      <w:proofErr w:type="spellEnd"/>
      <w:r w:rsidRPr="004C7433">
        <w:rPr>
          <w:rStyle w:val="af2"/>
          <w:rFonts w:eastAsiaTheme="majorEastAsia"/>
          <w:b w:val="0"/>
          <w:szCs w:val="28"/>
        </w:rPr>
        <w:t>, предназначен за автоматизирано или ръчно иницииране на спешна комуникация при пътнотранспортни произшествия. Интегрирането на автоматизирано генерирани данни за инцидента разширява традиционния модел, при който основният източник на информация е гласовата комуникация между гражданина и оператора. По този начин развитието на системите за спешни комуникации е насочено към комбиниране на гласова информация, данни за местоположение и структурирани машинно генерирани данни.</w:t>
      </w:r>
    </w:p>
    <w:p w14:paraId="5230880D"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Централно място във функционалния модел на НС 112 заема обработването на самото спешно повикване. След установяване на комуникацията операторът следва да получи необходимата информация за характера на събитието, неговото местоположение, съществуващите рискове и необходимостта от намеса на конкретна служба за спешно реагиране. Получените данни се структурират в рамките на информационната система, като целта е да бъде създадена достатъчна информационна основа за правилно насочване на сигнала. По този начин операторът изпълнява критична функция на границата между технологичната система и оперативното управление на инцидента.</w:t>
      </w:r>
    </w:p>
    <w:p w14:paraId="764D49FB"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Функционалната последователност може да бъде представена концептуално по следния начин:</w:t>
      </w:r>
    </w:p>
    <w:p w14:paraId="684EC27C" w14:textId="27316DD7" w:rsidR="004C7433" w:rsidRPr="004C7433" w:rsidRDefault="004C7433" w:rsidP="004C7433">
      <w:pPr>
        <w:ind w:firstLine="567"/>
        <w:jc w:val="center"/>
        <w:rPr>
          <w:rStyle w:val="af2"/>
          <w:rFonts w:eastAsiaTheme="majorEastAsia"/>
          <w:szCs w:val="28"/>
        </w:rPr>
      </w:pPr>
      <w:r w:rsidRPr="004C7433">
        <w:rPr>
          <w:rStyle w:val="af2"/>
          <w:rFonts w:eastAsiaTheme="majorEastAsia"/>
          <w:szCs w:val="28"/>
        </w:rPr>
        <w:t>Спешно повикване → приемане и автоматизирано разпределение → оператор 112 → идентифициране и локализиране → изясняване и категоризиране на инцидента → регистриране на информацията → насочване към компетентната служба за спешно реагиране → оперативна реакция.</w:t>
      </w:r>
    </w:p>
    <w:p w14:paraId="6DACC835"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Тази последователност показва, че НС 112 не следва да се разглежда единствено като телекомуникационна система. Тя изпълнява функция на информационен посредник, който преобразува първоначалния сигнал в структурирана информация и я предоставя на компетентните институции. Ефективността на процеса зависи едновременно от технологичната надеждност, качеството на първоначално получените данни, професионалната подготовка на операторите и установените процедури за взаимодействие.</w:t>
      </w:r>
    </w:p>
    <w:p w14:paraId="6D2DC4BC"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Важна роля в този процес има електронното регистриране на информацията за инцидента. Създаването на електронна информационна форма позволява данните за събитието да бъдат систематизирани и предоставени на съответната служба. Информационното съдържание следва да позволява идентифициране на характера и местоположението на произшествието, оценяване на първоначално установените обстоятелства и определяне на необходимостта от конкретен вид спешна помощ. Този механизъм създава информационна проследимост на процеса от приемането на сигнала до предаването му за последващо оперативно действие [1, 9].</w:t>
      </w:r>
    </w:p>
    <w:p w14:paraId="529F1313"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 xml:space="preserve">Към технологичната инфраструктура се отнасят и географските информационни системи (GIS), чрез които пространствената информация може да бъде визуализирана и използвана при обработването на инцидента. Съчетаването на информацията за местоположението с цифрова картографска среда подпомага пространственото ориентиране и създава предпоставки за по-точно определяне на мястото на събитието. По този начин </w:t>
      </w:r>
      <w:proofErr w:type="spellStart"/>
      <w:r w:rsidRPr="004C7433">
        <w:rPr>
          <w:rStyle w:val="af2"/>
          <w:rFonts w:eastAsiaTheme="majorEastAsia"/>
          <w:b w:val="0"/>
          <w:szCs w:val="28"/>
        </w:rPr>
        <w:t>локализационните</w:t>
      </w:r>
      <w:proofErr w:type="spellEnd"/>
      <w:r w:rsidRPr="004C7433">
        <w:rPr>
          <w:rStyle w:val="af2"/>
          <w:rFonts w:eastAsiaTheme="majorEastAsia"/>
          <w:b w:val="0"/>
          <w:szCs w:val="28"/>
        </w:rPr>
        <w:t xml:space="preserve"> технологии и GIS представляват взаимно допълващи се елементи на информационното осигуряване.</w:t>
      </w:r>
    </w:p>
    <w:p w14:paraId="40CB847B" w14:textId="77777777"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Функционалният модел включва и взаимодействието между НС 112 и компетентните служби за спешно реагиране. След първоначалното приемане и обработване на сигнала информацията се насочва към структурата или структурите, чиито правомощия съответстват на характера на възникналия инцидент. При комплексни произшествия може да бъде необходимо участие на повече от една служба, което увеличава значението на своевременния информационен обмен и междуинституционалната координация. В този смисъл системата 112 изпълнява интегрираща функция между гражданите и организациите, отговорни за непосредственото спешно реагиране [1–3].</w:t>
      </w:r>
    </w:p>
    <w:p w14:paraId="363614CF" w14:textId="40E5858E" w:rsidR="004C7433" w:rsidRPr="004C7433" w:rsidRDefault="004C7433" w:rsidP="004C7433">
      <w:pPr>
        <w:ind w:firstLine="567"/>
        <w:jc w:val="both"/>
        <w:rPr>
          <w:rStyle w:val="af2"/>
          <w:rFonts w:eastAsiaTheme="majorEastAsia"/>
          <w:b w:val="0"/>
          <w:szCs w:val="28"/>
        </w:rPr>
      </w:pPr>
      <w:r w:rsidRPr="004C7433">
        <w:rPr>
          <w:rStyle w:val="af2"/>
          <w:rFonts w:eastAsiaTheme="majorEastAsia"/>
          <w:b w:val="0"/>
          <w:szCs w:val="28"/>
        </w:rPr>
        <w:t xml:space="preserve">Развитието на технологичната архитектура постепенно разширява и понятието за спешно повикване. При традиционния модел доминира гласовата комуникация, докато концепцията за </w:t>
      </w:r>
      <w:proofErr w:type="spellStart"/>
      <w:r w:rsidRPr="004C7433">
        <w:rPr>
          <w:rStyle w:val="af2"/>
          <w:rFonts w:eastAsiaTheme="majorEastAsia"/>
          <w:b w:val="0"/>
          <w:szCs w:val="28"/>
        </w:rPr>
        <w:t>Next</w:t>
      </w:r>
      <w:proofErr w:type="spellEnd"/>
      <w:r w:rsidRPr="004C7433">
        <w:rPr>
          <w:rStyle w:val="af2"/>
          <w:rFonts w:eastAsiaTheme="majorEastAsia"/>
          <w:b w:val="0"/>
          <w:szCs w:val="28"/>
        </w:rPr>
        <w:t xml:space="preserve"> </w:t>
      </w:r>
      <w:proofErr w:type="spellStart"/>
      <w:r w:rsidRPr="004C7433">
        <w:rPr>
          <w:rStyle w:val="af2"/>
          <w:rFonts w:eastAsiaTheme="majorEastAsia"/>
          <w:b w:val="0"/>
          <w:szCs w:val="28"/>
        </w:rPr>
        <w:t>Generation</w:t>
      </w:r>
      <w:proofErr w:type="spellEnd"/>
      <w:r w:rsidRPr="004C7433">
        <w:rPr>
          <w:rStyle w:val="af2"/>
          <w:rFonts w:eastAsiaTheme="majorEastAsia"/>
          <w:b w:val="0"/>
          <w:szCs w:val="28"/>
        </w:rPr>
        <w:t xml:space="preserve"> 112 (NG112 предполага преминаване към IP-базирана среда, способна да интегрира различни форми на спешна комуникация и обмен на данни [6, 8]. Това развитие създава технологична основа за по-широко използване на текст, данни и други мултимедийни средства, като едновременно с това поставя по-високи изисквания към информационната съвместимост, сигурността и устойчивостта на системата.</w:t>
      </w:r>
    </w:p>
    <w:p w14:paraId="3290E9AA" w14:textId="2A4B2BB6" w:rsidR="005008ED" w:rsidRPr="004C7433" w:rsidRDefault="004C7433" w:rsidP="004C7433">
      <w:pPr>
        <w:ind w:firstLine="567"/>
        <w:jc w:val="both"/>
        <w:rPr>
          <w:b/>
          <w:szCs w:val="28"/>
          <w:lang w:val="en-US"/>
        </w:rPr>
      </w:pPr>
      <w:r w:rsidRPr="004C7433">
        <w:rPr>
          <w:rStyle w:val="af2"/>
          <w:rFonts w:eastAsiaTheme="majorEastAsia"/>
          <w:b w:val="0"/>
          <w:szCs w:val="28"/>
        </w:rPr>
        <w:t>Следователно технологичната архитектура и функционалният модел на НС 112 представляват единна взаимосвързана система, в която комуникационната свързаност, автоматизираното разпределение, локализацията, информационното управление, географската визуализация и оперативното взаимодействие са части от общ процес. Критичният резултат от този процес е своевременното преобразуване на постъпилото спешно повикване в достоверна, структурирана и оперативно използваема информация и нейното насочване към компетентната служба. Надеждността на този модел е предпоставка за ефективно спешно реагиране и едновременно с това определя необходимостта от висока степен на информационна сигурност, технологична устойчивост и последователна модернизация към архитектурата на NG112.</w:t>
      </w:r>
      <w:r w:rsidR="00B7407F" w:rsidRPr="004C7433">
        <w:rPr>
          <w:b/>
          <w:szCs w:val="28"/>
        </w:rPr>
        <w:t>.</w:t>
      </w:r>
      <w:r w:rsidR="009F12DD" w:rsidRPr="004C7433">
        <w:rPr>
          <w:b/>
          <w:szCs w:val="28"/>
        </w:rPr>
        <w:t xml:space="preserve"> </w:t>
      </w:r>
    </w:p>
    <w:p w14:paraId="3653319F" w14:textId="77777777" w:rsidR="004C7433" w:rsidRDefault="004C7433" w:rsidP="004C7433">
      <w:pPr>
        <w:pStyle w:val="2"/>
        <w:spacing w:before="0" w:after="0"/>
        <w:ind w:firstLine="567"/>
        <w:jc w:val="both"/>
        <w:rPr>
          <w:sz w:val="28"/>
          <w:szCs w:val="28"/>
        </w:rPr>
      </w:pPr>
    </w:p>
    <w:p w14:paraId="7AF50C17" w14:textId="30A372F6" w:rsidR="004C7433" w:rsidRPr="004C7433" w:rsidRDefault="004C7433" w:rsidP="004C7433">
      <w:pPr>
        <w:pStyle w:val="2"/>
        <w:spacing w:before="0" w:after="0"/>
        <w:ind w:firstLine="567"/>
        <w:jc w:val="both"/>
        <w:rPr>
          <w:sz w:val="28"/>
          <w:szCs w:val="28"/>
        </w:rPr>
      </w:pPr>
      <w:r w:rsidRPr="004C7433">
        <w:rPr>
          <w:sz w:val="28"/>
          <w:szCs w:val="28"/>
        </w:rPr>
        <w:t>3. Сигурност, устойчивост и технологична еволюция на НС 112 към NG112.</w:t>
      </w:r>
    </w:p>
    <w:p w14:paraId="25DDBB87"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 xml:space="preserve">Надеждността на Националната система 112 се определя не само от способността ѝ да приема и обработва спешни повиквания, но и от възможността да поддържа непрекъснато функциониране при технически откази, комуникационни нарушения, </w:t>
      </w:r>
      <w:proofErr w:type="spellStart"/>
      <w:r w:rsidRPr="004C7433">
        <w:rPr>
          <w:rStyle w:val="af2"/>
          <w:rFonts w:eastAsiaTheme="majorEastAsia"/>
          <w:b w:val="0"/>
        </w:rPr>
        <w:t>киберинциденти</w:t>
      </w:r>
      <w:proofErr w:type="spellEnd"/>
      <w:r w:rsidRPr="004C7433">
        <w:rPr>
          <w:rStyle w:val="af2"/>
          <w:rFonts w:eastAsiaTheme="majorEastAsia"/>
          <w:b w:val="0"/>
        </w:rPr>
        <w:t>, природни бедствия и други кризисни въздействия. Критичният характер на изпълняваните функции налага сигурността, устойчивостта и непрекъсваемостта да бъдат разглеждани като основни характеристики на цялостната архитектура на системата. Те обхващат защитата на информационните и комуникационните ресурси, резервирането на ключови компоненти, контрола върху достъпа до данни и поддържането на оперативна готовност за работа при извънредни условия [1, 5, 9].</w:t>
      </w:r>
    </w:p>
    <w:p w14:paraId="466FF68B"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 xml:space="preserve">Съществено направление е осигуряването на информационна и </w:t>
      </w:r>
      <w:proofErr w:type="spellStart"/>
      <w:r w:rsidRPr="004C7433">
        <w:rPr>
          <w:rStyle w:val="af2"/>
          <w:rFonts w:eastAsiaTheme="majorEastAsia"/>
          <w:b w:val="0"/>
        </w:rPr>
        <w:t>киберсигурност</w:t>
      </w:r>
      <w:proofErr w:type="spellEnd"/>
      <w:r w:rsidRPr="004C7433">
        <w:rPr>
          <w:rStyle w:val="af2"/>
          <w:rFonts w:eastAsiaTheme="majorEastAsia"/>
          <w:b w:val="0"/>
        </w:rPr>
        <w:t>. В процеса на обработване на спешни комуникации се създава и използва информация, свързана с подателя на сигнала, местоположението, характера на инцидента и предприетите последващи действия. Част от тази информация представлява лични данни и поради това нейното обработване следва да бъде извършвано при спазване на приложимите нормативни изисквания и принципите за законосъобразност, целево ограничение, минимизиране на данните и подходящо ниво на сигурност [5]. Защитата на информационните ресурси следва да обхваща целия жизнен цикъл на информацията – от нейното получаване и обработване до съхранението и предоставянето ѝ на оправомощените структури.</w:t>
      </w:r>
    </w:p>
    <w:p w14:paraId="50521DCB"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Устойчивостта на НС 112 е свързана с необходимостта критичните функции да бъдат запазени и при частичен отказ на отделни технически или комуникационни компоненти. Поради това концепцията за непрекъсваемост предполага наличие на организационни и технически механизми, позволяващи поддържане или възстановяване на основните услуги при възникване на нарушение. Резервираността на комуникационните ресурси, информационните системи и електрозахранването, както и възможността за прилагане на процедури за непрекъсваемост на дейността, са съществени предпоставки за ограничаване на риска от прекъсване на спешните комуникации [9].</w:t>
      </w:r>
    </w:p>
    <w:p w14:paraId="794DD2C7"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Устойчивостта следва да бъде разглеждана и като организационна способност. Технологичните механизми сами по себе си не могат да гарантират непрекъсваемост без предварително определени процедури, разпределени отговорности, подготвен персонал и механизми за действие при извънредни ситуации. Поради това техническата резервираност и организационната готовност са взаимно зависими компоненти на общия модел за устойчивост на системата.</w:t>
      </w:r>
    </w:p>
    <w:p w14:paraId="399C1AEC"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Друг съществен аспект е достъпността на спешните комуникации. Развитието на европейската рамка поставя акцент върху възможността гражданите, включително лицата с увреждания, да получават ефективен достъп до спешни услуги [4]. Това изискване придобива още по-голямо значение при прехода от традиционния модел, основан преимуществено на гласова комуникация, към технологична среда, в която могат да бъдат използвани различни комуникационни средства.</w:t>
      </w:r>
    </w:p>
    <w:p w14:paraId="34C1A8AD"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 xml:space="preserve">В технологичен аспект следващият етап от развитието на системите за спешни комуникации е свързан с концепцията </w:t>
      </w:r>
      <w:proofErr w:type="spellStart"/>
      <w:r w:rsidRPr="004C7433">
        <w:rPr>
          <w:rStyle w:val="af2"/>
          <w:rFonts w:eastAsiaTheme="majorEastAsia"/>
          <w:b w:val="0"/>
        </w:rPr>
        <w:t>Next</w:t>
      </w:r>
      <w:proofErr w:type="spellEnd"/>
      <w:r w:rsidRPr="004C7433">
        <w:rPr>
          <w:rStyle w:val="af2"/>
          <w:rFonts w:eastAsiaTheme="majorEastAsia"/>
          <w:b w:val="0"/>
        </w:rPr>
        <w:t xml:space="preserve"> </w:t>
      </w:r>
      <w:proofErr w:type="spellStart"/>
      <w:r w:rsidRPr="004C7433">
        <w:rPr>
          <w:rStyle w:val="af2"/>
          <w:rFonts w:eastAsiaTheme="majorEastAsia"/>
          <w:b w:val="0"/>
        </w:rPr>
        <w:t>Generation</w:t>
      </w:r>
      <w:proofErr w:type="spellEnd"/>
      <w:r w:rsidRPr="004C7433">
        <w:rPr>
          <w:rStyle w:val="af2"/>
          <w:rFonts w:eastAsiaTheme="majorEastAsia"/>
          <w:b w:val="0"/>
        </w:rPr>
        <w:t xml:space="preserve"> 112 (NG112). Тя предвижда преминаване от традиционна телекомуникационна архитектура към IP-базирана среда, в която различни видове информация и комуникационни услуги могат да бъдат интегрирани в общ технологичен модел [6, 8]. Основната концептуална промяна се състои в това, че спешната комуникация вече не се ограничава единствено до гласово телефонно повикване, а може да включва различни форми на обмен на информация.</w:t>
      </w:r>
    </w:p>
    <w:p w14:paraId="0470BFA1"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 xml:space="preserve">Архитектурата на NG112 предполага използването на специализирана IP-базирана инфраструктура за спешни услуги, която осигурява взаимодействието между комуникационните мрежи и центровете за приемане и обработване на спешни комуникации. В специализираната литература и техническите препоръки тази среда се свързва с концепцията за </w:t>
      </w:r>
      <w:proofErr w:type="spellStart"/>
      <w:r w:rsidRPr="004C7433">
        <w:rPr>
          <w:rStyle w:val="af2"/>
          <w:rFonts w:eastAsiaTheme="majorEastAsia"/>
          <w:b w:val="0"/>
        </w:rPr>
        <w:t>Emergency</w:t>
      </w:r>
      <w:proofErr w:type="spellEnd"/>
      <w:r w:rsidRPr="004C7433">
        <w:rPr>
          <w:rStyle w:val="af2"/>
          <w:rFonts w:eastAsiaTheme="majorEastAsia"/>
          <w:b w:val="0"/>
        </w:rPr>
        <w:t xml:space="preserve"> Services IP </w:t>
      </w:r>
      <w:proofErr w:type="spellStart"/>
      <w:r w:rsidRPr="004C7433">
        <w:rPr>
          <w:rStyle w:val="af2"/>
          <w:rFonts w:eastAsiaTheme="majorEastAsia"/>
          <w:b w:val="0"/>
        </w:rPr>
        <w:t>Network</w:t>
      </w:r>
      <w:proofErr w:type="spellEnd"/>
      <w:r w:rsidRPr="004C7433">
        <w:rPr>
          <w:rStyle w:val="af2"/>
          <w:rFonts w:eastAsiaTheme="majorEastAsia"/>
          <w:b w:val="0"/>
        </w:rPr>
        <w:t xml:space="preserve"> (</w:t>
      </w:r>
      <w:proofErr w:type="spellStart"/>
      <w:r w:rsidRPr="004C7433">
        <w:rPr>
          <w:rStyle w:val="af2"/>
          <w:rFonts w:eastAsiaTheme="majorEastAsia"/>
          <w:b w:val="0"/>
        </w:rPr>
        <w:t>ESInet</w:t>
      </w:r>
      <w:proofErr w:type="spellEnd"/>
      <w:r w:rsidRPr="004C7433">
        <w:rPr>
          <w:rStyle w:val="af2"/>
          <w:rFonts w:eastAsiaTheme="majorEastAsia"/>
          <w:b w:val="0"/>
        </w:rPr>
        <w:t>) [6, 8]. Нейното значение е в създаването на технологична основа за интегриране на глас, текст, данни и други комуникационни форми в рамките на единна архитектура.</w:t>
      </w:r>
    </w:p>
    <w:p w14:paraId="7474419A"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 xml:space="preserve">Една от перспективните възможности в рамките на NG112 е използването на </w:t>
      </w:r>
      <w:proofErr w:type="spellStart"/>
      <w:r w:rsidRPr="004C7433">
        <w:rPr>
          <w:rStyle w:val="af2"/>
          <w:rFonts w:eastAsiaTheme="majorEastAsia"/>
          <w:b w:val="0"/>
        </w:rPr>
        <w:t>Real-Time</w:t>
      </w:r>
      <w:proofErr w:type="spellEnd"/>
      <w:r w:rsidRPr="004C7433">
        <w:rPr>
          <w:rStyle w:val="af2"/>
          <w:rFonts w:eastAsiaTheme="majorEastAsia"/>
          <w:b w:val="0"/>
        </w:rPr>
        <w:t xml:space="preserve"> </w:t>
      </w:r>
      <w:proofErr w:type="spellStart"/>
      <w:r w:rsidRPr="004C7433">
        <w:rPr>
          <w:rStyle w:val="af2"/>
          <w:rFonts w:eastAsiaTheme="majorEastAsia"/>
          <w:b w:val="0"/>
        </w:rPr>
        <w:t>Text</w:t>
      </w:r>
      <w:proofErr w:type="spellEnd"/>
      <w:r w:rsidRPr="004C7433">
        <w:rPr>
          <w:rStyle w:val="af2"/>
          <w:rFonts w:eastAsiaTheme="majorEastAsia"/>
          <w:b w:val="0"/>
        </w:rPr>
        <w:t xml:space="preserve"> (RTT). При тази форма на комуникация текстът се предава в процеса на неговото въвеждане, което позволява комуникация в реално време и разширява достъпността на спешните услуги. Подобна функционалност е особено значима за лица, при които традиционното гласово повикване е затруднено или невъзможно. В по-широк план мултимедийният модел на NG112 създава технологични предпоставки за използване и на други форми на информация, когато съответната инфраструктура и нормативна рамка позволяват това [4, 6, 8].</w:t>
      </w:r>
    </w:p>
    <w:p w14:paraId="2B05A10A"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Съществен потенциал за бъдещото развитие на спешните комуникации има и приложението на изкуствен интелект и машинно обучение. Тези технологии могат перспективно да подпомагат определени информационни и аналитични дейности – например преобразуване на реч в текст, обработване на големи информационни потоци, подпомагане на класифицирането на постъпваща информация и откриване на повтарящи се модели. Прилагането им в критична система като НС 112 обаче следва да има подпомагащ характер и да бъде подчинено на ясни изисквания за надеждност, информационна сигурност, защита на личните данни и човешки контрол. Посочените в библиографията източници не дават достатъчно основание подобни AI функционалности да бъдат определени като цялостно внедрени в действащата българска НС 112, поради което те следва да се разглеждат преди всичко като направление за бъдещо технологично развитие.</w:t>
      </w:r>
    </w:p>
    <w:p w14:paraId="11FFCC49"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Допълнителна перспектива представлява взаимодействието между системите за приемане на спешни сигнали и системите за предупреждение на населението. Докато НС 112 е ориентирана основно към комуникацията гражданин → система за спешно реагиране, системите за публично предупреждение реализират обратното информационно направление – компетентен орган → население в застрашена територия. Съчетаването на информация от спешни комуникации, системи за ранно предупреждение и други оперативни източници може перспективно да допринася за изграждането на по-висока степен на ситуационна осведоменост при управление на кризисни ситуации.</w:t>
      </w:r>
    </w:p>
    <w:p w14:paraId="1D4CC338"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 xml:space="preserve">В този контекст развитието на българската НС 112 следва да се разглежда като последователен процес, а не като еднократна технологична промяна. Модернизацията изисква съгласувано развитие на телекомуникационната инфраструктура, информационните системи, стандартите за оперативна съвместимост, </w:t>
      </w:r>
      <w:proofErr w:type="spellStart"/>
      <w:r w:rsidRPr="004C7433">
        <w:rPr>
          <w:rStyle w:val="af2"/>
          <w:rFonts w:eastAsiaTheme="majorEastAsia"/>
          <w:b w:val="0"/>
        </w:rPr>
        <w:t>киберсигурността</w:t>
      </w:r>
      <w:proofErr w:type="spellEnd"/>
      <w:r w:rsidRPr="004C7433">
        <w:rPr>
          <w:rStyle w:val="af2"/>
          <w:rFonts w:eastAsiaTheme="majorEastAsia"/>
          <w:b w:val="0"/>
        </w:rPr>
        <w:t>, нормативната рамка и подготовката на човешките ресурси. Въвеждането на нови комуникационни канали има практическа стойност само когато те могат надеждно да бъдат интегрирани в целия процес на приемане, обработване и насочване на спешната информация.</w:t>
      </w:r>
    </w:p>
    <w:p w14:paraId="24EA05C0"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На концептуално равнище технологичната еволюция може да бъде представена чрез последователността:</w:t>
      </w:r>
    </w:p>
    <w:p w14:paraId="40EB5863" w14:textId="22581E23" w:rsidR="004C7433" w:rsidRPr="00F93296" w:rsidRDefault="004C7433" w:rsidP="00F93296">
      <w:pPr>
        <w:ind w:firstLine="567"/>
        <w:jc w:val="center"/>
        <w:rPr>
          <w:rStyle w:val="af2"/>
          <w:rFonts w:eastAsiaTheme="majorEastAsia"/>
        </w:rPr>
      </w:pPr>
      <w:r w:rsidRPr="00F93296">
        <w:rPr>
          <w:rStyle w:val="af2"/>
          <w:rFonts w:eastAsiaTheme="majorEastAsia"/>
        </w:rPr>
        <w:t xml:space="preserve">НС 112 → NG112 → IP-базирана </w:t>
      </w:r>
      <w:proofErr w:type="spellStart"/>
      <w:r w:rsidRPr="00F93296">
        <w:rPr>
          <w:rStyle w:val="af2"/>
          <w:rFonts w:eastAsiaTheme="majorEastAsia"/>
        </w:rPr>
        <w:t>мултимодална</w:t>
      </w:r>
      <w:proofErr w:type="spellEnd"/>
      <w:r w:rsidRPr="00F93296">
        <w:rPr>
          <w:rStyle w:val="af2"/>
          <w:rFonts w:eastAsiaTheme="majorEastAsia"/>
        </w:rPr>
        <w:t xml:space="preserve"> спешна комуникация → интегриране на данни и съвременни </w:t>
      </w:r>
      <w:proofErr w:type="spellStart"/>
      <w:r w:rsidRPr="00F93296">
        <w:rPr>
          <w:rStyle w:val="af2"/>
          <w:rFonts w:eastAsiaTheme="majorEastAsia"/>
        </w:rPr>
        <w:t>локализационни</w:t>
      </w:r>
      <w:proofErr w:type="spellEnd"/>
      <w:r w:rsidRPr="00F93296">
        <w:rPr>
          <w:rStyle w:val="af2"/>
          <w:rFonts w:eastAsiaTheme="majorEastAsia"/>
        </w:rPr>
        <w:t xml:space="preserve"> технологии → автоматизирано и AI-подпомагано обработване → повишена ситуационна осведоменост и еф</w:t>
      </w:r>
      <w:r w:rsidR="001622BD">
        <w:rPr>
          <w:rStyle w:val="af2"/>
          <w:rFonts w:eastAsiaTheme="majorEastAsia"/>
        </w:rPr>
        <w:t>ективност на спешното реагиране</w:t>
      </w:r>
    </w:p>
    <w:p w14:paraId="1FAAAC4D" w14:textId="77777777" w:rsidR="004C7433" w:rsidRPr="004C7433" w:rsidRDefault="004C7433" w:rsidP="004C7433">
      <w:pPr>
        <w:ind w:firstLine="567"/>
        <w:jc w:val="both"/>
        <w:rPr>
          <w:rStyle w:val="af2"/>
          <w:rFonts w:eastAsiaTheme="majorEastAsia"/>
          <w:b w:val="0"/>
        </w:rPr>
      </w:pPr>
      <w:r w:rsidRPr="004C7433">
        <w:rPr>
          <w:rStyle w:val="af2"/>
          <w:rFonts w:eastAsiaTheme="majorEastAsia"/>
          <w:b w:val="0"/>
        </w:rPr>
        <w:t>Следователно бъдещото развитие на НС 112 е свързано не просто с обновяване на отделни технически средства, а с постепенна трансформация на цялостния модел на спешните комуникации. Сигурността, устойчивостта, достъпността и оперативната съвместимост следва да бъдат водещи принципи на тази трансформация. Преходът към NG112 създава възможности за по-богата информационна среда, по-прецизно локализиране и използване на нови комуникационни технологии, но едновременно с това поставя по-високи изисквания към защитата на информацията, надеждността на инфраструктурата и професионалната подготовка на персонала. Именно балансираното развитие на тези компоненти може да осигури устойчиво технологично усъвършенстване на НС 112 и по-висока ефективност на националната система за спешно реагиране.</w:t>
      </w:r>
    </w:p>
    <w:p w14:paraId="06E25F2A" w14:textId="77777777" w:rsidR="00C40CDF" w:rsidRDefault="00C40CDF" w:rsidP="00192717">
      <w:pPr>
        <w:ind w:firstLine="567"/>
        <w:jc w:val="both"/>
        <w:rPr>
          <w:szCs w:val="28"/>
        </w:rPr>
      </w:pPr>
    </w:p>
    <w:p w14:paraId="0287CFBC" w14:textId="77777777" w:rsidR="004F1C93" w:rsidRPr="004F1C93" w:rsidRDefault="004F1C93" w:rsidP="004F1C93">
      <w:pPr>
        <w:ind w:firstLine="567"/>
        <w:jc w:val="both"/>
        <w:rPr>
          <w:b/>
          <w:bCs/>
          <w:szCs w:val="28"/>
        </w:rPr>
      </w:pPr>
      <w:r w:rsidRPr="004F1C93">
        <w:rPr>
          <w:b/>
          <w:bCs/>
          <w:szCs w:val="28"/>
        </w:rPr>
        <w:t>Заключение</w:t>
      </w:r>
    </w:p>
    <w:p w14:paraId="155F18F6" w14:textId="77777777" w:rsidR="004C7433" w:rsidRPr="004C7433" w:rsidRDefault="004C7433" w:rsidP="004C7433">
      <w:pPr>
        <w:ind w:firstLine="567"/>
        <w:jc w:val="both"/>
        <w:rPr>
          <w:szCs w:val="28"/>
        </w:rPr>
      </w:pPr>
      <w:r w:rsidRPr="004C7433">
        <w:rPr>
          <w:szCs w:val="28"/>
        </w:rPr>
        <w:t>Националната система за спешни повиквания с единен европейски номер 112 представлява критично важен елемент от националната система за защита на населението и осигурява единна комуникационна точка между гражданите и компетентните служби за спешно реагиране. Проведеният анализ показва, че ефективността на НС 112 се определя от взаимната обвързаност между нормативната регламентация, институционалната организация, технологичната инфраструктура, оперативните процедури и човешкия фактор.</w:t>
      </w:r>
    </w:p>
    <w:p w14:paraId="3E23BECB" w14:textId="77777777" w:rsidR="004C7433" w:rsidRPr="004C7433" w:rsidRDefault="004C7433" w:rsidP="004C7433">
      <w:pPr>
        <w:ind w:firstLine="567"/>
        <w:jc w:val="both"/>
        <w:rPr>
          <w:szCs w:val="28"/>
        </w:rPr>
      </w:pPr>
      <w:r w:rsidRPr="004C7433">
        <w:rPr>
          <w:szCs w:val="28"/>
        </w:rPr>
        <w:t>Функционалният модел на системата се основава на последователното приемане, локализиране, обработване, категоризиране и насочване на информацията за възникналия инцидент към компетентните структури. Съществено значение за качеството на този процес имат автоматизираното разпределение на повикванията, информационните системи за управление на инциденти, географските информационни системи и съвременните технологии за определяне на местоположението. Тяхното интегрирано използване създава условия за превръщане на първоначалното спешно повикване в структурирана и оперативно използваема информация.</w:t>
      </w:r>
    </w:p>
    <w:p w14:paraId="55138F4D" w14:textId="77777777" w:rsidR="004C7433" w:rsidRPr="004C7433" w:rsidRDefault="004C7433" w:rsidP="004C7433">
      <w:pPr>
        <w:ind w:firstLine="567"/>
        <w:jc w:val="both"/>
        <w:rPr>
          <w:szCs w:val="28"/>
        </w:rPr>
      </w:pPr>
      <w:r w:rsidRPr="004C7433">
        <w:rPr>
          <w:szCs w:val="28"/>
        </w:rPr>
        <w:t>Анализът показва също, че сигурността, устойчивостта и непрекъсваемостта са фундаментални изисквания към функционирането на НС 112. Критичният характер на системата налага висока степен на защита на информационните ресурси, надеждност на комуникационната инфраструктура, резервираност на ключовите компоненти и поддържане на организационна готовност за действие при технически откази и кризисни ситуации.</w:t>
      </w:r>
    </w:p>
    <w:p w14:paraId="02209EC9" w14:textId="77777777" w:rsidR="004C7433" w:rsidRPr="004C7433" w:rsidRDefault="004C7433" w:rsidP="004C7433">
      <w:pPr>
        <w:ind w:firstLine="567"/>
        <w:jc w:val="both"/>
        <w:rPr>
          <w:szCs w:val="28"/>
        </w:rPr>
      </w:pPr>
      <w:r w:rsidRPr="004C7433">
        <w:rPr>
          <w:szCs w:val="28"/>
        </w:rPr>
        <w:t xml:space="preserve">Перспективното развитие към NG112 очертава качествено нов етап в еволюцията на спешните комуникации. Преминаването към IP-базирана архитектура създава предпоставки за интегриране на глас, текст, данни и други форми на мултимедийна комуникация. Същевременно развитието на </w:t>
      </w:r>
      <w:proofErr w:type="spellStart"/>
      <w:r w:rsidRPr="004C7433">
        <w:rPr>
          <w:szCs w:val="28"/>
        </w:rPr>
        <w:t>локализационните</w:t>
      </w:r>
      <w:proofErr w:type="spellEnd"/>
      <w:r w:rsidRPr="004C7433">
        <w:rPr>
          <w:szCs w:val="28"/>
        </w:rPr>
        <w:t xml:space="preserve"> технологии и перспективното използване на изкуствен интелект и машинно обучение могат да разширят възможностите за информационно подпомагане на операторите и службите за спешно реагиране.</w:t>
      </w:r>
    </w:p>
    <w:p w14:paraId="3EEA3D3A" w14:textId="79275A45" w:rsidR="001F6E53" w:rsidRDefault="004C7433" w:rsidP="004C7433">
      <w:pPr>
        <w:ind w:firstLine="567"/>
        <w:jc w:val="both"/>
        <w:rPr>
          <w:szCs w:val="28"/>
        </w:rPr>
      </w:pPr>
      <w:r w:rsidRPr="004C7433">
        <w:rPr>
          <w:szCs w:val="28"/>
        </w:rPr>
        <w:t xml:space="preserve">В резултат може да се заключи, че бъдещото усъвършенстване на НС 112 следва да бъде реализирано като комплексен процес, обхващащ едновременно технологичната модернизация, оперативната съвместимост, </w:t>
      </w:r>
      <w:proofErr w:type="spellStart"/>
      <w:r w:rsidRPr="004C7433">
        <w:rPr>
          <w:szCs w:val="28"/>
        </w:rPr>
        <w:t>киберсигурността</w:t>
      </w:r>
      <w:proofErr w:type="spellEnd"/>
      <w:r w:rsidRPr="004C7433">
        <w:rPr>
          <w:szCs w:val="28"/>
        </w:rPr>
        <w:t>, нормативното развитие и подготовката на човешките ресурси. Преходът към NG112 не представлява единствено технологично обновяване, а трансформация на цялостния модел на спешните комуникации. Неговото последователно реализиране може да създаде предпоставки за по-висока надеждност, достъпност и ефективност на спешното реагиране и за изграждане на устойчива, технологично развита и ориентирана към потребностите на обществото Национална система 112.</w:t>
      </w:r>
      <w:r w:rsidR="001A382A" w:rsidRPr="001A382A">
        <w:rPr>
          <w:szCs w:val="28"/>
        </w:rPr>
        <w:t>.</w:t>
      </w:r>
    </w:p>
    <w:p w14:paraId="1F295B30" w14:textId="77777777" w:rsidR="005008ED" w:rsidRPr="005008ED" w:rsidRDefault="005008ED" w:rsidP="005008ED">
      <w:pPr>
        <w:jc w:val="both"/>
        <w:rPr>
          <w:szCs w:val="28"/>
          <w:lang w:val="en-US"/>
        </w:rPr>
      </w:pPr>
    </w:p>
    <w:p w14:paraId="3A07BFAC" w14:textId="42561C1F" w:rsidR="007E2105" w:rsidRPr="0022685B" w:rsidRDefault="007E2105" w:rsidP="003004BD">
      <w:pPr>
        <w:ind w:firstLine="567"/>
        <w:jc w:val="both"/>
        <w:rPr>
          <w:b/>
          <w:szCs w:val="28"/>
        </w:rPr>
      </w:pPr>
      <w:r w:rsidRPr="0022685B">
        <w:rPr>
          <w:b/>
          <w:szCs w:val="28"/>
        </w:rPr>
        <w:t>ЛИТЕРАТУРА:</w:t>
      </w:r>
    </w:p>
    <w:p w14:paraId="5283433F" w14:textId="00D7AA3C" w:rsidR="00784F6C" w:rsidRPr="00784F6C" w:rsidRDefault="00784F6C" w:rsidP="00784F6C">
      <w:pPr>
        <w:ind w:firstLine="567"/>
        <w:jc w:val="both"/>
        <w:rPr>
          <w:szCs w:val="28"/>
        </w:rPr>
      </w:pPr>
      <w:r w:rsidRPr="00784F6C">
        <w:rPr>
          <w:szCs w:val="28"/>
        </w:rPr>
        <w:t xml:space="preserve"> [1] Закон за Националната система за спешни повиквания с единен европейски номер 112. </w:t>
      </w:r>
      <w:proofErr w:type="spellStart"/>
      <w:r w:rsidRPr="00784F6C">
        <w:rPr>
          <w:szCs w:val="28"/>
        </w:rPr>
        <w:t>Обн</w:t>
      </w:r>
      <w:proofErr w:type="spellEnd"/>
      <w:r w:rsidRPr="00784F6C">
        <w:rPr>
          <w:szCs w:val="28"/>
        </w:rPr>
        <w:t>., ДВ, бр. 102 от 28.11.2008 г., с последващи изменения и допълнения.</w:t>
      </w:r>
    </w:p>
    <w:p w14:paraId="707C25F6" w14:textId="6CAA72D2" w:rsidR="00784F6C" w:rsidRPr="00784F6C" w:rsidRDefault="00784F6C" w:rsidP="00784F6C">
      <w:pPr>
        <w:ind w:firstLine="567"/>
        <w:jc w:val="both"/>
        <w:rPr>
          <w:szCs w:val="28"/>
        </w:rPr>
      </w:pPr>
      <w:r w:rsidRPr="00784F6C">
        <w:rPr>
          <w:szCs w:val="28"/>
        </w:rPr>
        <w:t xml:space="preserve">[2] Закон за електронните съобщения. </w:t>
      </w:r>
      <w:proofErr w:type="spellStart"/>
      <w:r w:rsidRPr="00784F6C">
        <w:rPr>
          <w:szCs w:val="28"/>
        </w:rPr>
        <w:t>Обн</w:t>
      </w:r>
      <w:proofErr w:type="spellEnd"/>
      <w:r w:rsidRPr="00784F6C">
        <w:rPr>
          <w:szCs w:val="28"/>
        </w:rPr>
        <w:t>., ДВ, бр. 41 от 22.05.2007 г., с последващи изменения и допълнения.</w:t>
      </w:r>
    </w:p>
    <w:p w14:paraId="777EC148" w14:textId="48574D08" w:rsidR="00784F6C" w:rsidRPr="00784F6C" w:rsidRDefault="00784F6C" w:rsidP="00784F6C">
      <w:pPr>
        <w:ind w:firstLine="567"/>
        <w:jc w:val="both"/>
        <w:rPr>
          <w:szCs w:val="28"/>
        </w:rPr>
      </w:pPr>
      <w:r w:rsidRPr="00784F6C">
        <w:rPr>
          <w:szCs w:val="28"/>
        </w:rPr>
        <w:t xml:space="preserve">[3] Закон за защита при бедствия. </w:t>
      </w:r>
      <w:proofErr w:type="spellStart"/>
      <w:r w:rsidRPr="00784F6C">
        <w:rPr>
          <w:szCs w:val="28"/>
        </w:rPr>
        <w:t>Обн</w:t>
      </w:r>
      <w:proofErr w:type="spellEnd"/>
      <w:r w:rsidRPr="00784F6C">
        <w:rPr>
          <w:szCs w:val="28"/>
        </w:rPr>
        <w:t>., ДВ, бр. 102 от 19.12.2006 г., с последващи изменения и допълнения.</w:t>
      </w:r>
    </w:p>
    <w:p w14:paraId="60646A1A" w14:textId="0BC437FC" w:rsidR="00784F6C" w:rsidRPr="00784F6C" w:rsidRDefault="00784F6C" w:rsidP="00784F6C">
      <w:pPr>
        <w:ind w:firstLine="567"/>
        <w:jc w:val="both"/>
        <w:rPr>
          <w:szCs w:val="28"/>
        </w:rPr>
      </w:pPr>
      <w:r w:rsidRPr="00784F6C">
        <w:rPr>
          <w:szCs w:val="28"/>
        </w:rPr>
        <w:t>[4] ЕВРОПЕЙСКИ ПАРЛАМЕНТ; СЪВЕТ НА ЕВРОПЕЙСКИЯ СЪЮЗ. Директива (ЕС) 2018/1972 на Европейския парламент и на Съвета от 11 декември 2018 година за установяване на Европейски кодекс за електронни съобщения. Официален вестник на Европейския съюз. 2018, L 321, с. 36–214.</w:t>
      </w:r>
    </w:p>
    <w:p w14:paraId="5574EA1C" w14:textId="723636E0" w:rsidR="00784F6C" w:rsidRPr="00784F6C" w:rsidRDefault="00784F6C" w:rsidP="00784F6C">
      <w:pPr>
        <w:ind w:firstLine="567"/>
        <w:jc w:val="both"/>
        <w:rPr>
          <w:szCs w:val="28"/>
        </w:rPr>
      </w:pPr>
      <w:r w:rsidRPr="00784F6C">
        <w:rPr>
          <w:szCs w:val="28"/>
        </w:rPr>
        <w:t>[5] ЕВРОПЕЙСКИ ПАРЛАМЕНТ; СЪВЕТ НА ЕВРОПЕЙСКИЯ СЪЮЗ.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Официален вестник на Европейския съюз. 2016, L 119, с. 1–88.</w:t>
      </w:r>
    </w:p>
    <w:p w14:paraId="7A549B13" w14:textId="5F44867B" w:rsidR="00784F6C" w:rsidRPr="00784F6C" w:rsidRDefault="00784F6C" w:rsidP="00784F6C">
      <w:pPr>
        <w:ind w:firstLine="567"/>
        <w:jc w:val="both"/>
        <w:rPr>
          <w:szCs w:val="28"/>
        </w:rPr>
      </w:pPr>
      <w:r w:rsidRPr="00784F6C">
        <w:rPr>
          <w:szCs w:val="28"/>
        </w:rPr>
        <w:t xml:space="preserve">[6] EUROPEAN TELECOMMUNICATIONS STANDARDS INSTITUTE (ETSI). ETSI TS 103 479: </w:t>
      </w:r>
      <w:proofErr w:type="spellStart"/>
      <w:r w:rsidRPr="00784F6C">
        <w:rPr>
          <w:szCs w:val="28"/>
        </w:rPr>
        <w:t>Emergency</w:t>
      </w:r>
      <w:proofErr w:type="spellEnd"/>
      <w:r w:rsidRPr="00784F6C">
        <w:rPr>
          <w:szCs w:val="28"/>
        </w:rPr>
        <w:t xml:space="preserve"> </w:t>
      </w:r>
      <w:proofErr w:type="spellStart"/>
      <w:r w:rsidRPr="00784F6C">
        <w:rPr>
          <w:szCs w:val="28"/>
        </w:rPr>
        <w:t>Communications</w:t>
      </w:r>
      <w:proofErr w:type="spellEnd"/>
      <w:r w:rsidRPr="00784F6C">
        <w:rPr>
          <w:szCs w:val="28"/>
        </w:rPr>
        <w:t xml:space="preserve"> (EMTEL); </w:t>
      </w:r>
      <w:proofErr w:type="spellStart"/>
      <w:r w:rsidRPr="00784F6C">
        <w:rPr>
          <w:szCs w:val="28"/>
        </w:rPr>
        <w:t>Core</w:t>
      </w:r>
      <w:proofErr w:type="spellEnd"/>
      <w:r w:rsidRPr="00784F6C">
        <w:rPr>
          <w:szCs w:val="28"/>
        </w:rPr>
        <w:t xml:space="preserve"> </w:t>
      </w:r>
      <w:proofErr w:type="spellStart"/>
      <w:r w:rsidRPr="00784F6C">
        <w:rPr>
          <w:szCs w:val="28"/>
        </w:rPr>
        <w:t>elements</w:t>
      </w:r>
      <w:proofErr w:type="spellEnd"/>
      <w:r w:rsidRPr="00784F6C">
        <w:rPr>
          <w:szCs w:val="28"/>
        </w:rPr>
        <w:t xml:space="preserve"> </w:t>
      </w:r>
      <w:proofErr w:type="spellStart"/>
      <w:r w:rsidRPr="00784F6C">
        <w:rPr>
          <w:szCs w:val="28"/>
        </w:rPr>
        <w:t>for</w:t>
      </w:r>
      <w:proofErr w:type="spellEnd"/>
      <w:r w:rsidRPr="00784F6C">
        <w:rPr>
          <w:szCs w:val="28"/>
        </w:rPr>
        <w:t xml:space="preserve"> </w:t>
      </w:r>
      <w:proofErr w:type="spellStart"/>
      <w:r w:rsidRPr="00784F6C">
        <w:rPr>
          <w:szCs w:val="28"/>
        </w:rPr>
        <w:t>network</w:t>
      </w:r>
      <w:proofErr w:type="spellEnd"/>
      <w:r w:rsidRPr="00784F6C">
        <w:rPr>
          <w:szCs w:val="28"/>
        </w:rPr>
        <w:t xml:space="preserve"> </w:t>
      </w:r>
      <w:proofErr w:type="spellStart"/>
      <w:r w:rsidRPr="00784F6C">
        <w:rPr>
          <w:szCs w:val="28"/>
        </w:rPr>
        <w:t>independent</w:t>
      </w:r>
      <w:proofErr w:type="spellEnd"/>
      <w:r w:rsidRPr="00784F6C">
        <w:rPr>
          <w:szCs w:val="28"/>
        </w:rPr>
        <w:t xml:space="preserve"> </w:t>
      </w:r>
      <w:proofErr w:type="spellStart"/>
      <w:r w:rsidRPr="00784F6C">
        <w:rPr>
          <w:szCs w:val="28"/>
        </w:rPr>
        <w:t>access</w:t>
      </w:r>
      <w:proofErr w:type="spellEnd"/>
      <w:r w:rsidRPr="00784F6C">
        <w:rPr>
          <w:szCs w:val="28"/>
        </w:rPr>
        <w:t xml:space="preserve"> </w:t>
      </w:r>
      <w:proofErr w:type="spellStart"/>
      <w:r w:rsidRPr="00784F6C">
        <w:rPr>
          <w:szCs w:val="28"/>
        </w:rPr>
        <w:t>to</w:t>
      </w:r>
      <w:proofErr w:type="spellEnd"/>
      <w:r w:rsidRPr="00784F6C">
        <w:rPr>
          <w:szCs w:val="28"/>
        </w:rPr>
        <w:t xml:space="preserve"> </w:t>
      </w:r>
      <w:proofErr w:type="spellStart"/>
      <w:r w:rsidRPr="00784F6C">
        <w:rPr>
          <w:szCs w:val="28"/>
        </w:rPr>
        <w:t>emergency</w:t>
      </w:r>
      <w:proofErr w:type="spellEnd"/>
      <w:r w:rsidRPr="00784F6C">
        <w:rPr>
          <w:szCs w:val="28"/>
        </w:rPr>
        <w:t xml:space="preserve"> </w:t>
      </w:r>
      <w:proofErr w:type="spellStart"/>
      <w:r w:rsidRPr="00784F6C">
        <w:rPr>
          <w:szCs w:val="28"/>
        </w:rPr>
        <w:t>services</w:t>
      </w:r>
      <w:proofErr w:type="spellEnd"/>
      <w:r w:rsidRPr="00784F6C">
        <w:rPr>
          <w:szCs w:val="28"/>
        </w:rPr>
        <w:t xml:space="preserve">. </w:t>
      </w:r>
      <w:proofErr w:type="spellStart"/>
      <w:r w:rsidRPr="00784F6C">
        <w:rPr>
          <w:szCs w:val="28"/>
        </w:rPr>
        <w:t>Sophia</w:t>
      </w:r>
      <w:proofErr w:type="spellEnd"/>
      <w:r w:rsidRPr="00784F6C">
        <w:rPr>
          <w:szCs w:val="28"/>
        </w:rPr>
        <w:t xml:space="preserve"> </w:t>
      </w:r>
      <w:proofErr w:type="spellStart"/>
      <w:r w:rsidRPr="00784F6C">
        <w:rPr>
          <w:szCs w:val="28"/>
        </w:rPr>
        <w:t>Antipolis</w:t>
      </w:r>
      <w:proofErr w:type="spellEnd"/>
      <w:r w:rsidRPr="00784F6C">
        <w:rPr>
          <w:szCs w:val="28"/>
        </w:rPr>
        <w:t>: ETSI.</w:t>
      </w:r>
    </w:p>
    <w:p w14:paraId="6FFFA6DF" w14:textId="7B953A0F" w:rsidR="00784F6C" w:rsidRPr="00784F6C" w:rsidRDefault="00784F6C" w:rsidP="00784F6C">
      <w:pPr>
        <w:ind w:firstLine="567"/>
        <w:jc w:val="both"/>
        <w:rPr>
          <w:szCs w:val="28"/>
        </w:rPr>
      </w:pPr>
      <w:r w:rsidRPr="00784F6C">
        <w:rPr>
          <w:szCs w:val="28"/>
        </w:rPr>
        <w:t xml:space="preserve">[7] EUROPEAN TELECOMMUNICATIONS STANDARDS INSTITUTE (ETSI). ETSI TS 103 625: </w:t>
      </w:r>
      <w:proofErr w:type="spellStart"/>
      <w:r w:rsidRPr="00784F6C">
        <w:rPr>
          <w:szCs w:val="28"/>
        </w:rPr>
        <w:t>Emergency</w:t>
      </w:r>
      <w:proofErr w:type="spellEnd"/>
      <w:r w:rsidRPr="00784F6C">
        <w:rPr>
          <w:szCs w:val="28"/>
        </w:rPr>
        <w:t xml:space="preserve"> </w:t>
      </w:r>
      <w:proofErr w:type="spellStart"/>
      <w:r w:rsidRPr="00784F6C">
        <w:rPr>
          <w:szCs w:val="28"/>
        </w:rPr>
        <w:t>Communications</w:t>
      </w:r>
      <w:proofErr w:type="spellEnd"/>
      <w:r w:rsidRPr="00784F6C">
        <w:rPr>
          <w:szCs w:val="28"/>
        </w:rPr>
        <w:t xml:space="preserve"> (EMTEL); </w:t>
      </w:r>
      <w:proofErr w:type="spellStart"/>
      <w:r w:rsidRPr="00784F6C">
        <w:rPr>
          <w:szCs w:val="28"/>
        </w:rPr>
        <w:t>Transporting</w:t>
      </w:r>
      <w:proofErr w:type="spellEnd"/>
      <w:r w:rsidRPr="00784F6C">
        <w:rPr>
          <w:szCs w:val="28"/>
        </w:rPr>
        <w:t xml:space="preserve"> </w:t>
      </w:r>
      <w:proofErr w:type="spellStart"/>
      <w:r w:rsidRPr="00784F6C">
        <w:rPr>
          <w:szCs w:val="28"/>
        </w:rPr>
        <w:t>Handset</w:t>
      </w:r>
      <w:proofErr w:type="spellEnd"/>
      <w:r w:rsidRPr="00784F6C">
        <w:rPr>
          <w:szCs w:val="28"/>
        </w:rPr>
        <w:t xml:space="preserve"> </w:t>
      </w:r>
      <w:proofErr w:type="spellStart"/>
      <w:r w:rsidRPr="00784F6C">
        <w:rPr>
          <w:szCs w:val="28"/>
        </w:rPr>
        <w:t>Location</w:t>
      </w:r>
      <w:proofErr w:type="spellEnd"/>
      <w:r w:rsidRPr="00784F6C">
        <w:rPr>
          <w:szCs w:val="28"/>
        </w:rPr>
        <w:t xml:space="preserve"> </w:t>
      </w:r>
      <w:proofErr w:type="spellStart"/>
      <w:r w:rsidRPr="00784F6C">
        <w:rPr>
          <w:szCs w:val="28"/>
        </w:rPr>
        <w:t>to</w:t>
      </w:r>
      <w:proofErr w:type="spellEnd"/>
      <w:r w:rsidRPr="00784F6C">
        <w:rPr>
          <w:szCs w:val="28"/>
        </w:rPr>
        <w:t xml:space="preserve"> </w:t>
      </w:r>
      <w:proofErr w:type="spellStart"/>
      <w:r w:rsidRPr="00784F6C">
        <w:rPr>
          <w:szCs w:val="28"/>
        </w:rPr>
        <w:t>PSAPs</w:t>
      </w:r>
      <w:proofErr w:type="spellEnd"/>
      <w:r w:rsidRPr="00784F6C">
        <w:rPr>
          <w:szCs w:val="28"/>
        </w:rPr>
        <w:t xml:space="preserve"> </w:t>
      </w:r>
      <w:proofErr w:type="spellStart"/>
      <w:r w:rsidRPr="00784F6C">
        <w:rPr>
          <w:szCs w:val="28"/>
        </w:rPr>
        <w:t>for</w:t>
      </w:r>
      <w:proofErr w:type="spellEnd"/>
      <w:r w:rsidRPr="00784F6C">
        <w:rPr>
          <w:szCs w:val="28"/>
        </w:rPr>
        <w:t xml:space="preserve"> </w:t>
      </w:r>
      <w:proofErr w:type="spellStart"/>
      <w:r w:rsidRPr="00784F6C">
        <w:rPr>
          <w:szCs w:val="28"/>
        </w:rPr>
        <w:t>Emergency</w:t>
      </w:r>
      <w:proofErr w:type="spellEnd"/>
      <w:r w:rsidRPr="00784F6C">
        <w:rPr>
          <w:szCs w:val="28"/>
        </w:rPr>
        <w:t xml:space="preserve"> </w:t>
      </w:r>
      <w:proofErr w:type="spellStart"/>
      <w:r w:rsidRPr="00784F6C">
        <w:rPr>
          <w:szCs w:val="28"/>
        </w:rPr>
        <w:t>Calls</w:t>
      </w:r>
      <w:proofErr w:type="spellEnd"/>
      <w:r w:rsidRPr="00784F6C">
        <w:rPr>
          <w:szCs w:val="28"/>
        </w:rPr>
        <w:t xml:space="preserve"> – </w:t>
      </w:r>
      <w:proofErr w:type="spellStart"/>
      <w:r w:rsidRPr="00784F6C">
        <w:rPr>
          <w:szCs w:val="28"/>
        </w:rPr>
        <w:t>Advanced</w:t>
      </w:r>
      <w:proofErr w:type="spellEnd"/>
      <w:r w:rsidRPr="00784F6C">
        <w:rPr>
          <w:szCs w:val="28"/>
        </w:rPr>
        <w:t xml:space="preserve"> </w:t>
      </w:r>
      <w:proofErr w:type="spellStart"/>
      <w:r w:rsidRPr="00784F6C">
        <w:rPr>
          <w:szCs w:val="28"/>
        </w:rPr>
        <w:t>Mobile</w:t>
      </w:r>
      <w:proofErr w:type="spellEnd"/>
      <w:r w:rsidRPr="00784F6C">
        <w:rPr>
          <w:szCs w:val="28"/>
        </w:rPr>
        <w:t xml:space="preserve"> </w:t>
      </w:r>
      <w:proofErr w:type="spellStart"/>
      <w:r w:rsidRPr="00784F6C">
        <w:rPr>
          <w:szCs w:val="28"/>
        </w:rPr>
        <w:t>Location</w:t>
      </w:r>
      <w:proofErr w:type="spellEnd"/>
      <w:r w:rsidRPr="00784F6C">
        <w:rPr>
          <w:szCs w:val="28"/>
        </w:rPr>
        <w:t xml:space="preserve"> (AML). </w:t>
      </w:r>
      <w:proofErr w:type="spellStart"/>
      <w:r w:rsidRPr="00784F6C">
        <w:rPr>
          <w:szCs w:val="28"/>
        </w:rPr>
        <w:t>Sophia</w:t>
      </w:r>
      <w:proofErr w:type="spellEnd"/>
      <w:r w:rsidRPr="00784F6C">
        <w:rPr>
          <w:szCs w:val="28"/>
        </w:rPr>
        <w:t xml:space="preserve"> </w:t>
      </w:r>
      <w:proofErr w:type="spellStart"/>
      <w:r w:rsidRPr="00784F6C">
        <w:rPr>
          <w:szCs w:val="28"/>
        </w:rPr>
        <w:t>Antipolis</w:t>
      </w:r>
      <w:proofErr w:type="spellEnd"/>
      <w:r w:rsidRPr="00784F6C">
        <w:rPr>
          <w:szCs w:val="28"/>
        </w:rPr>
        <w:t>: ETSI.</w:t>
      </w:r>
    </w:p>
    <w:p w14:paraId="66C4DD2B" w14:textId="2C3A2E86" w:rsidR="00784F6C" w:rsidRPr="00784F6C" w:rsidRDefault="00784F6C" w:rsidP="00784F6C">
      <w:pPr>
        <w:ind w:firstLine="567"/>
        <w:jc w:val="both"/>
        <w:rPr>
          <w:szCs w:val="28"/>
        </w:rPr>
      </w:pPr>
      <w:r w:rsidRPr="00784F6C">
        <w:rPr>
          <w:szCs w:val="28"/>
        </w:rPr>
        <w:t xml:space="preserve">[8] EUROPEAN EMERGENCY NUMBER ASSOCIATION (EENA). NG112: </w:t>
      </w:r>
      <w:proofErr w:type="spellStart"/>
      <w:r w:rsidRPr="00784F6C">
        <w:rPr>
          <w:szCs w:val="28"/>
        </w:rPr>
        <w:t>Operations</w:t>
      </w:r>
      <w:proofErr w:type="spellEnd"/>
      <w:r w:rsidRPr="00784F6C">
        <w:rPr>
          <w:szCs w:val="28"/>
        </w:rPr>
        <w:t xml:space="preserve"> </w:t>
      </w:r>
      <w:proofErr w:type="spellStart"/>
      <w:r w:rsidRPr="00784F6C">
        <w:rPr>
          <w:szCs w:val="28"/>
        </w:rPr>
        <w:t>and</w:t>
      </w:r>
      <w:proofErr w:type="spellEnd"/>
      <w:r w:rsidRPr="00784F6C">
        <w:rPr>
          <w:szCs w:val="28"/>
        </w:rPr>
        <w:t xml:space="preserve"> </w:t>
      </w:r>
      <w:proofErr w:type="spellStart"/>
      <w:r w:rsidRPr="00784F6C">
        <w:rPr>
          <w:szCs w:val="28"/>
        </w:rPr>
        <w:t>Technical</w:t>
      </w:r>
      <w:proofErr w:type="spellEnd"/>
      <w:r w:rsidRPr="00784F6C">
        <w:rPr>
          <w:szCs w:val="28"/>
        </w:rPr>
        <w:t xml:space="preserve"> </w:t>
      </w:r>
      <w:proofErr w:type="spellStart"/>
      <w:r w:rsidRPr="00784F6C">
        <w:rPr>
          <w:szCs w:val="28"/>
        </w:rPr>
        <w:t>Recommendations</w:t>
      </w:r>
      <w:proofErr w:type="spellEnd"/>
      <w:r w:rsidRPr="00784F6C">
        <w:rPr>
          <w:szCs w:val="28"/>
        </w:rPr>
        <w:t xml:space="preserve"> </w:t>
      </w:r>
      <w:proofErr w:type="spellStart"/>
      <w:r w:rsidRPr="00784F6C">
        <w:rPr>
          <w:szCs w:val="28"/>
        </w:rPr>
        <w:t>Document</w:t>
      </w:r>
      <w:proofErr w:type="spellEnd"/>
      <w:r w:rsidRPr="00784F6C">
        <w:rPr>
          <w:szCs w:val="28"/>
        </w:rPr>
        <w:t xml:space="preserve">. </w:t>
      </w:r>
      <w:proofErr w:type="spellStart"/>
      <w:r w:rsidRPr="00784F6C">
        <w:rPr>
          <w:szCs w:val="28"/>
        </w:rPr>
        <w:t>Brussels</w:t>
      </w:r>
      <w:proofErr w:type="spellEnd"/>
      <w:r w:rsidRPr="00784F6C">
        <w:rPr>
          <w:szCs w:val="28"/>
        </w:rPr>
        <w:t>: EENA.</w:t>
      </w:r>
    </w:p>
    <w:p w14:paraId="289ED9F7" w14:textId="2B90C27C" w:rsidR="00D1767C" w:rsidRPr="00D1767C" w:rsidRDefault="00784F6C" w:rsidP="003004BD">
      <w:pPr>
        <w:ind w:firstLine="567"/>
        <w:jc w:val="both"/>
        <w:rPr>
          <w:szCs w:val="28"/>
        </w:rPr>
      </w:pPr>
      <w:r w:rsidRPr="00784F6C">
        <w:rPr>
          <w:szCs w:val="28"/>
        </w:rPr>
        <w:t>[9] МИНИСТЕРСТВО НА ВЪТРЕШНИТЕ РАБОТИ. Дирекция „Национална система 112“. Официални годишни доклади за дейността на Дирекция „Национална система 112“. София: МВР.</w:t>
      </w: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B51D8" w14:textId="77777777" w:rsidR="00681C89" w:rsidRDefault="00681C89" w:rsidP="00A0193A">
      <w:r>
        <w:separator/>
      </w:r>
    </w:p>
  </w:endnote>
  <w:endnote w:type="continuationSeparator" w:id="0">
    <w:p w14:paraId="061FF497" w14:textId="77777777" w:rsidR="00681C89" w:rsidRDefault="00681C89"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BCE59" w14:textId="77777777" w:rsidR="00681C89" w:rsidRDefault="00681C89" w:rsidP="00A0193A">
      <w:r>
        <w:separator/>
      </w:r>
    </w:p>
  </w:footnote>
  <w:footnote w:type="continuationSeparator" w:id="0">
    <w:p w14:paraId="2081D1E6" w14:textId="77777777" w:rsidR="00681C89" w:rsidRDefault="00681C89"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5A98327A"/>
    <w:multiLevelType w:val="hybridMultilevel"/>
    <w:tmpl w:val="4EACADDC"/>
    <w:lvl w:ilvl="0" w:tplc="3B5EF83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777A581B"/>
    <w:multiLevelType w:val="multilevel"/>
    <w:tmpl w:val="988A6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7868753">
    <w:abstractNumId w:val="0"/>
  </w:num>
  <w:num w:numId="2" w16cid:durableId="1705866607">
    <w:abstractNumId w:val="2"/>
  </w:num>
  <w:num w:numId="3" w16cid:durableId="21274563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mirrorMargins/>
  <w:proofState w:spelling="clean" w:grammar="clean"/>
  <w:revisionView w:inkAnnotations="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04DFC"/>
    <w:rsid w:val="00051D66"/>
    <w:rsid w:val="0007387D"/>
    <w:rsid w:val="00083FBE"/>
    <w:rsid w:val="00085D68"/>
    <w:rsid w:val="000B2FA3"/>
    <w:rsid w:val="000C0AD8"/>
    <w:rsid w:val="000E49AE"/>
    <w:rsid w:val="00121F6A"/>
    <w:rsid w:val="00124CF7"/>
    <w:rsid w:val="00127C45"/>
    <w:rsid w:val="00134639"/>
    <w:rsid w:val="001524D5"/>
    <w:rsid w:val="001537E6"/>
    <w:rsid w:val="00155CA9"/>
    <w:rsid w:val="001622BD"/>
    <w:rsid w:val="00164EFF"/>
    <w:rsid w:val="001712CF"/>
    <w:rsid w:val="001744E6"/>
    <w:rsid w:val="00192717"/>
    <w:rsid w:val="001A382A"/>
    <w:rsid w:val="001B5649"/>
    <w:rsid w:val="001E6585"/>
    <w:rsid w:val="001F6E53"/>
    <w:rsid w:val="00213595"/>
    <w:rsid w:val="00214AFE"/>
    <w:rsid w:val="00226429"/>
    <w:rsid w:val="0022685B"/>
    <w:rsid w:val="002356BA"/>
    <w:rsid w:val="00237706"/>
    <w:rsid w:val="00241969"/>
    <w:rsid w:val="00245689"/>
    <w:rsid w:val="002521A9"/>
    <w:rsid w:val="002565CF"/>
    <w:rsid w:val="0026135C"/>
    <w:rsid w:val="00261DCD"/>
    <w:rsid w:val="00274819"/>
    <w:rsid w:val="00276C0F"/>
    <w:rsid w:val="002A7C9B"/>
    <w:rsid w:val="002B00F1"/>
    <w:rsid w:val="002B1FEE"/>
    <w:rsid w:val="002E611A"/>
    <w:rsid w:val="002F6F16"/>
    <w:rsid w:val="003004BD"/>
    <w:rsid w:val="0030751A"/>
    <w:rsid w:val="00371186"/>
    <w:rsid w:val="00386A6A"/>
    <w:rsid w:val="003B1F44"/>
    <w:rsid w:val="003B4BBC"/>
    <w:rsid w:val="003B7D36"/>
    <w:rsid w:val="003D7A54"/>
    <w:rsid w:val="003E4E40"/>
    <w:rsid w:val="00415DF1"/>
    <w:rsid w:val="00471759"/>
    <w:rsid w:val="004C7433"/>
    <w:rsid w:val="004F1C93"/>
    <w:rsid w:val="004F589D"/>
    <w:rsid w:val="005008ED"/>
    <w:rsid w:val="005022FD"/>
    <w:rsid w:val="00503623"/>
    <w:rsid w:val="0052174B"/>
    <w:rsid w:val="00534842"/>
    <w:rsid w:val="00561C14"/>
    <w:rsid w:val="0058074B"/>
    <w:rsid w:val="005C35F1"/>
    <w:rsid w:val="0068049F"/>
    <w:rsid w:val="0068074F"/>
    <w:rsid w:val="00681C89"/>
    <w:rsid w:val="00683E63"/>
    <w:rsid w:val="00686EAC"/>
    <w:rsid w:val="00694543"/>
    <w:rsid w:val="006A5150"/>
    <w:rsid w:val="006A7513"/>
    <w:rsid w:val="006A7C1E"/>
    <w:rsid w:val="006D7048"/>
    <w:rsid w:val="006F2052"/>
    <w:rsid w:val="007041A3"/>
    <w:rsid w:val="00710DE2"/>
    <w:rsid w:val="00735076"/>
    <w:rsid w:val="00763C2E"/>
    <w:rsid w:val="0077663F"/>
    <w:rsid w:val="00781794"/>
    <w:rsid w:val="00784A27"/>
    <w:rsid w:val="00784F6C"/>
    <w:rsid w:val="007973BD"/>
    <w:rsid w:val="007B5909"/>
    <w:rsid w:val="007B686C"/>
    <w:rsid w:val="007C4BAE"/>
    <w:rsid w:val="007C65B7"/>
    <w:rsid w:val="007E2105"/>
    <w:rsid w:val="00800C76"/>
    <w:rsid w:val="00805804"/>
    <w:rsid w:val="008129C2"/>
    <w:rsid w:val="008652CB"/>
    <w:rsid w:val="00870BC5"/>
    <w:rsid w:val="00877F5E"/>
    <w:rsid w:val="008B22A4"/>
    <w:rsid w:val="008B7B8F"/>
    <w:rsid w:val="008C7A58"/>
    <w:rsid w:val="008D1109"/>
    <w:rsid w:val="009003B5"/>
    <w:rsid w:val="00901270"/>
    <w:rsid w:val="0091243D"/>
    <w:rsid w:val="00915C6C"/>
    <w:rsid w:val="00925081"/>
    <w:rsid w:val="00934811"/>
    <w:rsid w:val="009375B6"/>
    <w:rsid w:val="00940E4A"/>
    <w:rsid w:val="00946E7C"/>
    <w:rsid w:val="00957EAF"/>
    <w:rsid w:val="009605D7"/>
    <w:rsid w:val="00967173"/>
    <w:rsid w:val="0098344D"/>
    <w:rsid w:val="00996456"/>
    <w:rsid w:val="009A4A67"/>
    <w:rsid w:val="009B47A1"/>
    <w:rsid w:val="009E6451"/>
    <w:rsid w:val="009F12DD"/>
    <w:rsid w:val="009F29F2"/>
    <w:rsid w:val="009F6B0F"/>
    <w:rsid w:val="00A0193A"/>
    <w:rsid w:val="00A25E7D"/>
    <w:rsid w:val="00A86955"/>
    <w:rsid w:val="00A8717A"/>
    <w:rsid w:val="00B165DC"/>
    <w:rsid w:val="00B245AD"/>
    <w:rsid w:val="00B3091F"/>
    <w:rsid w:val="00B41AF1"/>
    <w:rsid w:val="00B5127C"/>
    <w:rsid w:val="00B601CF"/>
    <w:rsid w:val="00B73727"/>
    <w:rsid w:val="00B7407F"/>
    <w:rsid w:val="00B74F4B"/>
    <w:rsid w:val="00B825AF"/>
    <w:rsid w:val="00B869A3"/>
    <w:rsid w:val="00B9433C"/>
    <w:rsid w:val="00B97CDE"/>
    <w:rsid w:val="00BA5E13"/>
    <w:rsid w:val="00BB0875"/>
    <w:rsid w:val="00BC2FB1"/>
    <w:rsid w:val="00BD084C"/>
    <w:rsid w:val="00BF2235"/>
    <w:rsid w:val="00C144B9"/>
    <w:rsid w:val="00C26503"/>
    <w:rsid w:val="00C33722"/>
    <w:rsid w:val="00C40CDF"/>
    <w:rsid w:val="00C46C28"/>
    <w:rsid w:val="00C544B2"/>
    <w:rsid w:val="00CA7C37"/>
    <w:rsid w:val="00CB7B8B"/>
    <w:rsid w:val="00CC24AA"/>
    <w:rsid w:val="00CC2D24"/>
    <w:rsid w:val="00CD71B9"/>
    <w:rsid w:val="00CF19F3"/>
    <w:rsid w:val="00D1767C"/>
    <w:rsid w:val="00D403D8"/>
    <w:rsid w:val="00D4589B"/>
    <w:rsid w:val="00D45D68"/>
    <w:rsid w:val="00D940F8"/>
    <w:rsid w:val="00DF315E"/>
    <w:rsid w:val="00E00BFC"/>
    <w:rsid w:val="00E019C5"/>
    <w:rsid w:val="00E0218D"/>
    <w:rsid w:val="00E0714D"/>
    <w:rsid w:val="00E16576"/>
    <w:rsid w:val="00E26ABF"/>
    <w:rsid w:val="00E746D1"/>
    <w:rsid w:val="00E766EE"/>
    <w:rsid w:val="00E8797D"/>
    <w:rsid w:val="00E87BD7"/>
    <w:rsid w:val="00E97395"/>
    <w:rsid w:val="00EA28F3"/>
    <w:rsid w:val="00EA48CD"/>
    <w:rsid w:val="00ED1FBC"/>
    <w:rsid w:val="00EE7E86"/>
    <w:rsid w:val="00EF35AF"/>
    <w:rsid w:val="00EF5F53"/>
    <w:rsid w:val="00F0297C"/>
    <w:rsid w:val="00F1545C"/>
    <w:rsid w:val="00F2077C"/>
    <w:rsid w:val="00F43811"/>
    <w:rsid w:val="00F64D1C"/>
    <w:rsid w:val="00F814FB"/>
    <w:rsid w:val="00F930D7"/>
    <w:rsid w:val="00F93296"/>
    <w:rsid w:val="00F947F9"/>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customStyle="1" w:styleId="12">
    <w:name w:val="Неразрешено споменаване1"/>
    <w:basedOn w:val="a0"/>
    <w:uiPriority w:val="99"/>
    <w:semiHidden/>
    <w:unhideWhenUsed/>
    <w:rsid w:val="00F947F9"/>
    <w:rPr>
      <w:color w:val="605E5C"/>
      <w:shd w:val="clear" w:color="auto" w:fill="E1DFDD"/>
    </w:rPr>
  </w:style>
  <w:style w:type="character" w:styleId="af0">
    <w:name w:val="FollowedHyperlink"/>
    <w:basedOn w:val="a0"/>
    <w:uiPriority w:val="99"/>
    <w:semiHidden/>
    <w:unhideWhenUsed/>
    <w:rsid w:val="00F947F9"/>
    <w:rPr>
      <w:color w:val="954F72" w:themeColor="followedHyperlink"/>
      <w:u w:val="single"/>
    </w:rPr>
  </w:style>
  <w:style w:type="paragraph" w:styleId="af1">
    <w:name w:val="Normal (Web)"/>
    <w:basedOn w:val="a"/>
    <w:uiPriority w:val="99"/>
    <w:semiHidden/>
    <w:unhideWhenUsed/>
    <w:rsid w:val="003B4BBC"/>
    <w:pPr>
      <w:spacing w:before="100" w:beforeAutospacing="1" w:after="100" w:afterAutospacing="1"/>
    </w:pPr>
    <w:rPr>
      <w:sz w:val="24"/>
    </w:rPr>
  </w:style>
  <w:style w:type="character" w:styleId="af2">
    <w:name w:val="Strong"/>
    <w:basedOn w:val="a0"/>
    <w:uiPriority w:val="22"/>
    <w:qFormat/>
    <w:rsid w:val="00B740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67733">
      <w:bodyDiv w:val="1"/>
      <w:marLeft w:val="0"/>
      <w:marRight w:val="0"/>
      <w:marTop w:val="0"/>
      <w:marBottom w:val="0"/>
      <w:divBdr>
        <w:top w:val="none" w:sz="0" w:space="0" w:color="auto"/>
        <w:left w:val="none" w:sz="0" w:space="0" w:color="auto"/>
        <w:bottom w:val="none" w:sz="0" w:space="0" w:color="auto"/>
        <w:right w:val="none" w:sz="0" w:space="0" w:color="auto"/>
      </w:divBdr>
    </w:div>
    <w:div w:id="263420262">
      <w:bodyDiv w:val="1"/>
      <w:marLeft w:val="0"/>
      <w:marRight w:val="0"/>
      <w:marTop w:val="0"/>
      <w:marBottom w:val="0"/>
      <w:divBdr>
        <w:top w:val="none" w:sz="0" w:space="0" w:color="auto"/>
        <w:left w:val="none" w:sz="0" w:space="0" w:color="auto"/>
        <w:bottom w:val="none" w:sz="0" w:space="0" w:color="auto"/>
        <w:right w:val="none" w:sz="0" w:space="0" w:color="auto"/>
      </w:divBdr>
    </w:div>
    <w:div w:id="352070636">
      <w:bodyDiv w:val="1"/>
      <w:marLeft w:val="0"/>
      <w:marRight w:val="0"/>
      <w:marTop w:val="0"/>
      <w:marBottom w:val="0"/>
      <w:divBdr>
        <w:top w:val="none" w:sz="0" w:space="0" w:color="auto"/>
        <w:left w:val="none" w:sz="0" w:space="0" w:color="auto"/>
        <w:bottom w:val="none" w:sz="0" w:space="0" w:color="auto"/>
        <w:right w:val="none" w:sz="0" w:space="0" w:color="auto"/>
      </w:divBdr>
    </w:div>
    <w:div w:id="537933237">
      <w:bodyDiv w:val="1"/>
      <w:marLeft w:val="0"/>
      <w:marRight w:val="0"/>
      <w:marTop w:val="0"/>
      <w:marBottom w:val="0"/>
      <w:divBdr>
        <w:top w:val="none" w:sz="0" w:space="0" w:color="auto"/>
        <w:left w:val="none" w:sz="0" w:space="0" w:color="auto"/>
        <w:bottom w:val="none" w:sz="0" w:space="0" w:color="auto"/>
        <w:right w:val="none" w:sz="0" w:space="0" w:color="auto"/>
      </w:divBdr>
    </w:div>
    <w:div w:id="570316768">
      <w:bodyDiv w:val="1"/>
      <w:marLeft w:val="0"/>
      <w:marRight w:val="0"/>
      <w:marTop w:val="0"/>
      <w:marBottom w:val="0"/>
      <w:divBdr>
        <w:top w:val="none" w:sz="0" w:space="0" w:color="auto"/>
        <w:left w:val="none" w:sz="0" w:space="0" w:color="auto"/>
        <w:bottom w:val="none" w:sz="0" w:space="0" w:color="auto"/>
        <w:right w:val="none" w:sz="0" w:space="0" w:color="auto"/>
      </w:divBdr>
    </w:div>
    <w:div w:id="610019068">
      <w:bodyDiv w:val="1"/>
      <w:marLeft w:val="0"/>
      <w:marRight w:val="0"/>
      <w:marTop w:val="0"/>
      <w:marBottom w:val="0"/>
      <w:divBdr>
        <w:top w:val="none" w:sz="0" w:space="0" w:color="auto"/>
        <w:left w:val="none" w:sz="0" w:space="0" w:color="auto"/>
        <w:bottom w:val="none" w:sz="0" w:space="0" w:color="auto"/>
        <w:right w:val="none" w:sz="0" w:space="0" w:color="auto"/>
      </w:divBdr>
    </w:div>
    <w:div w:id="749497336">
      <w:bodyDiv w:val="1"/>
      <w:marLeft w:val="0"/>
      <w:marRight w:val="0"/>
      <w:marTop w:val="0"/>
      <w:marBottom w:val="0"/>
      <w:divBdr>
        <w:top w:val="none" w:sz="0" w:space="0" w:color="auto"/>
        <w:left w:val="none" w:sz="0" w:space="0" w:color="auto"/>
        <w:bottom w:val="none" w:sz="0" w:space="0" w:color="auto"/>
        <w:right w:val="none" w:sz="0" w:space="0" w:color="auto"/>
      </w:divBdr>
    </w:div>
    <w:div w:id="788550886">
      <w:bodyDiv w:val="1"/>
      <w:marLeft w:val="0"/>
      <w:marRight w:val="0"/>
      <w:marTop w:val="0"/>
      <w:marBottom w:val="0"/>
      <w:divBdr>
        <w:top w:val="none" w:sz="0" w:space="0" w:color="auto"/>
        <w:left w:val="none" w:sz="0" w:space="0" w:color="auto"/>
        <w:bottom w:val="none" w:sz="0" w:space="0" w:color="auto"/>
        <w:right w:val="none" w:sz="0" w:space="0" w:color="auto"/>
      </w:divBdr>
    </w:div>
    <w:div w:id="858356602">
      <w:bodyDiv w:val="1"/>
      <w:marLeft w:val="0"/>
      <w:marRight w:val="0"/>
      <w:marTop w:val="0"/>
      <w:marBottom w:val="0"/>
      <w:divBdr>
        <w:top w:val="none" w:sz="0" w:space="0" w:color="auto"/>
        <w:left w:val="none" w:sz="0" w:space="0" w:color="auto"/>
        <w:bottom w:val="none" w:sz="0" w:space="0" w:color="auto"/>
        <w:right w:val="none" w:sz="0" w:space="0" w:color="auto"/>
      </w:divBdr>
    </w:div>
    <w:div w:id="1039940366">
      <w:bodyDiv w:val="1"/>
      <w:marLeft w:val="0"/>
      <w:marRight w:val="0"/>
      <w:marTop w:val="0"/>
      <w:marBottom w:val="0"/>
      <w:divBdr>
        <w:top w:val="none" w:sz="0" w:space="0" w:color="auto"/>
        <w:left w:val="none" w:sz="0" w:space="0" w:color="auto"/>
        <w:bottom w:val="none" w:sz="0" w:space="0" w:color="auto"/>
        <w:right w:val="none" w:sz="0" w:space="0" w:color="auto"/>
      </w:divBdr>
    </w:div>
    <w:div w:id="1078287776">
      <w:bodyDiv w:val="1"/>
      <w:marLeft w:val="0"/>
      <w:marRight w:val="0"/>
      <w:marTop w:val="0"/>
      <w:marBottom w:val="0"/>
      <w:divBdr>
        <w:top w:val="none" w:sz="0" w:space="0" w:color="auto"/>
        <w:left w:val="none" w:sz="0" w:space="0" w:color="auto"/>
        <w:bottom w:val="none" w:sz="0" w:space="0" w:color="auto"/>
        <w:right w:val="none" w:sz="0" w:space="0" w:color="auto"/>
      </w:divBdr>
    </w:div>
    <w:div w:id="1139803711">
      <w:bodyDiv w:val="1"/>
      <w:marLeft w:val="0"/>
      <w:marRight w:val="0"/>
      <w:marTop w:val="0"/>
      <w:marBottom w:val="0"/>
      <w:divBdr>
        <w:top w:val="none" w:sz="0" w:space="0" w:color="auto"/>
        <w:left w:val="none" w:sz="0" w:space="0" w:color="auto"/>
        <w:bottom w:val="none" w:sz="0" w:space="0" w:color="auto"/>
        <w:right w:val="none" w:sz="0" w:space="0" w:color="auto"/>
      </w:divBdr>
    </w:div>
    <w:div w:id="1266302488">
      <w:bodyDiv w:val="1"/>
      <w:marLeft w:val="0"/>
      <w:marRight w:val="0"/>
      <w:marTop w:val="0"/>
      <w:marBottom w:val="0"/>
      <w:divBdr>
        <w:top w:val="none" w:sz="0" w:space="0" w:color="auto"/>
        <w:left w:val="none" w:sz="0" w:space="0" w:color="auto"/>
        <w:bottom w:val="none" w:sz="0" w:space="0" w:color="auto"/>
        <w:right w:val="none" w:sz="0" w:space="0" w:color="auto"/>
      </w:divBdr>
    </w:div>
    <w:div w:id="1466116415">
      <w:bodyDiv w:val="1"/>
      <w:marLeft w:val="0"/>
      <w:marRight w:val="0"/>
      <w:marTop w:val="0"/>
      <w:marBottom w:val="0"/>
      <w:divBdr>
        <w:top w:val="none" w:sz="0" w:space="0" w:color="auto"/>
        <w:left w:val="none" w:sz="0" w:space="0" w:color="auto"/>
        <w:bottom w:val="none" w:sz="0" w:space="0" w:color="auto"/>
        <w:right w:val="none" w:sz="0" w:space="0" w:color="auto"/>
      </w:divBdr>
    </w:div>
    <w:div w:id="1550263034">
      <w:bodyDiv w:val="1"/>
      <w:marLeft w:val="0"/>
      <w:marRight w:val="0"/>
      <w:marTop w:val="0"/>
      <w:marBottom w:val="0"/>
      <w:divBdr>
        <w:top w:val="none" w:sz="0" w:space="0" w:color="auto"/>
        <w:left w:val="none" w:sz="0" w:space="0" w:color="auto"/>
        <w:bottom w:val="none" w:sz="0" w:space="0" w:color="auto"/>
        <w:right w:val="none" w:sz="0" w:space="0" w:color="auto"/>
      </w:divBdr>
    </w:div>
    <w:div w:id="1624193002">
      <w:bodyDiv w:val="1"/>
      <w:marLeft w:val="0"/>
      <w:marRight w:val="0"/>
      <w:marTop w:val="0"/>
      <w:marBottom w:val="0"/>
      <w:divBdr>
        <w:top w:val="none" w:sz="0" w:space="0" w:color="auto"/>
        <w:left w:val="none" w:sz="0" w:space="0" w:color="auto"/>
        <w:bottom w:val="none" w:sz="0" w:space="0" w:color="auto"/>
        <w:right w:val="none" w:sz="0" w:space="0" w:color="auto"/>
      </w:divBdr>
    </w:div>
    <w:div w:id="1649626781">
      <w:bodyDiv w:val="1"/>
      <w:marLeft w:val="0"/>
      <w:marRight w:val="0"/>
      <w:marTop w:val="0"/>
      <w:marBottom w:val="0"/>
      <w:divBdr>
        <w:top w:val="none" w:sz="0" w:space="0" w:color="auto"/>
        <w:left w:val="none" w:sz="0" w:space="0" w:color="auto"/>
        <w:bottom w:val="none" w:sz="0" w:space="0" w:color="auto"/>
        <w:right w:val="none" w:sz="0" w:space="0" w:color="auto"/>
      </w:divBdr>
    </w:div>
    <w:div w:id="1663579505">
      <w:bodyDiv w:val="1"/>
      <w:marLeft w:val="0"/>
      <w:marRight w:val="0"/>
      <w:marTop w:val="0"/>
      <w:marBottom w:val="0"/>
      <w:divBdr>
        <w:top w:val="none" w:sz="0" w:space="0" w:color="auto"/>
        <w:left w:val="none" w:sz="0" w:space="0" w:color="auto"/>
        <w:bottom w:val="none" w:sz="0" w:space="0" w:color="auto"/>
        <w:right w:val="none" w:sz="0" w:space="0" w:color="auto"/>
      </w:divBdr>
    </w:div>
    <w:div w:id="1679195282">
      <w:bodyDiv w:val="1"/>
      <w:marLeft w:val="0"/>
      <w:marRight w:val="0"/>
      <w:marTop w:val="0"/>
      <w:marBottom w:val="0"/>
      <w:divBdr>
        <w:top w:val="none" w:sz="0" w:space="0" w:color="auto"/>
        <w:left w:val="none" w:sz="0" w:space="0" w:color="auto"/>
        <w:bottom w:val="none" w:sz="0" w:space="0" w:color="auto"/>
        <w:right w:val="none" w:sz="0" w:space="0" w:color="auto"/>
      </w:divBdr>
    </w:div>
    <w:div w:id="1697777081">
      <w:bodyDiv w:val="1"/>
      <w:marLeft w:val="0"/>
      <w:marRight w:val="0"/>
      <w:marTop w:val="0"/>
      <w:marBottom w:val="0"/>
      <w:divBdr>
        <w:top w:val="none" w:sz="0" w:space="0" w:color="auto"/>
        <w:left w:val="none" w:sz="0" w:space="0" w:color="auto"/>
        <w:bottom w:val="none" w:sz="0" w:space="0" w:color="auto"/>
        <w:right w:val="none" w:sz="0" w:space="0" w:color="auto"/>
      </w:divBdr>
    </w:div>
    <w:div w:id="1826313629">
      <w:bodyDiv w:val="1"/>
      <w:marLeft w:val="0"/>
      <w:marRight w:val="0"/>
      <w:marTop w:val="0"/>
      <w:marBottom w:val="0"/>
      <w:divBdr>
        <w:top w:val="none" w:sz="0" w:space="0" w:color="auto"/>
        <w:left w:val="none" w:sz="0" w:space="0" w:color="auto"/>
        <w:bottom w:val="none" w:sz="0" w:space="0" w:color="auto"/>
        <w:right w:val="none" w:sz="0" w:space="0" w:color="auto"/>
      </w:divBdr>
    </w:div>
    <w:div w:id="1881087896">
      <w:bodyDiv w:val="1"/>
      <w:marLeft w:val="0"/>
      <w:marRight w:val="0"/>
      <w:marTop w:val="0"/>
      <w:marBottom w:val="0"/>
      <w:divBdr>
        <w:top w:val="none" w:sz="0" w:space="0" w:color="auto"/>
        <w:left w:val="none" w:sz="0" w:space="0" w:color="auto"/>
        <w:bottom w:val="none" w:sz="0" w:space="0" w:color="auto"/>
        <w:right w:val="none" w:sz="0" w:space="0" w:color="auto"/>
      </w:divBdr>
    </w:div>
    <w:div w:id="19010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E5F42-53B5-4C16-B478-4A55BAF0D49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4482</Words>
  <Characters>25549</Characters>
  <Application>Microsoft Office Word</Application>
  <DocSecurity>0</DocSecurity>
  <Lines>212</Lines>
  <Paragraphs>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Нефизе Мехмедали</cp:lastModifiedBy>
  <cp:revision>2</cp:revision>
  <dcterms:created xsi:type="dcterms:W3CDTF">2026-09-16T13:12:00Z</dcterms:created>
  <dcterms:modified xsi:type="dcterms:W3CDTF">2026-09-16T13:12:00Z</dcterms:modified>
</cp:coreProperties>
</file>