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733" w:rsidRDefault="00143BFC">
      <w:pPr>
        <w:keepNext/>
        <w:jc w:val="center"/>
      </w:pPr>
      <w:r>
        <w:rPr>
          <w:b/>
          <w:caps/>
          <w:sz w:val="32"/>
        </w:rPr>
        <w:t>ФИНАНСОВАТА УЯЗВИМОСТ НА ДОМАКИНСТВАТА КАТО ФАКТОР ЗА ОБЩИНСКАТА УСТОЙЧИВОСТ</w:t>
      </w:r>
    </w:p>
    <w:p w:rsidR="00073733" w:rsidRDefault="00073733"/>
    <w:p w:rsidR="00073733" w:rsidRDefault="00073733"/>
    <w:p w:rsidR="00073733" w:rsidRDefault="00143BFC">
      <w:pPr>
        <w:keepNext/>
        <w:jc w:val="center"/>
      </w:pPr>
      <w:r>
        <w:rPr>
          <w:b/>
          <w:sz w:val="32"/>
        </w:rPr>
        <w:t xml:space="preserve">Груди Ангелов, Емил </w:t>
      </w:r>
      <w:proofErr w:type="spellStart"/>
      <w:r>
        <w:rPr>
          <w:b/>
          <w:sz w:val="32"/>
        </w:rPr>
        <w:t>Кабаиванов</w:t>
      </w:r>
      <w:proofErr w:type="spellEnd"/>
    </w:p>
    <w:p w:rsidR="00073733" w:rsidRDefault="00073733"/>
    <w:p w:rsidR="00073733" w:rsidRDefault="00143BFC">
      <w:pPr>
        <w:keepNext/>
        <w:jc w:val="center"/>
      </w:pPr>
      <w:r>
        <w:rPr>
          <w:b/>
          <w:caps/>
          <w:sz w:val="32"/>
        </w:rPr>
        <w:t>HOUSEHOLD FINANCIAL VULNERABILITY AS A FACTOR OF MUNICIPAL RESILIENCE</w:t>
      </w:r>
    </w:p>
    <w:p w:rsidR="00073733" w:rsidRDefault="00073733"/>
    <w:p w:rsidR="00073733" w:rsidRDefault="00143BFC">
      <w:pPr>
        <w:keepNext/>
        <w:jc w:val="center"/>
      </w:pPr>
      <w:proofErr w:type="spellStart"/>
      <w:r>
        <w:rPr>
          <w:b/>
          <w:sz w:val="32"/>
        </w:rPr>
        <w:t>Grudi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Angelov</w:t>
      </w:r>
      <w:proofErr w:type="spellEnd"/>
      <w:r>
        <w:rPr>
          <w:b/>
          <w:sz w:val="32"/>
        </w:rPr>
        <w:t xml:space="preserve">, </w:t>
      </w:r>
      <w:proofErr w:type="spellStart"/>
      <w:r>
        <w:rPr>
          <w:b/>
          <w:sz w:val="32"/>
        </w:rPr>
        <w:t>Emil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Kabaivanov</w:t>
      </w:r>
      <w:proofErr w:type="spellEnd"/>
    </w:p>
    <w:p w:rsidR="00073733" w:rsidRDefault="00073733"/>
    <w:p w:rsidR="00073733" w:rsidRDefault="00073733"/>
    <w:p w:rsidR="00073733" w:rsidRDefault="00143BFC">
      <w:pPr>
        <w:jc w:val="both"/>
      </w:pPr>
      <w:r>
        <w:rPr>
          <w:i/>
          <w:sz w:val="24"/>
        </w:rPr>
        <w:t>Резюме: Докладът анализира финансовата и</w:t>
      </w:r>
      <w:r>
        <w:rPr>
          <w:i/>
          <w:sz w:val="24"/>
        </w:rPr>
        <w:t xml:space="preserve"> застрахователната уязвимост на домакинствата като фактор за общинската устойчивост при бедствия. На основата на проучване сред 402 жители на Богдан, Слатина и Каравелово се изследват застрахователната обезпеченост, връзката ѝ с доходите и отражението на о</w:t>
      </w:r>
      <w:r>
        <w:rPr>
          <w:i/>
          <w:sz w:val="24"/>
        </w:rPr>
        <w:t>граничената способност за самостоятелно възстановяване върху общинската система.</w:t>
      </w:r>
    </w:p>
    <w:p w:rsidR="00073733" w:rsidRDefault="00073733"/>
    <w:p w:rsidR="00073733" w:rsidRDefault="00143BFC">
      <w:pPr>
        <w:jc w:val="both"/>
      </w:pPr>
      <w:r>
        <w:rPr>
          <w:i/>
          <w:sz w:val="24"/>
        </w:rPr>
        <w:t>Ключови думи: общинска устойчивост, финансова уязвимост, застраховане, бедствия, възстановяване.</w:t>
      </w:r>
    </w:p>
    <w:p w:rsidR="00073733" w:rsidRDefault="00073733"/>
    <w:p w:rsidR="00073733" w:rsidRDefault="00143BFC">
      <w:pPr>
        <w:jc w:val="both"/>
      </w:pPr>
      <w:proofErr w:type="spellStart"/>
      <w:r>
        <w:rPr>
          <w:i/>
          <w:sz w:val="24"/>
        </w:rPr>
        <w:t>Abstract</w:t>
      </w:r>
      <w:proofErr w:type="spellEnd"/>
      <w:r>
        <w:rPr>
          <w:i/>
          <w:sz w:val="24"/>
        </w:rPr>
        <w:t xml:space="preserve">: </w:t>
      </w:r>
      <w:proofErr w:type="spellStart"/>
      <w:r>
        <w:rPr>
          <w:i/>
          <w:sz w:val="24"/>
        </w:rPr>
        <w:t>The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paper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examines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household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financial</w:t>
      </w:r>
      <w:proofErr w:type="spellEnd"/>
      <w:r>
        <w:rPr>
          <w:i/>
          <w:sz w:val="24"/>
        </w:rPr>
        <w:t xml:space="preserve"> and </w:t>
      </w:r>
      <w:proofErr w:type="spellStart"/>
      <w:r>
        <w:rPr>
          <w:i/>
          <w:sz w:val="24"/>
        </w:rPr>
        <w:t>insurance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vulnerability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as</w:t>
      </w:r>
      <w:proofErr w:type="spellEnd"/>
      <w:r>
        <w:rPr>
          <w:i/>
          <w:sz w:val="24"/>
        </w:rPr>
        <w:t xml:space="preserve"> a </w:t>
      </w:r>
      <w:proofErr w:type="spellStart"/>
      <w:r>
        <w:rPr>
          <w:i/>
          <w:sz w:val="24"/>
        </w:rPr>
        <w:t>factor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of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municipal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resilience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to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disasters</w:t>
      </w:r>
      <w:proofErr w:type="spellEnd"/>
      <w:r>
        <w:rPr>
          <w:i/>
          <w:sz w:val="24"/>
        </w:rPr>
        <w:t xml:space="preserve">. </w:t>
      </w:r>
      <w:proofErr w:type="spellStart"/>
      <w:r>
        <w:rPr>
          <w:i/>
          <w:sz w:val="24"/>
        </w:rPr>
        <w:t>Based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on</w:t>
      </w:r>
      <w:proofErr w:type="spellEnd"/>
      <w:r>
        <w:rPr>
          <w:i/>
          <w:sz w:val="24"/>
        </w:rPr>
        <w:t xml:space="preserve"> a </w:t>
      </w:r>
      <w:proofErr w:type="spellStart"/>
      <w:r>
        <w:rPr>
          <w:i/>
          <w:sz w:val="24"/>
        </w:rPr>
        <w:t>survey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of</w:t>
      </w:r>
      <w:proofErr w:type="spellEnd"/>
      <w:r>
        <w:rPr>
          <w:i/>
          <w:sz w:val="24"/>
        </w:rPr>
        <w:t xml:space="preserve"> 402 </w:t>
      </w:r>
      <w:proofErr w:type="spellStart"/>
      <w:r>
        <w:rPr>
          <w:i/>
          <w:sz w:val="24"/>
        </w:rPr>
        <w:t>residents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of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Bogdan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Slatina</w:t>
      </w:r>
      <w:proofErr w:type="spellEnd"/>
      <w:r>
        <w:rPr>
          <w:i/>
          <w:sz w:val="24"/>
        </w:rPr>
        <w:t xml:space="preserve"> and </w:t>
      </w:r>
      <w:proofErr w:type="spellStart"/>
      <w:r>
        <w:rPr>
          <w:i/>
          <w:sz w:val="24"/>
        </w:rPr>
        <w:t>Karavelovo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it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analyses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insurance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coverage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its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relation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to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income</w:t>
      </w:r>
      <w:proofErr w:type="spellEnd"/>
      <w:r>
        <w:rPr>
          <w:i/>
          <w:sz w:val="24"/>
        </w:rPr>
        <w:t xml:space="preserve">, and </w:t>
      </w:r>
      <w:proofErr w:type="spellStart"/>
      <w:r>
        <w:rPr>
          <w:i/>
          <w:sz w:val="24"/>
        </w:rPr>
        <w:t>the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impact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of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limited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self-recovery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capacity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on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municipal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support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systems</w:t>
      </w:r>
      <w:proofErr w:type="spellEnd"/>
      <w:r>
        <w:rPr>
          <w:i/>
          <w:sz w:val="24"/>
        </w:rPr>
        <w:t>.</w:t>
      </w:r>
    </w:p>
    <w:p w:rsidR="00073733" w:rsidRDefault="00073733"/>
    <w:p w:rsidR="00073733" w:rsidRDefault="00143BFC">
      <w:pPr>
        <w:jc w:val="both"/>
      </w:pPr>
      <w:proofErr w:type="spellStart"/>
      <w:r>
        <w:rPr>
          <w:i/>
          <w:sz w:val="24"/>
        </w:rPr>
        <w:t>Keywords</w:t>
      </w:r>
      <w:proofErr w:type="spellEnd"/>
      <w:r>
        <w:rPr>
          <w:i/>
          <w:sz w:val="24"/>
        </w:rPr>
        <w:t xml:space="preserve">: </w:t>
      </w:r>
      <w:proofErr w:type="spellStart"/>
      <w:r>
        <w:rPr>
          <w:i/>
          <w:sz w:val="24"/>
        </w:rPr>
        <w:t>municipal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resilience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financial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vulnerability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insurance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disasters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recovery</w:t>
      </w:r>
      <w:proofErr w:type="spellEnd"/>
      <w:r>
        <w:rPr>
          <w:i/>
          <w:sz w:val="24"/>
        </w:rPr>
        <w:t>.</w:t>
      </w:r>
    </w:p>
    <w:p w:rsidR="00073733" w:rsidRDefault="00073733"/>
    <w:p w:rsidR="00073733" w:rsidRDefault="00073733"/>
    <w:p w:rsidR="00073733" w:rsidRDefault="00143BFC">
      <w:pPr>
        <w:keepNext/>
        <w:spacing w:before="160"/>
        <w:ind w:firstLine="425"/>
      </w:pPr>
      <w:r>
        <w:rPr>
          <w:b/>
        </w:rPr>
        <w:t>Увод</w:t>
      </w:r>
    </w:p>
    <w:p w:rsidR="00073733" w:rsidRDefault="00143BFC">
      <w:pPr>
        <w:ind w:firstLine="425"/>
        <w:jc w:val="both"/>
      </w:pPr>
      <w:r>
        <w:t>Устойчивостта при бедствия не се изчерпва с институционалната готовност, инфраструктурната защита и своевременната реакция. След приключване на непосредственат</w:t>
      </w:r>
      <w:r>
        <w:t xml:space="preserve">а спасителна фаза започва възстановяването, при което материалното състояние на домакинствата, собствените финансови ресурси и наличието на застрахователна защита могат да определят продължителността и тежестта на социално-икономическите последици. В този </w:t>
      </w:r>
      <w:r>
        <w:t>смисъл финансовата устойчивост на домакинството има значение не само за отделния гражданин, а и за местната система, която след бедствие трябва да организира социална, логистична и възстановителна подкрепа.</w:t>
      </w:r>
    </w:p>
    <w:p w:rsidR="00073733" w:rsidRDefault="00143BFC">
      <w:pPr>
        <w:ind w:firstLine="425"/>
        <w:jc w:val="both"/>
      </w:pPr>
      <w:r>
        <w:t xml:space="preserve">Рамката от </w:t>
      </w:r>
      <w:proofErr w:type="spellStart"/>
      <w:r>
        <w:t>Сендай</w:t>
      </w:r>
      <w:proofErr w:type="spellEnd"/>
      <w:r>
        <w:t xml:space="preserve"> разглежда устойчивостта като сп</w:t>
      </w:r>
      <w:r>
        <w:t>особност за предотвратяване и намаляване на риска, подготовка, реакция и възстановяване, като подчертава икономическите, социалните и институционалните измерения на устойчивостта [1]. Местната устойчивост също се интерпретира като резултат от взаимодействи</w:t>
      </w:r>
      <w:r>
        <w:t xml:space="preserve">ето между различни </w:t>
      </w:r>
      <w:r>
        <w:lastRenderedPageBreak/>
        <w:t>адаптивни способности, а не единствено като функция на физическата инфраструктура [2]. Тази постановка поставя финансовата способност на домакинствата в пряка връзка с по-широкия капацитет на общността за възстановяване.</w:t>
      </w:r>
    </w:p>
    <w:p w:rsidR="00073733" w:rsidRDefault="00143BFC">
      <w:pPr>
        <w:ind w:firstLine="425"/>
        <w:jc w:val="both"/>
      </w:pPr>
      <w:r>
        <w:t>В по-широкия кон</w:t>
      </w:r>
      <w:r>
        <w:t>текст на националната сигурност устойчивостта е свързана със способността на държавата да мобилизира и преобразува наличните материални и нематериални ресурси в реални способности. Националната мощ включва не само икономически и военни елементи, но и вътре</w:t>
      </w:r>
      <w:r>
        <w:t>шна стабилност, обществена сплотеност и организационен капацитет [3]. Стратегията за национална сигурност изпълнява свързваща функция между националните интереси и ресурсите, чрез които държавата ги защитава, което поставя местната и финансовата устойчивос</w:t>
      </w:r>
      <w:r>
        <w:t>т в по-широката система на националните способности [4].</w:t>
      </w:r>
    </w:p>
    <w:p w:rsidR="00073733" w:rsidRDefault="00143BFC">
      <w:pPr>
        <w:ind w:firstLine="425"/>
        <w:jc w:val="both"/>
      </w:pPr>
      <w:r>
        <w:t>Когато финансовата уязвимост е масово разпространена, индивидуалният недостиг на собствен ресурс може да се трансформира в общински проблем чрез нарастваща потребност от временно настаняване, храните</w:t>
      </w:r>
      <w:r>
        <w:t>лна и медицинска подкрепа, строителни материали, логистика и извънредно публично финансиране. Следователно финансовата устойчивост е индивидуална по своя носител, но последствията от нейната липса могат да придобият общностен и институционален характер.</w:t>
      </w:r>
    </w:p>
    <w:p w:rsidR="00073733" w:rsidRDefault="00143BFC">
      <w:pPr>
        <w:ind w:firstLine="425"/>
        <w:jc w:val="both"/>
      </w:pPr>
      <w:r>
        <w:t>Уп</w:t>
      </w:r>
      <w:r>
        <w:t>равлението на последствията от бедствията е част от общия капацитет на системата за защита на националната сигурност. Анализът на кризисното управление в Република България откроява необходимостта от постоянна оперативност, устойчиво междуинституционално в</w:t>
      </w:r>
      <w:r>
        <w:t>заимодействие и достатъчно ресурсно осигуряване [5]. Същевременно демографските и социалните характеристики на населението са съществени за оценката на уязвимостта, защото влияят върху способността на отделните групи да се подготвят, да реагират и да се въ</w:t>
      </w:r>
      <w:r>
        <w:t>зстановяват след кризисно въздействие [6].</w:t>
      </w:r>
    </w:p>
    <w:p w:rsidR="00073733" w:rsidRDefault="00143BFC">
      <w:pPr>
        <w:ind w:firstLine="425"/>
        <w:jc w:val="both"/>
      </w:pPr>
      <w:r>
        <w:t xml:space="preserve">Целта на доклада е да се анализира финансовата и застрахователната уязвимост на домакинствата като фактор за общинската устойчивост. Емпиричната база е стандартизирано анкетно проучване сред 402 пълнолетни жители </w:t>
      </w:r>
      <w:r>
        <w:t xml:space="preserve">на селата Богдан, Слатина и Каравелово - населени места, пряко засегнати от наводнението през септември 2022 г. Резултатите се отнасят до изследваните местни общности и не се генерализират статистически за населението на страната. Анализът е организиран в </w:t>
      </w:r>
      <w:r>
        <w:t>три направления: застрахователна обезпеченост; влияние на доходите върху финансовата защита; отражение на финансовата уязвимост върху общинския капацитет за възстановяване.</w:t>
      </w:r>
    </w:p>
    <w:p w:rsidR="00073733" w:rsidRDefault="00143BFC">
      <w:pPr>
        <w:ind w:firstLine="425"/>
        <w:jc w:val="both"/>
      </w:pPr>
      <w:r>
        <w:t xml:space="preserve">Нормативната рамка обвързва местното управление с превенцията, реакцията и </w:t>
      </w:r>
      <w:r>
        <w:t>възстановяването. Законът за защита при бедствия възлага на кметовете и общинските органи конкретни функции по организацията на защитата и възстановителните дейности [7], а Законът за местното самоуправление и местната администрация включва защитата при бе</w:t>
      </w:r>
      <w:r>
        <w:t xml:space="preserve">дствия и общинските финанси сред въпросите от местно значение [8]. Бюджетното планиране и управлението на публичните средства се осъществяват в рамките на Закона за публичните финанси [9], докато застрахователните отношения и механизмите за прехвърляне на </w:t>
      </w:r>
      <w:r>
        <w:t>риск са уредени в Кодекса за застраховането [10].</w:t>
      </w:r>
    </w:p>
    <w:p w:rsidR="00073733" w:rsidRDefault="00143BFC">
      <w:pPr>
        <w:keepNext/>
        <w:spacing w:before="160"/>
        <w:ind w:firstLine="425"/>
      </w:pPr>
      <w:r>
        <w:rPr>
          <w:b/>
        </w:rPr>
        <w:t>1. Застрахователната обезпеченост като индикатор за финансова устойчивост</w:t>
      </w:r>
    </w:p>
    <w:p w:rsidR="00073733" w:rsidRDefault="00143BFC">
      <w:pPr>
        <w:ind w:firstLine="425"/>
        <w:jc w:val="both"/>
      </w:pPr>
      <w:r>
        <w:t>Практическата готовност на домакинството не се изчерпва с наличието на материални запаси и предварително планирани действия. Съществ</w:t>
      </w:r>
      <w:r>
        <w:t>ено значение има способността след бедствие да бъдат възстановени жилището, имуществото, транспортните средства и основните условия за нормален живот. Застрахователната защита не предотвратява бедствието, но може да ограничи икономическите последици и зави</w:t>
      </w:r>
      <w:r>
        <w:t>симостта от външна помощ.</w:t>
      </w:r>
    </w:p>
    <w:p w:rsidR="00073733" w:rsidRDefault="00143BFC">
      <w:pPr>
        <w:ind w:firstLine="425"/>
        <w:jc w:val="both"/>
      </w:pPr>
      <w:r>
        <w:t xml:space="preserve">Емпиричните резултати разкриват висока степен на </w:t>
      </w:r>
      <w:proofErr w:type="spellStart"/>
      <w:r>
        <w:t>незастрахованост</w:t>
      </w:r>
      <w:proofErr w:type="spellEnd"/>
      <w:r>
        <w:t>. 72,8% от анкетираните заявяват, че не разполагат с никакъв вид застраховка. Само 12,8% имат застраховка на недвижимо имущество, 13,8% - застраховка на автомобил, а</w:t>
      </w:r>
      <w:r>
        <w:t xml:space="preserve"> едва 3,9% - застраховка „Живот“. Медицинските и земеделските застраховки са с минимално разпространение. Тъй като въпросът допуска повече от един отговор, отделните дялове не представляват взаимно изключващи се категории.</w:t>
      </w:r>
    </w:p>
    <w:p w:rsidR="00073733" w:rsidRDefault="00143BFC">
      <w:pPr>
        <w:keepNext/>
        <w:spacing w:before="120" w:after="40"/>
        <w:jc w:val="center"/>
      </w:pPr>
      <w:r>
        <w:rPr>
          <w:b/>
        </w:rPr>
        <w:t>Таблица 1 – Застрахователна обезп</w:t>
      </w:r>
      <w:r>
        <w:rPr>
          <w:b/>
        </w:rPr>
        <w:t>еченост на анкетираните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4527"/>
        <w:gridCol w:w="4524"/>
      </w:tblGrid>
      <w:tr w:rsidR="00073733">
        <w:trPr>
          <w:jc w:val="center"/>
        </w:trPr>
        <w:tc>
          <w:tcPr>
            <w:tcW w:w="4535" w:type="dxa"/>
            <w:vAlign w:val="center"/>
          </w:tcPr>
          <w:p w:rsidR="00073733" w:rsidRDefault="00143BFC">
            <w:pPr>
              <w:jc w:val="center"/>
            </w:pPr>
            <w:r>
              <w:rPr>
                <w:b/>
                <w:sz w:val="24"/>
              </w:rPr>
              <w:t>Вид застрахователна защита</w:t>
            </w:r>
          </w:p>
        </w:tc>
        <w:tc>
          <w:tcPr>
            <w:tcW w:w="4535" w:type="dxa"/>
            <w:vAlign w:val="center"/>
          </w:tcPr>
          <w:p w:rsidR="00073733" w:rsidRDefault="00143BFC">
            <w:pPr>
              <w:jc w:val="center"/>
            </w:pPr>
            <w:r>
              <w:rPr>
                <w:b/>
                <w:sz w:val="24"/>
              </w:rPr>
              <w:t>Дял</w:t>
            </w:r>
          </w:p>
        </w:tc>
      </w:tr>
      <w:tr w:rsidR="00073733">
        <w:trPr>
          <w:jc w:val="center"/>
        </w:trPr>
        <w:tc>
          <w:tcPr>
            <w:tcW w:w="4535" w:type="dxa"/>
            <w:vAlign w:val="center"/>
          </w:tcPr>
          <w:p w:rsidR="00073733" w:rsidRDefault="00143BFC">
            <w:r>
              <w:rPr>
                <w:sz w:val="24"/>
              </w:rPr>
              <w:t>Без никаква застраховка</w:t>
            </w:r>
          </w:p>
        </w:tc>
        <w:tc>
          <w:tcPr>
            <w:tcW w:w="4535" w:type="dxa"/>
            <w:vAlign w:val="center"/>
          </w:tcPr>
          <w:p w:rsidR="00073733" w:rsidRDefault="00143BFC">
            <w:pPr>
              <w:jc w:val="center"/>
            </w:pPr>
            <w:r>
              <w:rPr>
                <w:sz w:val="24"/>
              </w:rPr>
              <w:t>72,8%</w:t>
            </w:r>
          </w:p>
        </w:tc>
      </w:tr>
      <w:tr w:rsidR="00073733">
        <w:trPr>
          <w:jc w:val="center"/>
        </w:trPr>
        <w:tc>
          <w:tcPr>
            <w:tcW w:w="4535" w:type="dxa"/>
            <w:vAlign w:val="center"/>
          </w:tcPr>
          <w:p w:rsidR="00073733" w:rsidRDefault="00143BFC">
            <w:r>
              <w:rPr>
                <w:sz w:val="24"/>
              </w:rPr>
              <w:t>Застраховка на автомобил</w:t>
            </w:r>
          </w:p>
        </w:tc>
        <w:tc>
          <w:tcPr>
            <w:tcW w:w="4535" w:type="dxa"/>
            <w:vAlign w:val="center"/>
          </w:tcPr>
          <w:p w:rsidR="00073733" w:rsidRDefault="00143BFC">
            <w:pPr>
              <w:jc w:val="center"/>
            </w:pPr>
            <w:r>
              <w:rPr>
                <w:sz w:val="24"/>
              </w:rPr>
              <w:t>13,8%</w:t>
            </w:r>
          </w:p>
        </w:tc>
      </w:tr>
      <w:tr w:rsidR="00073733">
        <w:trPr>
          <w:jc w:val="center"/>
        </w:trPr>
        <w:tc>
          <w:tcPr>
            <w:tcW w:w="4535" w:type="dxa"/>
            <w:vAlign w:val="center"/>
          </w:tcPr>
          <w:p w:rsidR="00073733" w:rsidRDefault="00143BFC">
            <w:r>
              <w:rPr>
                <w:sz w:val="24"/>
              </w:rPr>
              <w:t>Застраховка на недвижимо имущество</w:t>
            </w:r>
          </w:p>
        </w:tc>
        <w:tc>
          <w:tcPr>
            <w:tcW w:w="4535" w:type="dxa"/>
            <w:vAlign w:val="center"/>
          </w:tcPr>
          <w:p w:rsidR="00073733" w:rsidRDefault="00143BFC">
            <w:pPr>
              <w:jc w:val="center"/>
            </w:pPr>
            <w:r>
              <w:rPr>
                <w:sz w:val="24"/>
              </w:rPr>
              <w:t>12,8%</w:t>
            </w:r>
          </w:p>
        </w:tc>
      </w:tr>
      <w:tr w:rsidR="00073733">
        <w:trPr>
          <w:jc w:val="center"/>
        </w:trPr>
        <w:tc>
          <w:tcPr>
            <w:tcW w:w="4535" w:type="dxa"/>
            <w:vAlign w:val="center"/>
          </w:tcPr>
          <w:p w:rsidR="00073733" w:rsidRDefault="00143BFC">
            <w:r>
              <w:rPr>
                <w:sz w:val="24"/>
              </w:rPr>
              <w:t>Застраховка „Живот“</w:t>
            </w:r>
          </w:p>
        </w:tc>
        <w:tc>
          <w:tcPr>
            <w:tcW w:w="4535" w:type="dxa"/>
            <w:vAlign w:val="center"/>
          </w:tcPr>
          <w:p w:rsidR="00073733" w:rsidRDefault="00143BFC">
            <w:pPr>
              <w:jc w:val="center"/>
            </w:pPr>
            <w:r>
              <w:rPr>
                <w:sz w:val="24"/>
              </w:rPr>
              <w:t>3,9%</w:t>
            </w:r>
          </w:p>
        </w:tc>
      </w:tr>
    </w:tbl>
    <w:p w:rsidR="00073733" w:rsidRDefault="00143BFC">
      <w:pPr>
        <w:spacing w:after="80"/>
        <w:jc w:val="both"/>
      </w:pPr>
      <w:r>
        <w:rPr>
          <w:i/>
          <w:sz w:val="24"/>
        </w:rPr>
        <w:t>ИЗТОЧНИК: авторско изследване, Приложение № 2.</w:t>
      </w:r>
    </w:p>
    <w:p w:rsidR="00073733" w:rsidRDefault="00143BFC">
      <w:pPr>
        <w:ind w:firstLine="425"/>
        <w:jc w:val="both"/>
      </w:pPr>
      <w:r>
        <w:t xml:space="preserve">Резултатът е особено </w:t>
      </w:r>
      <w:r>
        <w:t>значим, защото изследваните населени места вече са преживели тежко наводнение, а 97,7% от респондентите възприемат наводненията като основен бъдещ риск. Очертава се несъответствие между високото възприятие за опасност и ограниченото използване на финансови</w:t>
      </w:r>
      <w:r>
        <w:t xml:space="preserve"> инструменти за защита. Самото преживяване на бедствие и осъзнаването на бъдещия риск не водят автоматично до дългосрочно финансово защитно поведение.</w:t>
      </w:r>
    </w:p>
    <w:p w:rsidR="00073733" w:rsidRDefault="00143BFC">
      <w:pPr>
        <w:ind w:firstLine="425"/>
        <w:jc w:val="both"/>
      </w:pPr>
      <w:r>
        <w:t>Това несъответствие може да бъде определено като разрив между възприет риск и финансово защитно поведение</w:t>
      </w:r>
      <w:r>
        <w:t xml:space="preserve">. При масово разпространение </w:t>
      </w:r>
      <w:proofErr w:type="spellStart"/>
      <w:r>
        <w:t>незастраховаността</w:t>
      </w:r>
      <w:proofErr w:type="spellEnd"/>
      <w:r>
        <w:t xml:space="preserve"> увеличава зависимостта от лични спестявания, близки, дарения и публична помощ и придобива общностно измерение. Социалните мрежи и общественото доверие са важни източници на устойчивост, но не могат напълно да</w:t>
      </w:r>
      <w:r>
        <w:t xml:space="preserve"> компенсират липсата на материална и финансова защита [11].</w:t>
      </w:r>
    </w:p>
    <w:p w:rsidR="00073733" w:rsidRDefault="00143BFC">
      <w:pPr>
        <w:keepNext/>
        <w:spacing w:before="160"/>
        <w:ind w:firstLine="425"/>
      </w:pPr>
      <w:r>
        <w:rPr>
          <w:b/>
        </w:rPr>
        <w:t>2. Доходът като фактор за финансовата уязвимост</w:t>
      </w:r>
    </w:p>
    <w:p w:rsidR="00073733" w:rsidRDefault="00143BFC">
      <w:pPr>
        <w:ind w:firstLine="425"/>
        <w:jc w:val="both"/>
      </w:pPr>
      <w:r>
        <w:t xml:space="preserve">Връзката между доходите и застрахователната обезпеченост позволява да се оцени доколко </w:t>
      </w:r>
      <w:proofErr w:type="spellStart"/>
      <w:r>
        <w:t>незастраховаността</w:t>
      </w:r>
      <w:proofErr w:type="spellEnd"/>
      <w:r>
        <w:t xml:space="preserve"> е резултат от икономическа невъзможност и </w:t>
      </w:r>
      <w:r>
        <w:t xml:space="preserve">доколко може да се свърже с други фактори. Данните показват ясно изразена концентрация на </w:t>
      </w:r>
      <w:proofErr w:type="spellStart"/>
      <w:r>
        <w:t>незастрахованост</w:t>
      </w:r>
      <w:proofErr w:type="spellEnd"/>
      <w:r>
        <w:t xml:space="preserve"> в най-ниските доходни групи. При личен месечен доход до 320 лв. и от 321 до 510 лв. 100% от респондентите не разполагат с никакъв вид застраховка. Пр</w:t>
      </w:r>
      <w:r>
        <w:t>и доходи между 511 и 899 лв. този дял е 83,9%, а при 900-1199 лв. - приблизително 69%.</w:t>
      </w:r>
    </w:p>
    <w:p w:rsidR="00073733" w:rsidRDefault="00143BFC">
      <w:pPr>
        <w:keepNext/>
        <w:spacing w:before="120" w:after="40"/>
        <w:jc w:val="center"/>
      </w:pPr>
      <w:r>
        <w:rPr>
          <w:b/>
        </w:rPr>
        <w:t xml:space="preserve">Таблица 2 – </w:t>
      </w:r>
      <w:proofErr w:type="spellStart"/>
      <w:r>
        <w:rPr>
          <w:b/>
        </w:rPr>
        <w:t>Незастраховани</w:t>
      </w:r>
      <w:proofErr w:type="spellEnd"/>
      <w:r>
        <w:rPr>
          <w:b/>
        </w:rPr>
        <w:t xml:space="preserve"> респонденти според личния месечен доход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4525"/>
        <w:gridCol w:w="4526"/>
      </w:tblGrid>
      <w:tr w:rsidR="00073733">
        <w:trPr>
          <w:jc w:val="center"/>
        </w:trPr>
        <w:tc>
          <w:tcPr>
            <w:tcW w:w="4535" w:type="dxa"/>
            <w:vAlign w:val="center"/>
          </w:tcPr>
          <w:p w:rsidR="00073733" w:rsidRDefault="00143BFC">
            <w:pPr>
              <w:jc w:val="center"/>
            </w:pPr>
            <w:r>
              <w:rPr>
                <w:b/>
                <w:sz w:val="24"/>
              </w:rPr>
              <w:t>Личен месечен доход</w:t>
            </w:r>
          </w:p>
        </w:tc>
        <w:tc>
          <w:tcPr>
            <w:tcW w:w="4535" w:type="dxa"/>
            <w:vAlign w:val="center"/>
          </w:tcPr>
          <w:p w:rsidR="00073733" w:rsidRDefault="00143BFC">
            <w:pPr>
              <w:jc w:val="center"/>
            </w:pPr>
            <w:r>
              <w:rPr>
                <w:b/>
                <w:sz w:val="24"/>
              </w:rPr>
              <w:t>Без застраховка</w:t>
            </w:r>
          </w:p>
        </w:tc>
      </w:tr>
      <w:tr w:rsidR="00073733">
        <w:trPr>
          <w:jc w:val="center"/>
        </w:trPr>
        <w:tc>
          <w:tcPr>
            <w:tcW w:w="4535" w:type="dxa"/>
            <w:vAlign w:val="center"/>
          </w:tcPr>
          <w:p w:rsidR="00073733" w:rsidRDefault="00143BFC">
            <w:r>
              <w:rPr>
                <w:sz w:val="24"/>
              </w:rPr>
              <w:t>до 320 лв.</w:t>
            </w:r>
          </w:p>
        </w:tc>
        <w:tc>
          <w:tcPr>
            <w:tcW w:w="4535" w:type="dxa"/>
            <w:vAlign w:val="center"/>
          </w:tcPr>
          <w:p w:rsidR="00073733" w:rsidRDefault="00143BFC">
            <w:pPr>
              <w:jc w:val="center"/>
            </w:pPr>
            <w:r>
              <w:rPr>
                <w:sz w:val="24"/>
              </w:rPr>
              <w:t>100%</w:t>
            </w:r>
          </w:p>
        </w:tc>
      </w:tr>
      <w:tr w:rsidR="00073733">
        <w:trPr>
          <w:jc w:val="center"/>
        </w:trPr>
        <w:tc>
          <w:tcPr>
            <w:tcW w:w="4535" w:type="dxa"/>
            <w:vAlign w:val="center"/>
          </w:tcPr>
          <w:p w:rsidR="00073733" w:rsidRDefault="00143BFC">
            <w:r>
              <w:rPr>
                <w:sz w:val="24"/>
              </w:rPr>
              <w:t>321-510 лв.</w:t>
            </w:r>
          </w:p>
        </w:tc>
        <w:tc>
          <w:tcPr>
            <w:tcW w:w="4535" w:type="dxa"/>
            <w:vAlign w:val="center"/>
          </w:tcPr>
          <w:p w:rsidR="00073733" w:rsidRDefault="00143BFC">
            <w:pPr>
              <w:jc w:val="center"/>
            </w:pPr>
            <w:r>
              <w:rPr>
                <w:sz w:val="24"/>
              </w:rPr>
              <w:t>100%</w:t>
            </w:r>
          </w:p>
        </w:tc>
      </w:tr>
      <w:tr w:rsidR="00073733">
        <w:trPr>
          <w:jc w:val="center"/>
        </w:trPr>
        <w:tc>
          <w:tcPr>
            <w:tcW w:w="4535" w:type="dxa"/>
            <w:vAlign w:val="center"/>
          </w:tcPr>
          <w:p w:rsidR="00073733" w:rsidRDefault="00143BFC">
            <w:r>
              <w:rPr>
                <w:sz w:val="24"/>
              </w:rPr>
              <w:t>511-899 лв.</w:t>
            </w:r>
          </w:p>
        </w:tc>
        <w:tc>
          <w:tcPr>
            <w:tcW w:w="4535" w:type="dxa"/>
            <w:vAlign w:val="center"/>
          </w:tcPr>
          <w:p w:rsidR="00073733" w:rsidRDefault="00143BFC">
            <w:pPr>
              <w:jc w:val="center"/>
            </w:pPr>
            <w:r>
              <w:rPr>
                <w:sz w:val="24"/>
              </w:rPr>
              <w:t>83,9%</w:t>
            </w:r>
          </w:p>
        </w:tc>
      </w:tr>
      <w:tr w:rsidR="00073733">
        <w:trPr>
          <w:jc w:val="center"/>
        </w:trPr>
        <w:tc>
          <w:tcPr>
            <w:tcW w:w="4535" w:type="dxa"/>
            <w:vAlign w:val="center"/>
          </w:tcPr>
          <w:p w:rsidR="00073733" w:rsidRDefault="00143BFC">
            <w:r>
              <w:rPr>
                <w:sz w:val="24"/>
              </w:rPr>
              <w:t xml:space="preserve">900-1199 </w:t>
            </w:r>
            <w:r>
              <w:rPr>
                <w:sz w:val="24"/>
              </w:rPr>
              <w:t>лв.</w:t>
            </w:r>
          </w:p>
        </w:tc>
        <w:tc>
          <w:tcPr>
            <w:tcW w:w="4535" w:type="dxa"/>
            <w:vAlign w:val="center"/>
          </w:tcPr>
          <w:p w:rsidR="00073733" w:rsidRDefault="00143BFC">
            <w:pPr>
              <w:jc w:val="center"/>
            </w:pPr>
            <w:r>
              <w:rPr>
                <w:sz w:val="24"/>
              </w:rPr>
              <w:t>≈69%</w:t>
            </w:r>
          </w:p>
        </w:tc>
      </w:tr>
      <w:tr w:rsidR="00073733">
        <w:trPr>
          <w:jc w:val="center"/>
        </w:trPr>
        <w:tc>
          <w:tcPr>
            <w:tcW w:w="4535" w:type="dxa"/>
            <w:vAlign w:val="center"/>
          </w:tcPr>
          <w:p w:rsidR="00073733" w:rsidRDefault="00143BFC">
            <w:r>
              <w:rPr>
                <w:sz w:val="24"/>
              </w:rPr>
              <w:t>1200-1499 лв.</w:t>
            </w:r>
          </w:p>
        </w:tc>
        <w:tc>
          <w:tcPr>
            <w:tcW w:w="4535" w:type="dxa"/>
            <w:vAlign w:val="center"/>
          </w:tcPr>
          <w:p w:rsidR="00073733" w:rsidRDefault="00143BFC">
            <w:pPr>
              <w:jc w:val="center"/>
            </w:pPr>
            <w:r>
              <w:rPr>
                <w:sz w:val="24"/>
              </w:rPr>
              <w:t>58,2%</w:t>
            </w:r>
          </w:p>
        </w:tc>
      </w:tr>
      <w:tr w:rsidR="00073733">
        <w:trPr>
          <w:jc w:val="center"/>
        </w:trPr>
        <w:tc>
          <w:tcPr>
            <w:tcW w:w="4535" w:type="dxa"/>
            <w:vAlign w:val="center"/>
          </w:tcPr>
          <w:p w:rsidR="00073733" w:rsidRDefault="00143BFC">
            <w:r>
              <w:rPr>
                <w:sz w:val="24"/>
              </w:rPr>
              <w:t>1500-1999 лв.</w:t>
            </w:r>
          </w:p>
        </w:tc>
        <w:tc>
          <w:tcPr>
            <w:tcW w:w="4535" w:type="dxa"/>
            <w:vAlign w:val="center"/>
          </w:tcPr>
          <w:p w:rsidR="00073733" w:rsidRDefault="00143BFC">
            <w:pPr>
              <w:jc w:val="center"/>
            </w:pPr>
            <w:r>
              <w:rPr>
                <w:sz w:val="24"/>
              </w:rPr>
              <w:t>65,2%</w:t>
            </w:r>
          </w:p>
        </w:tc>
      </w:tr>
      <w:tr w:rsidR="00073733">
        <w:trPr>
          <w:jc w:val="center"/>
        </w:trPr>
        <w:tc>
          <w:tcPr>
            <w:tcW w:w="4535" w:type="dxa"/>
            <w:vAlign w:val="center"/>
          </w:tcPr>
          <w:p w:rsidR="00073733" w:rsidRDefault="00143BFC">
            <w:r>
              <w:rPr>
                <w:sz w:val="24"/>
              </w:rPr>
              <w:t>2000-2999 лв.</w:t>
            </w:r>
          </w:p>
        </w:tc>
        <w:tc>
          <w:tcPr>
            <w:tcW w:w="4535" w:type="dxa"/>
            <w:vAlign w:val="center"/>
          </w:tcPr>
          <w:p w:rsidR="00073733" w:rsidRDefault="00143BFC">
            <w:pPr>
              <w:jc w:val="center"/>
            </w:pPr>
            <w:r>
              <w:rPr>
                <w:sz w:val="24"/>
              </w:rPr>
              <w:t>25,0%</w:t>
            </w:r>
          </w:p>
        </w:tc>
      </w:tr>
    </w:tbl>
    <w:p w:rsidR="00073733" w:rsidRDefault="00143BFC">
      <w:pPr>
        <w:spacing w:after="80"/>
        <w:jc w:val="both"/>
      </w:pPr>
      <w:r>
        <w:rPr>
          <w:i/>
          <w:sz w:val="24"/>
        </w:rPr>
        <w:t>ИЗТОЧНИК: авторско изследване, Приложение № 2.</w:t>
      </w:r>
    </w:p>
    <w:p w:rsidR="00073733" w:rsidRDefault="00143BFC">
      <w:pPr>
        <w:ind w:firstLine="425"/>
        <w:jc w:val="both"/>
      </w:pPr>
      <w:r>
        <w:t xml:space="preserve">При най-ниските доходни групи може да се говори за структурна икономическа уязвимост. Когато разполагаемият доход е необходим за текущо </w:t>
      </w:r>
      <w:r>
        <w:t>потребление, застрахователната премия конкурира непосредствени жизнени разходи и вероятността да бъде възприета като второстепенна се увеличава. Поради това липсата на застраховка в тези групи не може коректно да бъде обяснена единствено с недостатъчна инф</w:t>
      </w:r>
      <w:r>
        <w:t>ормираност или ниска застрахователна култура.</w:t>
      </w:r>
    </w:p>
    <w:p w:rsidR="00073733" w:rsidRDefault="00143BFC">
      <w:pPr>
        <w:ind w:firstLine="425"/>
        <w:jc w:val="both"/>
      </w:pPr>
      <w:r>
        <w:t xml:space="preserve">В по-високите доходни групи данните не показват проста линейна зависимост. При доходи 1200-1499 лв. </w:t>
      </w:r>
      <w:proofErr w:type="spellStart"/>
      <w:r>
        <w:t>незастрахованите</w:t>
      </w:r>
      <w:proofErr w:type="spellEnd"/>
      <w:r>
        <w:t xml:space="preserve"> са 58,2%, при 1500-1999 лв. - 65,2%, докато при 2000-2999 лв. делът спада до 25%. Това предпо</w:t>
      </w:r>
      <w:r>
        <w:t>лага наличие и на други обясняващи фактори. Сред възможните са недоверие към застрахователните инструменти, липса на устойчив навик за предварително финансово планиране или очакване, че възстановяването при бедствие е преди всичко публична отговорност. Тез</w:t>
      </w:r>
      <w:r>
        <w:t>и фактори не са измерени пряко в анкетата и следва да бъдат разглеждани като аналитични хипотези, а не като доказани причинни зависимости.</w:t>
      </w:r>
    </w:p>
    <w:p w:rsidR="00073733" w:rsidRDefault="00143BFC">
      <w:pPr>
        <w:ind w:firstLine="425"/>
        <w:jc w:val="both"/>
      </w:pPr>
      <w:r>
        <w:t>Така се очертава важно разграничение между икономическа уязвимост и дефицит на финансово управление на риска. Първата</w:t>
      </w:r>
      <w:r>
        <w:t xml:space="preserve"> е обусловена от ограничените ресурси на домакинството, докато вторият може да съществува и при по-висок доход. За общинското планиране това разграничение предполага различни инструменти: предварително идентифициране на социално уязвимите домакинства и инф</w:t>
      </w:r>
      <w:r>
        <w:t>ормационни мерки за повишаване на финансовата готовност.</w:t>
      </w:r>
    </w:p>
    <w:p w:rsidR="00073733" w:rsidRDefault="00143BFC">
      <w:pPr>
        <w:keepNext/>
        <w:spacing w:before="160"/>
        <w:ind w:firstLine="425"/>
      </w:pPr>
      <w:r>
        <w:rPr>
          <w:b/>
        </w:rPr>
        <w:t>3. От финансова уязвимост към натоварване на общинската система</w:t>
      </w:r>
    </w:p>
    <w:p w:rsidR="00073733" w:rsidRDefault="00143BFC">
      <w:pPr>
        <w:ind w:firstLine="425"/>
        <w:jc w:val="both"/>
      </w:pPr>
      <w:r>
        <w:t>Финансовата уязвимост на домакинството не представлява пряка мярка за административната ефективност на общината. Решението за сключване</w:t>
      </w:r>
      <w:r>
        <w:t xml:space="preserve"> на застраховка е индивидуално. Управленското значение възниква от натрупването на голям брой домакинства с ограничена способност за самостоятелно възстановяване.</w:t>
      </w:r>
    </w:p>
    <w:p w:rsidR="00073733" w:rsidRDefault="00143BFC">
      <w:pPr>
        <w:ind w:firstLine="425"/>
        <w:jc w:val="both"/>
      </w:pPr>
      <w:r>
        <w:t xml:space="preserve">От </w:t>
      </w:r>
      <w:proofErr w:type="spellStart"/>
      <w:r>
        <w:t>публичноправна</w:t>
      </w:r>
      <w:proofErr w:type="spellEnd"/>
      <w:r>
        <w:t xml:space="preserve"> гледна точка общината функционира едновременно като орган на местното самоу</w:t>
      </w:r>
      <w:r>
        <w:t>правление, администратор на публични ресурси и организатор на услуги и защитни дейности, което предполага съгласуване между нормативни правомощия, човешки ресурси и управленска способност [12]. Подготовката, оценяването и развитието на човешкия ресурс са с</w:t>
      </w:r>
      <w:r>
        <w:t>ъществени условия за превръщането на формално възложените функции в реални организационни способности [13].</w:t>
      </w:r>
    </w:p>
    <w:p w:rsidR="00073733" w:rsidRDefault="00143BFC">
      <w:pPr>
        <w:ind w:firstLine="425"/>
        <w:jc w:val="both"/>
      </w:pPr>
      <w:r>
        <w:t>При мащабно бедствие материалните загуби се превръщат в потребности от временно настаняване, хранителна и медицинска подкрепа, строителни материали,</w:t>
      </w:r>
      <w:r>
        <w:t xml:space="preserve"> транспорт, социални услуги и финансова помощ. Колкото по-голям е делът на домакинствата без собствен финансов буфер и застрахователно покритие, толкова по-висока е вероятността възстановяването да бъде зависимо от общински, държавни, доброволни и дарителс</w:t>
      </w:r>
      <w:r>
        <w:t>ки ресурси. Следователно финансовата уязвимост е релевантна за предварителното ресурсно планиране.</w:t>
      </w:r>
    </w:p>
    <w:p w:rsidR="00073733" w:rsidRDefault="00143BFC">
      <w:pPr>
        <w:ind w:firstLine="425"/>
        <w:jc w:val="both"/>
      </w:pPr>
      <w:r>
        <w:t>Особено значение за публичното финансово възстановяване има Правилникът за организацията и дейността на Междуведомствената комисия за възстановяване и подпом</w:t>
      </w:r>
      <w:r>
        <w:t>агане към Министерския съвет, който урежда реда за предоставяне на целеви средства за превантивни, спасителни и неотложни възстановителни дейности [15]. Националната стратегия за намаляване на риска от бедствия 2018–2030 г. допълва тази рамка, като поставя</w:t>
      </w:r>
      <w:r>
        <w:t xml:space="preserve"> акцент върху намаляването на уязвимостта, повишаването на готовността и бързото възстановяване след бедствия [16].</w:t>
      </w:r>
    </w:p>
    <w:p w:rsidR="00073733" w:rsidRDefault="00143BFC">
      <w:pPr>
        <w:ind w:firstLine="425"/>
        <w:jc w:val="both"/>
      </w:pPr>
      <w:r>
        <w:t>Устойчивостта може да бъде превърната в практически оценима категория чрез система от измерими показатели, обхващащи социалните, икономическ</w:t>
      </w:r>
      <w:r>
        <w:t>ите, институционалните, инфраструктурните и общностните способности [14]. В тази рамка финансовата уязвимост може да бъде включена като отделен диагностичен блок, който прогнозира потенциалната потребност от външна подкрепа след бедствие.</w:t>
      </w:r>
    </w:p>
    <w:p w:rsidR="00073733" w:rsidRDefault="00143BFC">
      <w:pPr>
        <w:keepNext/>
        <w:spacing w:before="120" w:after="40"/>
        <w:jc w:val="center"/>
      </w:pPr>
      <w:r>
        <w:rPr>
          <w:b/>
        </w:rPr>
        <w:t>Таблица 3 – Финан</w:t>
      </w:r>
      <w:r>
        <w:rPr>
          <w:b/>
        </w:rPr>
        <w:t>сова уязвимост и потенциални последствия за общинското възстановяване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3018"/>
        <w:gridCol w:w="3016"/>
        <w:gridCol w:w="3017"/>
      </w:tblGrid>
      <w:tr w:rsidR="00073733">
        <w:trPr>
          <w:jc w:val="center"/>
        </w:trPr>
        <w:tc>
          <w:tcPr>
            <w:tcW w:w="3024" w:type="dxa"/>
            <w:vAlign w:val="center"/>
          </w:tcPr>
          <w:p w:rsidR="00073733" w:rsidRDefault="00143BFC">
            <w:pPr>
              <w:jc w:val="center"/>
            </w:pPr>
            <w:r>
              <w:rPr>
                <w:b/>
                <w:sz w:val="22"/>
              </w:rPr>
              <w:t>Емпиричен индикатор</w:t>
            </w:r>
          </w:p>
        </w:tc>
        <w:tc>
          <w:tcPr>
            <w:tcW w:w="3024" w:type="dxa"/>
            <w:vAlign w:val="center"/>
          </w:tcPr>
          <w:p w:rsidR="00073733" w:rsidRDefault="00143BFC">
            <w:pPr>
              <w:jc w:val="center"/>
            </w:pPr>
            <w:r>
              <w:rPr>
                <w:b/>
                <w:sz w:val="22"/>
              </w:rPr>
              <w:t>Установена уязвимост</w:t>
            </w:r>
          </w:p>
        </w:tc>
        <w:tc>
          <w:tcPr>
            <w:tcW w:w="3024" w:type="dxa"/>
            <w:vAlign w:val="center"/>
          </w:tcPr>
          <w:p w:rsidR="00073733" w:rsidRDefault="00143BFC">
            <w:pPr>
              <w:jc w:val="center"/>
            </w:pPr>
            <w:r>
              <w:rPr>
                <w:b/>
                <w:sz w:val="22"/>
              </w:rPr>
              <w:t>Управленско значение</w:t>
            </w:r>
          </w:p>
        </w:tc>
      </w:tr>
      <w:tr w:rsidR="00073733">
        <w:trPr>
          <w:jc w:val="center"/>
        </w:trPr>
        <w:tc>
          <w:tcPr>
            <w:tcW w:w="3024" w:type="dxa"/>
            <w:vAlign w:val="center"/>
          </w:tcPr>
          <w:p w:rsidR="00073733" w:rsidRDefault="00143BFC">
            <w:r>
              <w:rPr>
                <w:sz w:val="22"/>
              </w:rPr>
              <w:t>72,8% без застраховка</w:t>
            </w:r>
          </w:p>
        </w:tc>
        <w:tc>
          <w:tcPr>
            <w:tcW w:w="3024" w:type="dxa"/>
            <w:vAlign w:val="center"/>
          </w:tcPr>
          <w:p w:rsidR="00073733" w:rsidRDefault="00143BFC">
            <w:r>
              <w:rPr>
                <w:sz w:val="22"/>
              </w:rPr>
              <w:t>Ограничен финансов буфер</w:t>
            </w:r>
          </w:p>
        </w:tc>
        <w:tc>
          <w:tcPr>
            <w:tcW w:w="3024" w:type="dxa"/>
            <w:vAlign w:val="center"/>
          </w:tcPr>
          <w:p w:rsidR="00073733" w:rsidRDefault="00143BFC">
            <w:r>
              <w:rPr>
                <w:sz w:val="22"/>
              </w:rPr>
              <w:t>Повишена потребност от публична и дарителска подкрепа</w:t>
            </w:r>
          </w:p>
        </w:tc>
      </w:tr>
      <w:tr w:rsidR="00073733">
        <w:trPr>
          <w:jc w:val="center"/>
        </w:trPr>
        <w:tc>
          <w:tcPr>
            <w:tcW w:w="3024" w:type="dxa"/>
            <w:vAlign w:val="center"/>
          </w:tcPr>
          <w:p w:rsidR="00073733" w:rsidRDefault="00143BFC">
            <w:r>
              <w:rPr>
                <w:sz w:val="22"/>
              </w:rPr>
              <w:t xml:space="preserve">12,8% със </w:t>
            </w:r>
            <w:r>
              <w:rPr>
                <w:sz w:val="22"/>
              </w:rPr>
              <w:t>застраховано имущество</w:t>
            </w:r>
          </w:p>
        </w:tc>
        <w:tc>
          <w:tcPr>
            <w:tcW w:w="3024" w:type="dxa"/>
            <w:vAlign w:val="center"/>
          </w:tcPr>
          <w:p w:rsidR="00073733" w:rsidRDefault="00143BFC">
            <w:r>
              <w:rPr>
                <w:sz w:val="22"/>
              </w:rPr>
              <w:t>Ниско имуществено покритие</w:t>
            </w:r>
          </w:p>
        </w:tc>
        <w:tc>
          <w:tcPr>
            <w:tcW w:w="3024" w:type="dxa"/>
            <w:vAlign w:val="center"/>
          </w:tcPr>
          <w:p w:rsidR="00073733" w:rsidRDefault="00143BFC">
            <w:r>
              <w:rPr>
                <w:sz w:val="22"/>
              </w:rPr>
              <w:t>Риск от продължително възстановяване на жилищния фонд</w:t>
            </w:r>
          </w:p>
        </w:tc>
      </w:tr>
      <w:tr w:rsidR="00073733">
        <w:trPr>
          <w:jc w:val="center"/>
        </w:trPr>
        <w:tc>
          <w:tcPr>
            <w:tcW w:w="3024" w:type="dxa"/>
            <w:vAlign w:val="center"/>
          </w:tcPr>
          <w:p w:rsidR="00073733" w:rsidRDefault="00143BFC">
            <w:r>
              <w:rPr>
                <w:sz w:val="22"/>
              </w:rPr>
              <w:t xml:space="preserve">100% </w:t>
            </w:r>
            <w:proofErr w:type="spellStart"/>
            <w:r>
              <w:rPr>
                <w:sz w:val="22"/>
              </w:rPr>
              <w:t>незастраховани</w:t>
            </w:r>
            <w:proofErr w:type="spellEnd"/>
            <w:r>
              <w:rPr>
                <w:sz w:val="22"/>
              </w:rPr>
              <w:t xml:space="preserve"> в най-ниските доходни групи</w:t>
            </w:r>
          </w:p>
        </w:tc>
        <w:tc>
          <w:tcPr>
            <w:tcW w:w="3024" w:type="dxa"/>
            <w:vAlign w:val="center"/>
          </w:tcPr>
          <w:p w:rsidR="00073733" w:rsidRDefault="00143BFC">
            <w:r>
              <w:rPr>
                <w:sz w:val="22"/>
              </w:rPr>
              <w:t>Комбинирана социална и финансова уязвимост</w:t>
            </w:r>
          </w:p>
        </w:tc>
        <w:tc>
          <w:tcPr>
            <w:tcW w:w="3024" w:type="dxa"/>
            <w:vAlign w:val="center"/>
          </w:tcPr>
          <w:p w:rsidR="00073733" w:rsidRDefault="00143BFC">
            <w:r>
              <w:rPr>
                <w:sz w:val="22"/>
              </w:rPr>
              <w:t>Необходимост от целево планиране за най-уязвимите домакинств</w:t>
            </w:r>
            <w:r>
              <w:rPr>
                <w:sz w:val="22"/>
              </w:rPr>
              <w:t>а</w:t>
            </w:r>
          </w:p>
        </w:tc>
      </w:tr>
      <w:tr w:rsidR="00073733">
        <w:trPr>
          <w:jc w:val="center"/>
        </w:trPr>
        <w:tc>
          <w:tcPr>
            <w:tcW w:w="3024" w:type="dxa"/>
            <w:vAlign w:val="center"/>
          </w:tcPr>
          <w:p w:rsidR="00073733" w:rsidRDefault="00143BFC">
            <w:r>
              <w:rPr>
                <w:sz w:val="22"/>
              </w:rPr>
              <w:t xml:space="preserve">Висок риск + ниска </w:t>
            </w:r>
            <w:proofErr w:type="spellStart"/>
            <w:r>
              <w:rPr>
                <w:sz w:val="22"/>
              </w:rPr>
              <w:t>застрахованост</w:t>
            </w:r>
            <w:proofErr w:type="spellEnd"/>
          </w:p>
        </w:tc>
        <w:tc>
          <w:tcPr>
            <w:tcW w:w="3024" w:type="dxa"/>
            <w:vAlign w:val="center"/>
          </w:tcPr>
          <w:p w:rsidR="00073733" w:rsidRDefault="00143BFC">
            <w:r>
              <w:rPr>
                <w:sz w:val="22"/>
              </w:rPr>
              <w:t>Разрив между риск и финансово защитно поведение</w:t>
            </w:r>
          </w:p>
        </w:tc>
        <w:tc>
          <w:tcPr>
            <w:tcW w:w="3024" w:type="dxa"/>
            <w:vAlign w:val="center"/>
          </w:tcPr>
          <w:p w:rsidR="00073733" w:rsidRDefault="00143BFC">
            <w:r>
              <w:rPr>
                <w:sz w:val="22"/>
              </w:rPr>
              <w:t>Потребност от информация и включване на финансовата готовност в превенцията</w:t>
            </w:r>
          </w:p>
        </w:tc>
      </w:tr>
    </w:tbl>
    <w:p w:rsidR="00073733" w:rsidRDefault="00143BFC">
      <w:pPr>
        <w:spacing w:after="80"/>
        <w:jc w:val="both"/>
      </w:pPr>
      <w:r>
        <w:rPr>
          <w:i/>
          <w:sz w:val="24"/>
        </w:rPr>
        <w:t>ИЗТОЧНИК: авторска систематизация на резултатите от Приложение № 2.</w:t>
      </w:r>
    </w:p>
    <w:p w:rsidR="00073733" w:rsidRDefault="00143BFC">
      <w:pPr>
        <w:ind w:firstLine="425"/>
        <w:jc w:val="both"/>
      </w:pPr>
      <w:r>
        <w:t>Практическото приложение н</w:t>
      </w:r>
      <w:r>
        <w:t>а подобна рамка предполага към картата на физическите опасности да се добави оценка на социално-икономическата уязвимост, за да се идентифицират предварително територии и групи с най-висока вероятност от продължителна зависимост от външна помощ. Не е необх</w:t>
      </w:r>
      <w:r>
        <w:t xml:space="preserve">одимо събиране на индивидуални застрахователни договори. Могат да се използват </w:t>
      </w:r>
      <w:proofErr w:type="spellStart"/>
      <w:r>
        <w:t>агрегирани</w:t>
      </w:r>
      <w:proofErr w:type="spellEnd"/>
      <w:r>
        <w:t xml:space="preserve"> индикатори - доход, приблизително имуществено застраховане, концентрация на възрастни и самотно живеещи лица и характеристики на жилищния фонд. OECD също поставя акце</w:t>
      </w:r>
      <w:r>
        <w:t>нт върху интегрирането на социални, икономически и институционални измерения в местното управление на риска [17].</w:t>
      </w:r>
    </w:p>
    <w:p w:rsidR="00073733" w:rsidRDefault="00143BFC">
      <w:pPr>
        <w:ind w:firstLine="425"/>
        <w:jc w:val="both"/>
      </w:pPr>
      <w:r>
        <w:t>В рамките на общинската устойчивост финансовата уязвимост може да бъде разглеждана чрез последователност от пет елемента: институционална функ</w:t>
      </w:r>
      <w:r>
        <w:t xml:space="preserve">ция - оценка на социално-икономическата уязвимост; граждански индикатор - финансова и застрахователна обезпеченост; емпиричен резултат - висока </w:t>
      </w:r>
      <w:proofErr w:type="spellStart"/>
      <w:r>
        <w:t>незастрахованост</w:t>
      </w:r>
      <w:proofErr w:type="spellEnd"/>
      <w:r>
        <w:t xml:space="preserve"> и зависимост от дохода; дефицит - ограничена способност за самостоятелно възстановяване; управл</w:t>
      </w:r>
      <w:r>
        <w:t>енско значение - предварително планиране на социална, логистична и възстановителна подкрепа.</w:t>
      </w:r>
    </w:p>
    <w:p w:rsidR="00073733" w:rsidRDefault="00143BFC">
      <w:pPr>
        <w:keepNext/>
        <w:spacing w:before="160"/>
        <w:ind w:firstLine="425"/>
      </w:pPr>
      <w:r>
        <w:rPr>
          <w:b/>
        </w:rPr>
        <w:t>Заключение</w:t>
      </w:r>
    </w:p>
    <w:p w:rsidR="00073733" w:rsidRDefault="00143BFC">
      <w:pPr>
        <w:ind w:firstLine="425"/>
        <w:jc w:val="both"/>
      </w:pPr>
      <w:r>
        <w:t xml:space="preserve">Резултатите показват съществен дефицит на финансова и застрахователна устойчивост в изследваните местни общности. Най-видимият индикатор е високият дял </w:t>
      </w:r>
      <w:r>
        <w:t>на респондентите без никакъв вид застраховка - 72,8%, съчетан с едва 12,8% застраховани недвижими имоти. Тези стойности придобиват допълнително значение на фона на непосредствения опит от тежко наводнение и високото възприятие за повторен риск.</w:t>
      </w:r>
    </w:p>
    <w:p w:rsidR="00073733" w:rsidRDefault="00143BFC">
      <w:pPr>
        <w:ind w:firstLine="425"/>
        <w:jc w:val="both"/>
      </w:pPr>
      <w:r>
        <w:t>Установенат</w:t>
      </w:r>
      <w:r>
        <w:t xml:space="preserve">а зависимост от дохода показва, че финансовата уязвимост има отчетлив социално-икономически компонент. Пълната </w:t>
      </w:r>
      <w:proofErr w:type="spellStart"/>
      <w:r>
        <w:t>незастрахованост</w:t>
      </w:r>
      <w:proofErr w:type="spellEnd"/>
      <w:r>
        <w:t xml:space="preserve"> в най-ниските доходни групи и високите стойности при част от по-високите доходи показват, че икономическите ограничения не обясн</w:t>
      </w:r>
      <w:r>
        <w:t>яват изцяло поведението. Това очертава необходимост от допълнително изследване на доверието, информираността и нагласите към финансовите инструменти за защита.</w:t>
      </w:r>
    </w:p>
    <w:p w:rsidR="00073733" w:rsidRDefault="00143BFC">
      <w:pPr>
        <w:ind w:firstLine="425"/>
        <w:jc w:val="both"/>
      </w:pPr>
      <w:r>
        <w:t>Основният извод е, че финансовата устойчивост на домакинството е индивидуална по своя носител, н</w:t>
      </w:r>
      <w:r>
        <w:t>о при масова финансова уязвимост последствията придобиват общностен и институционален характер. Ограничената способност за самостоятелно възстановяване увеличава потенциалната зависимост от публични и външни ресурси и по този начин се превръща във фактор з</w:t>
      </w:r>
      <w:r>
        <w:t>а общинската устойчивост. Поради това социално-икономическата и финансовата уязвимост следва да бъдат включени в местната оценка на риска и в предварителното планиране на възстановяването.</w:t>
      </w:r>
    </w:p>
    <w:p w:rsidR="00073733" w:rsidRDefault="00073733"/>
    <w:p w:rsidR="00073733" w:rsidRDefault="00073733"/>
    <w:p w:rsidR="00073733" w:rsidRDefault="00143BFC">
      <w:pPr>
        <w:keepNext/>
        <w:spacing w:before="160"/>
      </w:pPr>
      <w:r>
        <w:rPr>
          <w:b/>
        </w:rPr>
        <w:t>БЕЛЕЖКИ:</w:t>
      </w:r>
    </w:p>
    <w:p w:rsidR="00073733" w:rsidRDefault="00143BFC">
      <w:pPr>
        <w:jc w:val="both"/>
      </w:pPr>
      <w:r>
        <w:rPr>
          <w:sz w:val="24"/>
        </w:rPr>
        <w:t>[1] UNITED NATIONS OFFICE FOR DISASTER RISK REDUCTION (U</w:t>
      </w:r>
      <w:r>
        <w:rPr>
          <w:sz w:val="24"/>
        </w:rPr>
        <w:t xml:space="preserve">NDRR). </w:t>
      </w:r>
      <w:proofErr w:type="spellStart"/>
      <w:r>
        <w:rPr>
          <w:sz w:val="24"/>
        </w:rPr>
        <w:t>Sendai</w:t>
      </w:r>
      <w:proofErr w:type="spellEnd"/>
      <w:r>
        <w:rPr>
          <w:sz w:val="24"/>
        </w:rPr>
        <w:t xml:space="preserve"> Framework </w:t>
      </w:r>
      <w:proofErr w:type="spellStart"/>
      <w:r>
        <w:rPr>
          <w:sz w:val="24"/>
        </w:rPr>
        <w:t>for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Disaster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Risk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Reduction</w:t>
      </w:r>
      <w:proofErr w:type="spellEnd"/>
      <w:r>
        <w:rPr>
          <w:sz w:val="24"/>
        </w:rPr>
        <w:t xml:space="preserve"> 2015–2030. </w:t>
      </w:r>
      <w:proofErr w:type="spellStart"/>
      <w:r>
        <w:rPr>
          <w:sz w:val="24"/>
        </w:rPr>
        <w:t>Geneva</w:t>
      </w:r>
      <w:proofErr w:type="spellEnd"/>
      <w:r>
        <w:rPr>
          <w:sz w:val="24"/>
        </w:rPr>
        <w:t xml:space="preserve">: </w:t>
      </w:r>
      <w:proofErr w:type="spellStart"/>
      <w:r>
        <w:rPr>
          <w:sz w:val="24"/>
        </w:rPr>
        <w:t>United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Nations</w:t>
      </w:r>
      <w:proofErr w:type="spellEnd"/>
      <w:r>
        <w:rPr>
          <w:sz w:val="24"/>
        </w:rPr>
        <w:t xml:space="preserve">, 2015, </w:t>
      </w:r>
      <w:proofErr w:type="spellStart"/>
      <w:r>
        <w:rPr>
          <w:sz w:val="24"/>
        </w:rPr>
        <w:t>pp</w:t>
      </w:r>
      <w:proofErr w:type="spellEnd"/>
      <w:r>
        <w:rPr>
          <w:sz w:val="24"/>
        </w:rPr>
        <w:t xml:space="preserve">. 10–19. ISBN 978-92-1-132042-3. </w:t>
      </w:r>
      <w:proofErr w:type="spellStart"/>
      <w:r>
        <w:rPr>
          <w:sz w:val="24"/>
        </w:rPr>
        <w:t>Available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from</w:t>
      </w:r>
      <w:proofErr w:type="spellEnd"/>
      <w:r>
        <w:rPr>
          <w:sz w:val="24"/>
        </w:rPr>
        <w:t>: https://www.undrr.org/publication/sendai-framework-disaster-risk-reduction-2015-2030. [</w:t>
      </w:r>
      <w:proofErr w:type="spellStart"/>
      <w:r>
        <w:rPr>
          <w:sz w:val="24"/>
        </w:rPr>
        <w:t>viewed</w:t>
      </w:r>
      <w:proofErr w:type="spellEnd"/>
      <w:r>
        <w:rPr>
          <w:sz w:val="24"/>
        </w:rPr>
        <w:t xml:space="preserve"> 2026-08-30].</w:t>
      </w:r>
    </w:p>
    <w:p w:rsidR="00073733" w:rsidRDefault="00143BFC">
      <w:pPr>
        <w:jc w:val="both"/>
      </w:pPr>
      <w:r>
        <w:rPr>
          <w:sz w:val="24"/>
        </w:rPr>
        <w:t>[2] N</w:t>
      </w:r>
      <w:r>
        <w:rPr>
          <w:sz w:val="24"/>
        </w:rPr>
        <w:t xml:space="preserve">ORRIS, </w:t>
      </w:r>
      <w:proofErr w:type="spellStart"/>
      <w:r>
        <w:rPr>
          <w:sz w:val="24"/>
        </w:rPr>
        <w:t>Fran</w:t>
      </w:r>
      <w:proofErr w:type="spellEnd"/>
      <w:r>
        <w:rPr>
          <w:sz w:val="24"/>
        </w:rPr>
        <w:t xml:space="preserve"> H.; STEVENS, </w:t>
      </w:r>
      <w:proofErr w:type="spellStart"/>
      <w:r>
        <w:rPr>
          <w:sz w:val="24"/>
        </w:rPr>
        <w:t>Susan</w:t>
      </w:r>
      <w:proofErr w:type="spellEnd"/>
      <w:r>
        <w:rPr>
          <w:sz w:val="24"/>
        </w:rPr>
        <w:t xml:space="preserve"> P.; PFEFFERBAUM, </w:t>
      </w:r>
      <w:proofErr w:type="spellStart"/>
      <w:r>
        <w:rPr>
          <w:sz w:val="24"/>
        </w:rPr>
        <w:t>Betty</w:t>
      </w:r>
      <w:proofErr w:type="spellEnd"/>
      <w:r>
        <w:rPr>
          <w:sz w:val="24"/>
        </w:rPr>
        <w:t xml:space="preserve">; WYCHE, </w:t>
      </w:r>
      <w:proofErr w:type="spellStart"/>
      <w:r>
        <w:rPr>
          <w:sz w:val="24"/>
        </w:rPr>
        <w:t>Karen</w:t>
      </w:r>
      <w:proofErr w:type="spellEnd"/>
      <w:r>
        <w:rPr>
          <w:sz w:val="24"/>
        </w:rPr>
        <w:t xml:space="preserve"> F.; PFEFFERBAUM, </w:t>
      </w:r>
      <w:proofErr w:type="spellStart"/>
      <w:r>
        <w:rPr>
          <w:sz w:val="24"/>
        </w:rPr>
        <w:t>Rose</w:t>
      </w:r>
      <w:proofErr w:type="spellEnd"/>
      <w:r>
        <w:rPr>
          <w:sz w:val="24"/>
        </w:rPr>
        <w:t xml:space="preserve"> L. </w:t>
      </w:r>
      <w:proofErr w:type="spellStart"/>
      <w:r>
        <w:rPr>
          <w:sz w:val="24"/>
        </w:rPr>
        <w:t>Community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Resilience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Metaphor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Theory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Capacities</w:t>
      </w:r>
      <w:proofErr w:type="spellEnd"/>
      <w:r>
        <w:rPr>
          <w:sz w:val="24"/>
        </w:rPr>
        <w:t xml:space="preserve">, and </w:t>
      </w:r>
      <w:proofErr w:type="spellStart"/>
      <w:r>
        <w:rPr>
          <w:sz w:val="24"/>
        </w:rPr>
        <w:t>Strategy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Disaster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Readiness</w:t>
      </w:r>
      <w:proofErr w:type="spellEnd"/>
      <w:r>
        <w:rPr>
          <w:sz w:val="24"/>
        </w:rPr>
        <w:t xml:space="preserve">. American </w:t>
      </w:r>
      <w:proofErr w:type="spellStart"/>
      <w:r>
        <w:rPr>
          <w:sz w:val="24"/>
        </w:rPr>
        <w:t>Journal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Community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Psychology</w:t>
      </w:r>
      <w:proofErr w:type="spellEnd"/>
      <w:r>
        <w:rPr>
          <w:sz w:val="24"/>
        </w:rPr>
        <w:t xml:space="preserve">, 2008,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 xml:space="preserve">. 41, </w:t>
      </w:r>
      <w:proofErr w:type="spellStart"/>
      <w:r>
        <w:rPr>
          <w:sz w:val="24"/>
        </w:rPr>
        <w:t>nos</w:t>
      </w:r>
      <w:proofErr w:type="spellEnd"/>
      <w:r>
        <w:rPr>
          <w:sz w:val="24"/>
        </w:rPr>
        <w:t>. 1</w:t>
      </w:r>
      <w:r>
        <w:rPr>
          <w:sz w:val="24"/>
        </w:rPr>
        <w:t xml:space="preserve">–2, </w:t>
      </w:r>
      <w:proofErr w:type="spellStart"/>
      <w:r>
        <w:rPr>
          <w:sz w:val="24"/>
        </w:rPr>
        <w:t>pp</w:t>
      </w:r>
      <w:proofErr w:type="spellEnd"/>
      <w:r>
        <w:rPr>
          <w:sz w:val="24"/>
        </w:rPr>
        <w:t xml:space="preserve">. 127–150. </w:t>
      </w:r>
      <w:proofErr w:type="spellStart"/>
      <w:r>
        <w:rPr>
          <w:sz w:val="24"/>
        </w:rPr>
        <w:t>Print</w:t>
      </w:r>
      <w:proofErr w:type="spellEnd"/>
      <w:r>
        <w:rPr>
          <w:sz w:val="24"/>
        </w:rPr>
        <w:t xml:space="preserve"> ISSN 0091-0562; </w:t>
      </w:r>
      <w:proofErr w:type="spellStart"/>
      <w:r>
        <w:rPr>
          <w:sz w:val="24"/>
        </w:rPr>
        <w:t>Online</w:t>
      </w:r>
      <w:proofErr w:type="spellEnd"/>
      <w:r>
        <w:rPr>
          <w:sz w:val="24"/>
        </w:rPr>
        <w:t xml:space="preserve"> ISSN 1573-2770. DOI: 10.1007/s10464-007-9156-6.</w:t>
      </w:r>
    </w:p>
    <w:p w:rsidR="00073733" w:rsidRDefault="00143BFC">
      <w:pPr>
        <w:jc w:val="both"/>
      </w:pPr>
      <w:r>
        <w:rPr>
          <w:sz w:val="24"/>
        </w:rPr>
        <w:t xml:space="preserve">[3] АНГЕЛОВ, Груди. Някои аспекти на националната мощ на съвременната държава. Национална сигурност, София, 2023, с. 15–21. </w:t>
      </w:r>
      <w:proofErr w:type="spellStart"/>
      <w:r>
        <w:rPr>
          <w:sz w:val="24"/>
        </w:rPr>
        <w:t>Online</w:t>
      </w:r>
      <w:proofErr w:type="spellEnd"/>
      <w:r>
        <w:rPr>
          <w:sz w:val="24"/>
        </w:rPr>
        <w:t xml:space="preserve"> ISSN 2682-941X; </w:t>
      </w:r>
      <w:proofErr w:type="spellStart"/>
      <w:r>
        <w:rPr>
          <w:sz w:val="24"/>
        </w:rPr>
        <w:t>Print</w:t>
      </w:r>
      <w:proofErr w:type="spellEnd"/>
      <w:r>
        <w:rPr>
          <w:sz w:val="24"/>
        </w:rPr>
        <w:t xml:space="preserve"> ISSN 2682</w:t>
      </w:r>
      <w:r>
        <w:rPr>
          <w:sz w:val="24"/>
        </w:rPr>
        <w:t>-9983.</w:t>
      </w:r>
    </w:p>
    <w:p w:rsidR="00073733" w:rsidRDefault="00143BFC">
      <w:pPr>
        <w:jc w:val="both"/>
      </w:pPr>
      <w:r>
        <w:rPr>
          <w:sz w:val="24"/>
        </w:rPr>
        <w:t>[4] АНГЕЛОВ, Груди. Стратегията за национална сигурност – свързващ елемент между националната мощ и националните интереси. В: Сигурност и отбрана – актуално състояние, възможности и перспективи. Сборник с доклади от Национална научна конференция с м</w:t>
      </w:r>
      <w:r>
        <w:rPr>
          <w:sz w:val="24"/>
        </w:rPr>
        <w:t xml:space="preserve">еждународно участие, 21 април 2023 г., София, УниБИТ. София: Академично издателство „За буквите – О </w:t>
      </w:r>
      <w:proofErr w:type="spellStart"/>
      <w:r>
        <w:rPr>
          <w:sz w:val="24"/>
        </w:rPr>
        <w:t>писменехь</w:t>
      </w:r>
      <w:proofErr w:type="spellEnd"/>
      <w:r>
        <w:rPr>
          <w:sz w:val="24"/>
        </w:rPr>
        <w:t>“, 2023, с. 118–126. ISBN 978-619-185-593-3.</w:t>
      </w:r>
    </w:p>
    <w:p w:rsidR="00073733" w:rsidRDefault="00143BFC">
      <w:pPr>
        <w:jc w:val="both"/>
      </w:pPr>
      <w:r>
        <w:rPr>
          <w:sz w:val="24"/>
        </w:rPr>
        <w:t>[5] АНГЕЛОВ, Груди. Предизвикателства пред системата за сигурност на Република България при управление</w:t>
      </w:r>
      <w:r>
        <w:rPr>
          <w:sz w:val="24"/>
        </w:rPr>
        <w:t xml:space="preserve"> на кризи от невоенен характер. В: Сборник доклади от Годишна университетска научна конференция, 3–4 октомври 2024 г., Велико Търново. Велико Търново: Издателски комплекс на НВУ „Васил Левски“, 2024, с. 283–290. ISSN 2367-7481.</w:t>
      </w:r>
    </w:p>
    <w:p w:rsidR="00073733" w:rsidRDefault="00143BFC">
      <w:pPr>
        <w:jc w:val="both"/>
      </w:pPr>
      <w:r>
        <w:rPr>
          <w:sz w:val="24"/>
        </w:rPr>
        <w:t xml:space="preserve">[6] ТЕОДОСИЕВ, П. Анализ на </w:t>
      </w:r>
      <w:r>
        <w:rPr>
          <w:sz w:val="24"/>
        </w:rPr>
        <w:t xml:space="preserve">стратегическата и оперативна обстановка в Югоизточна Европа и на Балканите. Част втора. Политика на Великите сили на Балканите. Демографски и социални аспекти. Човешкият фактор за регионалната сигурност. София: Академично издателство „За буквите – О </w:t>
      </w:r>
      <w:proofErr w:type="spellStart"/>
      <w:r>
        <w:rPr>
          <w:sz w:val="24"/>
        </w:rPr>
        <w:t>писмен</w:t>
      </w:r>
      <w:r>
        <w:rPr>
          <w:sz w:val="24"/>
        </w:rPr>
        <w:t>ех</w:t>
      </w:r>
      <w:proofErr w:type="spellEnd"/>
      <w:r>
        <w:rPr>
          <w:sz w:val="24"/>
        </w:rPr>
        <w:t>“, 2025. ISBN 978-619-185-779-1.</w:t>
      </w:r>
    </w:p>
    <w:p w:rsidR="00073733" w:rsidRDefault="00143BFC">
      <w:pPr>
        <w:jc w:val="both"/>
      </w:pPr>
      <w:r>
        <w:t xml:space="preserve">[7] ЗАКОН ЗА ЗАЩИТА ПРИ БЕДСТВИЯ. </w:t>
      </w:r>
      <w:proofErr w:type="spellStart"/>
      <w:r>
        <w:t>Обн</w:t>
      </w:r>
      <w:proofErr w:type="spellEnd"/>
      <w:r>
        <w:t xml:space="preserve">. ДВ, бр. 102 от 19.12.2006 г., </w:t>
      </w:r>
      <w:proofErr w:type="spellStart"/>
      <w:r>
        <w:t>посл</w:t>
      </w:r>
      <w:proofErr w:type="spellEnd"/>
      <w:r>
        <w:t>. изм. и доп. Наличен на: https://lex.bg/laws/ldoc/2135540282. [прегледан 2026-08-30].</w:t>
      </w:r>
    </w:p>
    <w:p w:rsidR="00073733" w:rsidRDefault="00143BFC">
      <w:pPr>
        <w:jc w:val="both"/>
      </w:pPr>
      <w:r>
        <w:t xml:space="preserve">[8] ЗАКОН ЗА МЕСТНОТО САМОУПРАВЛЕНИЕ И МЕСТНАТА </w:t>
      </w:r>
      <w:r>
        <w:t xml:space="preserve">АДМИНИСТРАЦИЯ. </w:t>
      </w:r>
      <w:proofErr w:type="spellStart"/>
      <w:r>
        <w:t>Обн</w:t>
      </w:r>
      <w:proofErr w:type="spellEnd"/>
      <w:r>
        <w:t xml:space="preserve">. ДВ, бр. 77 от 17.09.1991 г., </w:t>
      </w:r>
      <w:proofErr w:type="spellStart"/>
      <w:r>
        <w:t>посл</w:t>
      </w:r>
      <w:proofErr w:type="spellEnd"/>
      <w:r>
        <w:t>. изм. и доп. Наличен на: https://lex.bg/laws/ldoc/2132580865. [прегледан 2026-08-30].</w:t>
      </w:r>
    </w:p>
    <w:p w:rsidR="00073733" w:rsidRDefault="00143BFC">
      <w:pPr>
        <w:jc w:val="both"/>
      </w:pPr>
      <w:r>
        <w:t xml:space="preserve">[9] ЗАКОН ЗА ПУБЛИЧНИТЕ ФИНАНСИ. </w:t>
      </w:r>
      <w:proofErr w:type="spellStart"/>
      <w:r>
        <w:t>Обн</w:t>
      </w:r>
      <w:proofErr w:type="spellEnd"/>
      <w:r>
        <w:t xml:space="preserve">. ДВ, бр. 15 от 15.02.2013 г., </w:t>
      </w:r>
      <w:proofErr w:type="spellStart"/>
      <w:r>
        <w:t>посл</w:t>
      </w:r>
      <w:proofErr w:type="spellEnd"/>
      <w:r>
        <w:t>. изм. и доп. Наличен на: https://lex.bg/laws</w:t>
      </w:r>
      <w:r>
        <w:t>/ldoc/2135837967. [прегледан 2026-08-30].</w:t>
      </w:r>
    </w:p>
    <w:p w:rsidR="00073733" w:rsidRDefault="00143BFC">
      <w:pPr>
        <w:jc w:val="both"/>
      </w:pPr>
      <w:r>
        <w:t xml:space="preserve">[10] КОДЕКС ЗА ЗАСТРАХОВАНЕТО. </w:t>
      </w:r>
      <w:proofErr w:type="spellStart"/>
      <w:r>
        <w:t>Обн</w:t>
      </w:r>
      <w:proofErr w:type="spellEnd"/>
      <w:r>
        <w:t xml:space="preserve">. ДВ, бр. 102 от 29.12.2015 г., </w:t>
      </w:r>
      <w:proofErr w:type="spellStart"/>
      <w:r>
        <w:t>посл</w:t>
      </w:r>
      <w:proofErr w:type="spellEnd"/>
      <w:r>
        <w:t>. изм. и доп. Наличен на: https://lex.bg/laws/ldoc/2136717797. [прегледан 2026-08-30].</w:t>
      </w:r>
    </w:p>
    <w:p w:rsidR="00073733" w:rsidRDefault="00143BFC">
      <w:pPr>
        <w:jc w:val="both"/>
      </w:pPr>
      <w:r>
        <w:rPr>
          <w:sz w:val="24"/>
        </w:rPr>
        <w:t xml:space="preserve">[11] ALDRICH, </w:t>
      </w:r>
      <w:proofErr w:type="spellStart"/>
      <w:r>
        <w:rPr>
          <w:sz w:val="24"/>
        </w:rPr>
        <w:t>Daniel</w:t>
      </w:r>
      <w:proofErr w:type="spellEnd"/>
      <w:r>
        <w:rPr>
          <w:sz w:val="24"/>
        </w:rPr>
        <w:t xml:space="preserve"> P.; MEYER, </w:t>
      </w:r>
      <w:proofErr w:type="spellStart"/>
      <w:r>
        <w:rPr>
          <w:sz w:val="24"/>
        </w:rPr>
        <w:t>Michelle</w:t>
      </w:r>
      <w:proofErr w:type="spellEnd"/>
      <w:r>
        <w:rPr>
          <w:sz w:val="24"/>
        </w:rPr>
        <w:t xml:space="preserve"> A. </w:t>
      </w:r>
      <w:proofErr w:type="spellStart"/>
      <w:r>
        <w:rPr>
          <w:sz w:val="24"/>
        </w:rPr>
        <w:t>Social</w:t>
      </w:r>
      <w:proofErr w:type="spellEnd"/>
      <w:r>
        <w:rPr>
          <w:sz w:val="24"/>
        </w:rPr>
        <w:t xml:space="preserve"> Capita</w:t>
      </w:r>
      <w:r>
        <w:rPr>
          <w:sz w:val="24"/>
        </w:rPr>
        <w:t xml:space="preserve">l and </w:t>
      </w:r>
      <w:proofErr w:type="spellStart"/>
      <w:r>
        <w:rPr>
          <w:sz w:val="24"/>
        </w:rPr>
        <w:t>Community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Resilience</w:t>
      </w:r>
      <w:proofErr w:type="spellEnd"/>
      <w:r>
        <w:rPr>
          <w:sz w:val="24"/>
        </w:rPr>
        <w:t xml:space="preserve">. American </w:t>
      </w:r>
      <w:proofErr w:type="spellStart"/>
      <w:r>
        <w:rPr>
          <w:sz w:val="24"/>
        </w:rPr>
        <w:t>Behavioral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Scientist</w:t>
      </w:r>
      <w:proofErr w:type="spellEnd"/>
      <w:r>
        <w:rPr>
          <w:sz w:val="24"/>
        </w:rPr>
        <w:t xml:space="preserve">, 2015,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 xml:space="preserve">. 59, </w:t>
      </w:r>
      <w:proofErr w:type="spellStart"/>
      <w:r>
        <w:rPr>
          <w:sz w:val="24"/>
        </w:rPr>
        <w:t>no</w:t>
      </w:r>
      <w:proofErr w:type="spellEnd"/>
      <w:r>
        <w:rPr>
          <w:sz w:val="24"/>
        </w:rPr>
        <w:t xml:space="preserve">. 2, </w:t>
      </w:r>
      <w:proofErr w:type="spellStart"/>
      <w:r>
        <w:rPr>
          <w:sz w:val="24"/>
        </w:rPr>
        <w:t>pp</w:t>
      </w:r>
      <w:proofErr w:type="spellEnd"/>
      <w:r>
        <w:rPr>
          <w:sz w:val="24"/>
        </w:rPr>
        <w:t xml:space="preserve">. 254–269. </w:t>
      </w:r>
      <w:proofErr w:type="spellStart"/>
      <w:r>
        <w:rPr>
          <w:sz w:val="24"/>
        </w:rPr>
        <w:t>Print</w:t>
      </w:r>
      <w:proofErr w:type="spellEnd"/>
      <w:r>
        <w:rPr>
          <w:sz w:val="24"/>
        </w:rPr>
        <w:t xml:space="preserve"> ISSN 0002-7642; </w:t>
      </w:r>
      <w:proofErr w:type="spellStart"/>
      <w:r>
        <w:rPr>
          <w:sz w:val="24"/>
        </w:rPr>
        <w:t>Online</w:t>
      </w:r>
      <w:proofErr w:type="spellEnd"/>
      <w:r>
        <w:rPr>
          <w:sz w:val="24"/>
        </w:rPr>
        <w:t xml:space="preserve"> ISSN 1552-3381. DOI: 10.1177/0002764214550299.</w:t>
      </w:r>
    </w:p>
    <w:p w:rsidR="00073733" w:rsidRDefault="00143BFC">
      <w:pPr>
        <w:jc w:val="both"/>
      </w:pPr>
      <w:r>
        <w:rPr>
          <w:sz w:val="24"/>
        </w:rPr>
        <w:t xml:space="preserve">[12] ИЛИЕВ, И.; ИВАНОВ, Г.; ИЛИЕВА, С. </w:t>
      </w:r>
      <w:proofErr w:type="spellStart"/>
      <w:r>
        <w:rPr>
          <w:sz w:val="24"/>
        </w:rPr>
        <w:t>Публичноправни</w:t>
      </w:r>
      <w:proofErr w:type="spellEnd"/>
      <w:r>
        <w:rPr>
          <w:sz w:val="24"/>
        </w:rPr>
        <w:t xml:space="preserve"> науки. София: Издателство </w:t>
      </w:r>
      <w:proofErr w:type="spellStart"/>
      <w:r>
        <w:rPr>
          <w:sz w:val="24"/>
        </w:rPr>
        <w:t>ДиоМир</w:t>
      </w:r>
      <w:r>
        <w:rPr>
          <w:sz w:val="24"/>
        </w:rPr>
        <w:t>а</w:t>
      </w:r>
      <w:proofErr w:type="spellEnd"/>
      <w:r>
        <w:rPr>
          <w:sz w:val="24"/>
        </w:rPr>
        <w:t>, 2021, с. 100–106. ISBN 978-954-2977-78-0.</w:t>
      </w:r>
    </w:p>
    <w:p w:rsidR="00073733" w:rsidRDefault="00143BFC">
      <w:pPr>
        <w:jc w:val="both"/>
      </w:pPr>
      <w:r>
        <w:rPr>
          <w:sz w:val="24"/>
        </w:rPr>
        <w:t xml:space="preserve">[13] ИВАНОВ, Г. Подбор, подготовка, оценка и развитие на служители във военната организация. София: Издателство </w:t>
      </w:r>
      <w:proofErr w:type="spellStart"/>
      <w:r>
        <w:rPr>
          <w:sz w:val="24"/>
        </w:rPr>
        <w:t>ДиоМира</w:t>
      </w:r>
      <w:proofErr w:type="spellEnd"/>
      <w:r>
        <w:rPr>
          <w:sz w:val="24"/>
        </w:rPr>
        <w:t>, 2018, с. 31–40. ISBN 978-954-2977-49-0.</w:t>
      </w:r>
    </w:p>
    <w:p w:rsidR="00073733" w:rsidRDefault="00143BFC">
      <w:pPr>
        <w:jc w:val="both"/>
      </w:pPr>
      <w:r>
        <w:rPr>
          <w:sz w:val="24"/>
        </w:rPr>
        <w:t xml:space="preserve">[14] CUTTER, </w:t>
      </w:r>
      <w:proofErr w:type="spellStart"/>
      <w:r>
        <w:rPr>
          <w:sz w:val="24"/>
        </w:rPr>
        <w:t>Susan</w:t>
      </w:r>
      <w:proofErr w:type="spellEnd"/>
      <w:r>
        <w:rPr>
          <w:sz w:val="24"/>
        </w:rPr>
        <w:t xml:space="preserve"> L.; BURTON, </w:t>
      </w:r>
      <w:proofErr w:type="spellStart"/>
      <w:r>
        <w:rPr>
          <w:sz w:val="24"/>
        </w:rPr>
        <w:t>Christopher</w:t>
      </w:r>
      <w:proofErr w:type="spellEnd"/>
      <w:r>
        <w:rPr>
          <w:sz w:val="24"/>
        </w:rPr>
        <w:t xml:space="preserve"> G.; EMR</w:t>
      </w:r>
      <w:r>
        <w:rPr>
          <w:sz w:val="24"/>
        </w:rPr>
        <w:t xml:space="preserve">ICH, </w:t>
      </w:r>
      <w:proofErr w:type="spellStart"/>
      <w:r>
        <w:rPr>
          <w:sz w:val="24"/>
        </w:rPr>
        <w:t>Christopher</w:t>
      </w:r>
      <w:proofErr w:type="spellEnd"/>
      <w:r>
        <w:rPr>
          <w:sz w:val="24"/>
        </w:rPr>
        <w:t xml:space="preserve"> T. </w:t>
      </w:r>
      <w:proofErr w:type="spellStart"/>
      <w:r>
        <w:rPr>
          <w:sz w:val="24"/>
        </w:rPr>
        <w:t>Disaster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Resilience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Indicators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Benchmarking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Baseline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Conditions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Journal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Homeland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Security</w:t>
      </w:r>
      <w:proofErr w:type="spellEnd"/>
      <w:r>
        <w:rPr>
          <w:sz w:val="24"/>
        </w:rPr>
        <w:t xml:space="preserve"> and </w:t>
      </w:r>
      <w:proofErr w:type="spellStart"/>
      <w:r>
        <w:rPr>
          <w:sz w:val="24"/>
        </w:rPr>
        <w:t>Emergency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Management</w:t>
      </w:r>
      <w:proofErr w:type="spellEnd"/>
      <w:r>
        <w:rPr>
          <w:sz w:val="24"/>
        </w:rPr>
        <w:t xml:space="preserve">, 2010,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 xml:space="preserve">. 7, </w:t>
      </w:r>
      <w:proofErr w:type="spellStart"/>
      <w:r>
        <w:rPr>
          <w:sz w:val="24"/>
        </w:rPr>
        <w:t>no</w:t>
      </w:r>
      <w:proofErr w:type="spellEnd"/>
      <w:r>
        <w:rPr>
          <w:sz w:val="24"/>
        </w:rPr>
        <w:t xml:space="preserve">. 1, </w:t>
      </w:r>
      <w:proofErr w:type="spellStart"/>
      <w:r>
        <w:rPr>
          <w:sz w:val="24"/>
        </w:rPr>
        <w:t>pp</w:t>
      </w:r>
      <w:proofErr w:type="spellEnd"/>
      <w:r>
        <w:rPr>
          <w:sz w:val="24"/>
        </w:rPr>
        <w:t xml:space="preserve">. 1–24. </w:t>
      </w:r>
      <w:proofErr w:type="spellStart"/>
      <w:r>
        <w:rPr>
          <w:sz w:val="24"/>
        </w:rPr>
        <w:t>eISSN</w:t>
      </w:r>
      <w:proofErr w:type="spellEnd"/>
      <w:r>
        <w:rPr>
          <w:sz w:val="24"/>
        </w:rPr>
        <w:t xml:space="preserve"> 1547-7355. DOI: 10.2202/1547-7355.1732.</w:t>
      </w:r>
    </w:p>
    <w:p w:rsidR="00073733" w:rsidRDefault="00143BFC">
      <w:pPr>
        <w:jc w:val="both"/>
      </w:pPr>
      <w:r>
        <w:t>[15] ПРАВИЛНИК ЗА ОРГАНИЗАЦИЯТА И Д</w:t>
      </w:r>
      <w:r>
        <w:t>ЕЙНОСТТА НА МЕЖДУВЕДОМСТВЕНАТА КОМИСИЯ ЗА ВЪЗСТАНОВЯВАНЕ И ПОДПОМАГАНЕ КЪМ МИНИСТЕРСКИЯ СЪВЕТ. Наличен на: https://mvr.bg/gdpbzn/info-center/справочна-информация/междуведомствена-комисия-за-възстановяване-и-подпомагане-към-министерски-съвет/73136. [преглед</w:t>
      </w:r>
      <w:r>
        <w:t>ан 2026-08-30].</w:t>
      </w:r>
    </w:p>
    <w:p w:rsidR="00073733" w:rsidRDefault="00143BFC">
      <w:pPr>
        <w:jc w:val="both"/>
      </w:pPr>
      <w:r>
        <w:t>[16] МИНИСТЕРСКИ СЪВЕТ НА РЕПУБЛИКА БЪЛГАРИЯ. Национална стратегия за намаляване на риска от бедствия 2018–2030 г. Приета с Решение № 505 на Министерския съвет от 19.07.2018 г. Наличен на: https://www.strategy.bg/bg/strategy-documents/1298.</w:t>
      </w:r>
      <w:r>
        <w:t xml:space="preserve"> [прегледан 2026-08-30].</w:t>
      </w:r>
    </w:p>
    <w:p w:rsidR="00073733" w:rsidRDefault="00143BFC">
      <w:pPr>
        <w:jc w:val="both"/>
      </w:pPr>
      <w:r>
        <w:rPr>
          <w:sz w:val="24"/>
        </w:rPr>
        <w:t xml:space="preserve">[17] OECD. Building </w:t>
      </w:r>
      <w:proofErr w:type="spellStart"/>
      <w:r>
        <w:rPr>
          <w:sz w:val="24"/>
        </w:rPr>
        <w:t>Resilient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Cities</w:t>
      </w:r>
      <w:proofErr w:type="spellEnd"/>
      <w:r>
        <w:rPr>
          <w:sz w:val="24"/>
        </w:rPr>
        <w:t xml:space="preserve">: </w:t>
      </w:r>
      <w:proofErr w:type="spellStart"/>
      <w:r>
        <w:rPr>
          <w:sz w:val="24"/>
        </w:rPr>
        <w:t>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Assessment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Disaster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Risk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Management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Policies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Southeast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Asia</w:t>
      </w:r>
      <w:proofErr w:type="spellEnd"/>
      <w:r>
        <w:rPr>
          <w:sz w:val="24"/>
        </w:rPr>
        <w:t xml:space="preserve">. OECD </w:t>
      </w:r>
      <w:proofErr w:type="spellStart"/>
      <w:r>
        <w:rPr>
          <w:sz w:val="24"/>
        </w:rPr>
        <w:t>Green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Growth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Studies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Paris</w:t>
      </w:r>
      <w:proofErr w:type="spellEnd"/>
      <w:r>
        <w:rPr>
          <w:sz w:val="24"/>
        </w:rPr>
        <w:t xml:space="preserve">: OECD </w:t>
      </w:r>
      <w:proofErr w:type="spellStart"/>
      <w:r>
        <w:rPr>
          <w:sz w:val="24"/>
        </w:rPr>
        <w:t>Publishing</w:t>
      </w:r>
      <w:proofErr w:type="spellEnd"/>
      <w:r>
        <w:rPr>
          <w:sz w:val="24"/>
        </w:rPr>
        <w:t>, 2018. ISBN 978-92-64-30700-1 (</w:t>
      </w:r>
      <w:proofErr w:type="spellStart"/>
      <w:r>
        <w:rPr>
          <w:sz w:val="24"/>
        </w:rPr>
        <w:t>print</w:t>
      </w:r>
      <w:proofErr w:type="spellEnd"/>
      <w:r>
        <w:rPr>
          <w:sz w:val="24"/>
        </w:rPr>
        <w:t>); ISBN 978-92-64-30539-7 (PDF); ISSN</w:t>
      </w:r>
      <w:r>
        <w:rPr>
          <w:sz w:val="24"/>
        </w:rPr>
        <w:t xml:space="preserve"> 2222-9515 (</w:t>
      </w:r>
      <w:proofErr w:type="spellStart"/>
      <w:r>
        <w:rPr>
          <w:sz w:val="24"/>
        </w:rPr>
        <w:t>print</w:t>
      </w:r>
      <w:proofErr w:type="spellEnd"/>
      <w:r>
        <w:rPr>
          <w:sz w:val="24"/>
        </w:rPr>
        <w:t>); ISSN 2222-9523 (</w:t>
      </w:r>
      <w:proofErr w:type="spellStart"/>
      <w:r>
        <w:rPr>
          <w:sz w:val="24"/>
        </w:rPr>
        <w:t>online</w:t>
      </w:r>
      <w:proofErr w:type="spellEnd"/>
      <w:r>
        <w:rPr>
          <w:sz w:val="24"/>
        </w:rPr>
        <w:t>). DOI: 10.1787/9789264305397-en.</w:t>
      </w:r>
    </w:p>
    <w:p w:rsidR="00073733" w:rsidRDefault="00073733"/>
    <w:p w:rsidR="00073733" w:rsidRDefault="00143BFC">
      <w:pPr>
        <w:keepNext/>
        <w:spacing w:before="160"/>
      </w:pPr>
      <w:r>
        <w:rPr>
          <w:b/>
        </w:rPr>
        <w:t>ЛИТЕРАТУРА:</w:t>
      </w:r>
    </w:p>
    <w:p w:rsidR="00073733" w:rsidRDefault="00143BFC">
      <w:pPr>
        <w:jc w:val="both"/>
      </w:pPr>
      <w:r>
        <w:rPr>
          <w:sz w:val="24"/>
        </w:rPr>
        <w:t xml:space="preserve">1. АНГЕЛОВ, Груди. Някои аспекти на националната мощ на съвременната държава. Национална сигурност, София, 2023, с. 15–21. </w:t>
      </w:r>
      <w:proofErr w:type="spellStart"/>
      <w:r>
        <w:rPr>
          <w:sz w:val="24"/>
        </w:rPr>
        <w:t>Online</w:t>
      </w:r>
      <w:proofErr w:type="spellEnd"/>
      <w:r>
        <w:rPr>
          <w:sz w:val="24"/>
        </w:rPr>
        <w:t xml:space="preserve"> ISSN 2682-941X; </w:t>
      </w:r>
      <w:proofErr w:type="spellStart"/>
      <w:r>
        <w:rPr>
          <w:sz w:val="24"/>
        </w:rPr>
        <w:t>Print</w:t>
      </w:r>
      <w:proofErr w:type="spellEnd"/>
      <w:r>
        <w:rPr>
          <w:sz w:val="24"/>
        </w:rPr>
        <w:t xml:space="preserve"> ISSN 2682-9983.</w:t>
      </w:r>
    </w:p>
    <w:p w:rsidR="00073733" w:rsidRDefault="00143BFC">
      <w:pPr>
        <w:jc w:val="both"/>
      </w:pPr>
      <w:r>
        <w:rPr>
          <w:sz w:val="24"/>
        </w:rPr>
        <w:t>2. АНГЕЛОВ, Груди. Предизвикателства пред системата за сигурност на Република България при управление на кризи от невоенен характер. В: Сборник доклади от Годишна университетска научна конференция, 3–4 октомври 2024 г., Велико Търново. Велико Търново: Изд</w:t>
      </w:r>
      <w:r>
        <w:rPr>
          <w:sz w:val="24"/>
        </w:rPr>
        <w:t>ателски комплекс на НВУ „Васил Левски“, 2024, с. 283–290. ISSN 2367-7481.</w:t>
      </w:r>
    </w:p>
    <w:p w:rsidR="00073733" w:rsidRDefault="00143BFC">
      <w:pPr>
        <w:jc w:val="both"/>
      </w:pPr>
      <w:r>
        <w:rPr>
          <w:sz w:val="24"/>
        </w:rPr>
        <w:t>3. АНГЕЛОВ, Груди. Стратегията за национална сигурност – свързващ елемент между националната мощ и националните интереси. В: Сигурност и отбрана – актуално състояние, възможности и п</w:t>
      </w:r>
      <w:r>
        <w:rPr>
          <w:sz w:val="24"/>
        </w:rPr>
        <w:t xml:space="preserve">ерспективи. Национална научна конференция с международно участие, 21 април 2023 г., София, УниБИТ. София: Академично издателство „За буквите – О </w:t>
      </w:r>
      <w:proofErr w:type="spellStart"/>
      <w:r>
        <w:rPr>
          <w:sz w:val="24"/>
        </w:rPr>
        <w:t>писменехь</w:t>
      </w:r>
      <w:proofErr w:type="spellEnd"/>
      <w:r>
        <w:rPr>
          <w:sz w:val="24"/>
        </w:rPr>
        <w:t>“, 2023, с. 118–126. ISBN 978-619-185-593-3.</w:t>
      </w:r>
    </w:p>
    <w:p w:rsidR="00073733" w:rsidRDefault="00143BFC">
      <w:pPr>
        <w:jc w:val="both"/>
      </w:pPr>
      <w:r>
        <w:t xml:space="preserve">4. ЗАКОН ЗА ЗАЩИТА ПРИ БЕДСТВИЯ. </w:t>
      </w:r>
      <w:proofErr w:type="spellStart"/>
      <w:r>
        <w:t>Обн</w:t>
      </w:r>
      <w:proofErr w:type="spellEnd"/>
      <w:r>
        <w:t>. ДВ, бр. 102 от 19.1</w:t>
      </w:r>
      <w:r>
        <w:t xml:space="preserve">2.2006 г., </w:t>
      </w:r>
      <w:proofErr w:type="spellStart"/>
      <w:r>
        <w:t>посл</w:t>
      </w:r>
      <w:proofErr w:type="spellEnd"/>
      <w:r>
        <w:t>. изм. и доп. Наличен на: https://lex.bg/laws/ldoc/2135540282. [прегледан 2026-08-30].</w:t>
      </w:r>
    </w:p>
    <w:p w:rsidR="00073733" w:rsidRDefault="00143BFC">
      <w:pPr>
        <w:jc w:val="both"/>
      </w:pPr>
      <w:r>
        <w:t xml:space="preserve">5. ЗАКОН ЗА МЕСТНОТО САМОУПРАВЛЕНИЕ И МЕСТНАТА АДМИНИСТРАЦИЯ. </w:t>
      </w:r>
      <w:proofErr w:type="spellStart"/>
      <w:r>
        <w:t>Обн</w:t>
      </w:r>
      <w:proofErr w:type="spellEnd"/>
      <w:r>
        <w:t xml:space="preserve">. ДВ, бр. 77 от 17.09.1991 г., </w:t>
      </w:r>
      <w:proofErr w:type="spellStart"/>
      <w:r>
        <w:t>посл</w:t>
      </w:r>
      <w:proofErr w:type="spellEnd"/>
      <w:r>
        <w:t>. изм. и доп. Наличен на: https://lex.bg/laws/ldoc/213</w:t>
      </w:r>
      <w:r>
        <w:t>2580865. [прегледан 2026-08-30].</w:t>
      </w:r>
    </w:p>
    <w:p w:rsidR="00073733" w:rsidRDefault="00143BFC">
      <w:pPr>
        <w:jc w:val="both"/>
      </w:pPr>
      <w:r>
        <w:t xml:space="preserve">6. ЗАКОН ЗА ПУБЛИЧНИТЕ ФИНАНСИ. </w:t>
      </w:r>
      <w:proofErr w:type="spellStart"/>
      <w:r>
        <w:t>Обн</w:t>
      </w:r>
      <w:proofErr w:type="spellEnd"/>
      <w:r>
        <w:t xml:space="preserve">. ДВ, бр. 15 от 15.02.2013 г., </w:t>
      </w:r>
      <w:proofErr w:type="spellStart"/>
      <w:r>
        <w:t>посл</w:t>
      </w:r>
      <w:proofErr w:type="spellEnd"/>
      <w:r>
        <w:t>. изм. и доп. Наличен на: https://lex.bg/laws/ldoc/2135837967. [прегледан 2026-08-30].</w:t>
      </w:r>
    </w:p>
    <w:p w:rsidR="00073733" w:rsidRDefault="00143BFC">
      <w:pPr>
        <w:jc w:val="both"/>
      </w:pPr>
      <w:r>
        <w:rPr>
          <w:sz w:val="24"/>
        </w:rPr>
        <w:t>7. ИВАНОВ, Г. Подбор, подготовка, оценка и развитие на служители в</w:t>
      </w:r>
      <w:r>
        <w:rPr>
          <w:sz w:val="24"/>
        </w:rPr>
        <w:t xml:space="preserve">ъв военната организация. София: Издателство </w:t>
      </w:r>
      <w:proofErr w:type="spellStart"/>
      <w:r>
        <w:rPr>
          <w:sz w:val="24"/>
        </w:rPr>
        <w:t>ДиоМира</w:t>
      </w:r>
      <w:proofErr w:type="spellEnd"/>
      <w:r>
        <w:rPr>
          <w:sz w:val="24"/>
        </w:rPr>
        <w:t>, 2018. ISBN 978-954-2977-49-0.</w:t>
      </w:r>
    </w:p>
    <w:p w:rsidR="00073733" w:rsidRDefault="00143BFC">
      <w:pPr>
        <w:jc w:val="both"/>
      </w:pPr>
      <w:r>
        <w:rPr>
          <w:sz w:val="24"/>
        </w:rPr>
        <w:t xml:space="preserve">8. ИЛИЕВ, И.; ИВАНОВ, Г.; ИЛИЕВА, С. </w:t>
      </w:r>
      <w:proofErr w:type="spellStart"/>
      <w:r>
        <w:rPr>
          <w:sz w:val="24"/>
        </w:rPr>
        <w:t>Публичноправни</w:t>
      </w:r>
      <w:proofErr w:type="spellEnd"/>
      <w:r>
        <w:rPr>
          <w:sz w:val="24"/>
        </w:rPr>
        <w:t xml:space="preserve"> науки. София: Издателство </w:t>
      </w:r>
      <w:proofErr w:type="spellStart"/>
      <w:r>
        <w:rPr>
          <w:sz w:val="24"/>
        </w:rPr>
        <w:t>ДиоМира</w:t>
      </w:r>
      <w:proofErr w:type="spellEnd"/>
      <w:r>
        <w:rPr>
          <w:sz w:val="24"/>
        </w:rPr>
        <w:t>, 2021. ISBN 978-954-2977-78-0.</w:t>
      </w:r>
    </w:p>
    <w:p w:rsidR="00073733" w:rsidRDefault="00143BFC">
      <w:pPr>
        <w:jc w:val="both"/>
      </w:pPr>
      <w:r>
        <w:t xml:space="preserve">9. КОДЕКС ЗА ЗАСТРАХОВАНЕТО. </w:t>
      </w:r>
      <w:proofErr w:type="spellStart"/>
      <w:r>
        <w:t>Обн</w:t>
      </w:r>
      <w:proofErr w:type="spellEnd"/>
      <w:r>
        <w:t>. ДВ, бр. 102 от 29.12.2</w:t>
      </w:r>
      <w:r>
        <w:t xml:space="preserve">015 г., </w:t>
      </w:r>
      <w:proofErr w:type="spellStart"/>
      <w:r>
        <w:t>посл</w:t>
      </w:r>
      <w:proofErr w:type="spellEnd"/>
      <w:r>
        <w:t>. изм. и доп. Наличен на: https://lex.bg/laws/ldoc/2136717797. [прегледан 2026-08-30].</w:t>
      </w:r>
    </w:p>
    <w:p w:rsidR="00073733" w:rsidRDefault="00143BFC">
      <w:pPr>
        <w:jc w:val="both"/>
      </w:pPr>
      <w:r>
        <w:t>10. МИНИСТЕРСКИ СЪВЕТ НА РЕПУБЛИКА БЪЛГАРИЯ. Национална стратегия за намаляване на риска от бедствия 2018–2030 г. Приета с Решение № 505 на Министерския съве</w:t>
      </w:r>
      <w:r>
        <w:t>т от 19.07.2018 г. Наличен на: https://www.strategy.bg/bg/strategy-documents/1298. [прегледан 2026-08-30].</w:t>
      </w:r>
    </w:p>
    <w:p w:rsidR="00073733" w:rsidRDefault="00143BFC">
      <w:pPr>
        <w:jc w:val="both"/>
      </w:pPr>
      <w:r>
        <w:t>11. ПРАВИЛНИК ЗА ОРГАНИЗАЦИЯТА И ДЕЙНОСТТА НА МЕЖДУВЕДОМСТВЕНАТА КОМИСИЯ ЗА ВЪЗСТАНОВЯВАНЕ И ПОДПОМАГАНЕ КЪМ МИНИСТЕРСКИЯ СЪВЕТ. Наличен на: https://</w:t>
      </w:r>
      <w:r>
        <w:t>mvr.bg/gdpbzn/info-center/справочна-информация/междуведомствена-комисия-за-възстановяване-и-подпомагане-към-министерски-съвет/73136. [прегледан 2026-08-30].</w:t>
      </w:r>
    </w:p>
    <w:p w:rsidR="00073733" w:rsidRDefault="00143BFC">
      <w:pPr>
        <w:jc w:val="both"/>
      </w:pPr>
      <w:r>
        <w:rPr>
          <w:sz w:val="24"/>
        </w:rPr>
        <w:t>12. ТЕОДОСИЕВ, П. Анализ на стратегическата и оперативна обстановка в Югоизточна Европа и на Балкан</w:t>
      </w:r>
      <w:r>
        <w:rPr>
          <w:sz w:val="24"/>
        </w:rPr>
        <w:t xml:space="preserve">ите. Част втора. Политика на Великите сили на Балканите. Демографски и социални аспекти. Човешкият фактор за регионалната сигурност. София: Академично издателство „За буквите – О </w:t>
      </w:r>
      <w:proofErr w:type="spellStart"/>
      <w:r>
        <w:rPr>
          <w:sz w:val="24"/>
        </w:rPr>
        <w:t>писменех</w:t>
      </w:r>
      <w:proofErr w:type="spellEnd"/>
      <w:r>
        <w:rPr>
          <w:sz w:val="24"/>
        </w:rPr>
        <w:t>“, 2025. ISBN 978-619-185-779-1.</w:t>
      </w:r>
    </w:p>
    <w:p w:rsidR="00073733" w:rsidRDefault="00143BFC">
      <w:pPr>
        <w:jc w:val="both"/>
      </w:pPr>
      <w:r>
        <w:rPr>
          <w:sz w:val="24"/>
        </w:rPr>
        <w:t xml:space="preserve">13. ALDRICH, </w:t>
      </w:r>
      <w:proofErr w:type="spellStart"/>
      <w:r>
        <w:rPr>
          <w:sz w:val="24"/>
        </w:rPr>
        <w:t>Daniel</w:t>
      </w:r>
      <w:proofErr w:type="spellEnd"/>
      <w:r>
        <w:rPr>
          <w:sz w:val="24"/>
        </w:rPr>
        <w:t xml:space="preserve"> P.; MEYER, </w:t>
      </w:r>
      <w:proofErr w:type="spellStart"/>
      <w:r>
        <w:rPr>
          <w:sz w:val="24"/>
        </w:rPr>
        <w:t>Miche</w:t>
      </w:r>
      <w:r>
        <w:rPr>
          <w:sz w:val="24"/>
        </w:rPr>
        <w:t>lle</w:t>
      </w:r>
      <w:proofErr w:type="spellEnd"/>
      <w:r>
        <w:rPr>
          <w:sz w:val="24"/>
        </w:rPr>
        <w:t xml:space="preserve"> A. </w:t>
      </w:r>
      <w:proofErr w:type="spellStart"/>
      <w:r>
        <w:rPr>
          <w:sz w:val="24"/>
        </w:rPr>
        <w:t>Social</w:t>
      </w:r>
      <w:proofErr w:type="spellEnd"/>
      <w:r>
        <w:rPr>
          <w:sz w:val="24"/>
        </w:rPr>
        <w:t xml:space="preserve"> Capital and </w:t>
      </w:r>
      <w:proofErr w:type="spellStart"/>
      <w:r>
        <w:rPr>
          <w:sz w:val="24"/>
        </w:rPr>
        <w:t>Community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Resilience</w:t>
      </w:r>
      <w:proofErr w:type="spellEnd"/>
      <w:r>
        <w:rPr>
          <w:sz w:val="24"/>
        </w:rPr>
        <w:t xml:space="preserve">. American </w:t>
      </w:r>
      <w:proofErr w:type="spellStart"/>
      <w:r>
        <w:rPr>
          <w:sz w:val="24"/>
        </w:rPr>
        <w:t>Behavioral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Scientist</w:t>
      </w:r>
      <w:proofErr w:type="spellEnd"/>
      <w:r>
        <w:rPr>
          <w:sz w:val="24"/>
        </w:rPr>
        <w:t xml:space="preserve">, 2015,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 xml:space="preserve">. 59, </w:t>
      </w:r>
      <w:proofErr w:type="spellStart"/>
      <w:r>
        <w:rPr>
          <w:sz w:val="24"/>
        </w:rPr>
        <w:t>no</w:t>
      </w:r>
      <w:proofErr w:type="spellEnd"/>
      <w:r>
        <w:rPr>
          <w:sz w:val="24"/>
        </w:rPr>
        <w:t xml:space="preserve">. 2, </w:t>
      </w:r>
      <w:proofErr w:type="spellStart"/>
      <w:r>
        <w:rPr>
          <w:sz w:val="24"/>
        </w:rPr>
        <w:t>pp</w:t>
      </w:r>
      <w:proofErr w:type="spellEnd"/>
      <w:r>
        <w:rPr>
          <w:sz w:val="24"/>
        </w:rPr>
        <w:t xml:space="preserve">. 254–269. </w:t>
      </w:r>
      <w:proofErr w:type="spellStart"/>
      <w:r>
        <w:rPr>
          <w:sz w:val="24"/>
        </w:rPr>
        <w:t>Print</w:t>
      </w:r>
      <w:proofErr w:type="spellEnd"/>
      <w:r>
        <w:rPr>
          <w:sz w:val="24"/>
        </w:rPr>
        <w:t xml:space="preserve"> ISSN 0002-7642; </w:t>
      </w:r>
      <w:proofErr w:type="spellStart"/>
      <w:r>
        <w:rPr>
          <w:sz w:val="24"/>
        </w:rPr>
        <w:t>Online</w:t>
      </w:r>
      <w:proofErr w:type="spellEnd"/>
      <w:r>
        <w:rPr>
          <w:sz w:val="24"/>
        </w:rPr>
        <w:t xml:space="preserve"> ISSN 1552-3381. DOI: 10.1177/0002764214550299.</w:t>
      </w:r>
    </w:p>
    <w:p w:rsidR="00073733" w:rsidRDefault="00143BFC">
      <w:pPr>
        <w:jc w:val="both"/>
      </w:pPr>
      <w:r>
        <w:rPr>
          <w:sz w:val="24"/>
        </w:rPr>
        <w:t xml:space="preserve">14. CUTTER, </w:t>
      </w:r>
      <w:proofErr w:type="spellStart"/>
      <w:r>
        <w:rPr>
          <w:sz w:val="24"/>
        </w:rPr>
        <w:t>Susan</w:t>
      </w:r>
      <w:proofErr w:type="spellEnd"/>
      <w:r>
        <w:rPr>
          <w:sz w:val="24"/>
        </w:rPr>
        <w:t xml:space="preserve"> L.; BURTON, </w:t>
      </w:r>
      <w:proofErr w:type="spellStart"/>
      <w:r>
        <w:rPr>
          <w:sz w:val="24"/>
        </w:rPr>
        <w:t>Christopher</w:t>
      </w:r>
      <w:proofErr w:type="spellEnd"/>
      <w:r>
        <w:rPr>
          <w:sz w:val="24"/>
        </w:rPr>
        <w:t xml:space="preserve"> G.; EMRICH, </w:t>
      </w:r>
      <w:proofErr w:type="spellStart"/>
      <w:r>
        <w:rPr>
          <w:sz w:val="24"/>
        </w:rPr>
        <w:t>Christopher</w:t>
      </w:r>
      <w:proofErr w:type="spellEnd"/>
      <w:r>
        <w:rPr>
          <w:sz w:val="24"/>
        </w:rPr>
        <w:t xml:space="preserve"> </w:t>
      </w:r>
      <w:r>
        <w:rPr>
          <w:sz w:val="24"/>
        </w:rPr>
        <w:t xml:space="preserve">T. </w:t>
      </w:r>
      <w:proofErr w:type="spellStart"/>
      <w:r>
        <w:rPr>
          <w:sz w:val="24"/>
        </w:rPr>
        <w:t>Disaster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Resilience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Indicators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Benchmarking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Baseline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Conditions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Journal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Homeland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Security</w:t>
      </w:r>
      <w:proofErr w:type="spellEnd"/>
      <w:r>
        <w:rPr>
          <w:sz w:val="24"/>
        </w:rPr>
        <w:t xml:space="preserve"> and </w:t>
      </w:r>
      <w:proofErr w:type="spellStart"/>
      <w:r>
        <w:rPr>
          <w:sz w:val="24"/>
        </w:rPr>
        <w:t>Emergency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Management</w:t>
      </w:r>
      <w:proofErr w:type="spellEnd"/>
      <w:r>
        <w:rPr>
          <w:sz w:val="24"/>
        </w:rPr>
        <w:t xml:space="preserve">, 2010,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 xml:space="preserve">. 7, </w:t>
      </w:r>
      <w:proofErr w:type="spellStart"/>
      <w:r>
        <w:rPr>
          <w:sz w:val="24"/>
        </w:rPr>
        <w:t>no</w:t>
      </w:r>
      <w:proofErr w:type="spellEnd"/>
      <w:r>
        <w:rPr>
          <w:sz w:val="24"/>
        </w:rPr>
        <w:t xml:space="preserve">. 1, </w:t>
      </w:r>
      <w:proofErr w:type="spellStart"/>
      <w:r>
        <w:rPr>
          <w:sz w:val="24"/>
        </w:rPr>
        <w:t>pp</w:t>
      </w:r>
      <w:proofErr w:type="spellEnd"/>
      <w:r>
        <w:rPr>
          <w:sz w:val="24"/>
        </w:rPr>
        <w:t xml:space="preserve">. 1–24. </w:t>
      </w:r>
      <w:proofErr w:type="spellStart"/>
      <w:r>
        <w:rPr>
          <w:sz w:val="24"/>
        </w:rPr>
        <w:t>eISSN</w:t>
      </w:r>
      <w:proofErr w:type="spellEnd"/>
      <w:r>
        <w:rPr>
          <w:sz w:val="24"/>
        </w:rPr>
        <w:t xml:space="preserve"> 1547-7355. DOI: 10.2202/1547-7355.1732.</w:t>
      </w:r>
    </w:p>
    <w:p w:rsidR="00073733" w:rsidRDefault="00143BFC">
      <w:pPr>
        <w:jc w:val="both"/>
      </w:pPr>
      <w:r>
        <w:rPr>
          <w:sz w:val="24"/>
        </w:rPr>
        <w:t xml:space="preserve">15. NORRIS, </w:t>
      </w:r>
      <w:proofErr w:type="spellStart"/>
      <w:r>
        <w:rPr>
          <w:sz w:val="24"/>
        </w:rPr>
        <w:t>Fran</w:t>
      </w:r>
      <w:proofErr w:type="spellEnd"/>
      <w:r>
        <w:rPr>
          <w:sz w:val="24"/>
        </w:rPr>
        <w:t xml:space="preserve"> H.; STEVENS, </w:t>
      </w:r>
      <w:proofErr w:type="spellStart"/>
      <w:r>
        <w:rPr>
          <w:sz w:val="24"/>
        </w:rPr>
        <w:t>Susan</w:t>
      </w:r>
      <w:proofErr w:type="spellEnd"/>
      <w:r>
        <w:rPr>
          <w:sz w:val="24"/>
        </w:rPr>
        <w:t xml:space="preserve"> P.; PFEFFERBAUM,</w:t>
      </w:r>
      <w:r>
        <w:rPr>
          <w:sz w:val="24"/>
        </w:rPr>
        <w:t xml:space="preserve"> </w:t>
      </w:r>
      <w:proofErr w:type="spellStart"/>
      <w:r>
        <w:rPr>
          <w:sz w:val="24"/>
        </w:rPr>
        <w:t>Betty</w:t>
      </w:r>
      <w:proofErr w:type="spellEnd"/>
      <w:r>
        <w:rPr>
          <w:sz w:val="24"/>
        </w:rPr>
        <w:t xml:space="preserve">; WYCHE, </w:t>
      </w:r>
      <w:proofErr w:type="spellStart"/>
      <w:r>
        <w:rPr>
          <w:sz w:val="24"/>
        </w:rPr>
        <w:t>Karen</w:t>
      </w:r>
      <w:proofErr w:type="spellEnd"/>
      <w:r>
        <w:rPr>
          <w:sz w:val="24"/>
        </w:rPr>
        <w:t xml:space="preserve"> F.; PFEFFERBAUM, </w:t>
      </w:r>
      <w:proofErr w:type="spellStart"/>
      <w:r>
        <w:rPr>
          <w:sz w:val="24"/>
        </w:rPr>
        <w:t>Rose</w:t>
      </w:r>
      <w:proofErr w:type="spellEnd"/>
      <w:r>
        <w:rPr>
          <w:sz w:val="24"/>
        </w:rPr>
        <w:t xml:space="preserve"> L. </w:t>
      </w:r>
      <w:proofErr w:type="spellStart"/>
      <w:r>
        <w:rPr>
          <w:sz w:val="24"/>
        </w:rPr>
        <w:t>Community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Resilience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Metaphor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Theory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Capacities</w:t>
      </w:r>
      <w:proofErr w:type="spellEnd"/>
      <w:r>
        <w:rPr>
          <w:sz w:val="24"/>
        </w:rPr>
        <w:t xml:space="preserve">, and </w:t>
      </w:r>
      <w:proofErr w:type="spellStart"/>
      <w:r>
        <w:rPr>
          <w:sz w:val="24"/>
        </w:rPr>
        <w:t>Strategy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Disaster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Readiness</w:t>
      </w:r>
      <w:proofErr w:type="spellEnd"/>
      <w:r>
        <w:rPr>
          <w:sz w:val="24"/>
        </w:rPr>
        <w:t xml:space="preserve">. American </w:t>
      </w:r>
      <w:proofErr w:type="spellStart"/>
      <w:r>
        <w:rPr>
          <w:sz w:val="24"/>
        </w:rPr>
        <w:t>Journal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Community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Psychology</w:t>
      </w:r>
      <w:proofErr w:type="spellEnd"/>
      <w:r>
        <w:rPr>
          <w:sz w:val="24"/>
        </w:rPr>
        <w:t xml:space="preserve">, 2008, </w:t>
      </w:r>
      <w:proofErr w:type="spellStart"/>
      <w:r>
        <w:rPr>
          <w:sz w:val="24"/>
        </w:rPr>
        <w:t>vol</w:t>
      </w:r>
      <w:proofErr w:type="spellEnd"/>
      <w:r>
        <w:rPr>
          <w:sz w:val="24"/>
        </w:rPr>
        <w:t xml:space="preserve">. 41, </w:t>
      </w:r>
      <w:proofErr w:type="spellStart"/>
      <w:r>
        <w:rPr>
          <w:sz w:val="24"/>
        </w:rPr>
        <w:t>nos</w:t>
      </w:r>
      <w:proofErr w:type="spellEnd"/>
      <w:r>
        <w:rPr>
          <w:sz w:val="24"/>
        </w:rPr>
        <w:t xml:space="preserve">. 1–2, </w:t>
      </w:r>
      <w:proofErr w:type="spellStart"/>
      <w:r>
        <w:rPr>
          <w:sz w:val="24"/>
        </w:rPr>
        <w:t>pp</w:t>
      </w:r>
      <w:proofErr w:type="spellEnd"/>
      <w:r>
        <w:rPr>
          <w:sz w:val="24"/>
        </w:rPr>
        <w:t xml:space="preserve">. 127–150. </w:t>
      </w:r>
      <w:proofErr w:type="spellStart"/>
      <w:r>
        <w:rPr>
          <w:sz w:val="24"/>
        </w:rPr>
        <w:t>Print</w:t>
      </w:r>
      <w:proofErr w:type="spellEnd"/>
      <w:r>
        <w:rPr>
          <w:sz w:val="24"/>
        </w:rPr>
        <w:t xml:space="preserve"> ISSN 0091-0562; </w:t>
      </w:r>
      <w:proofErr w:type="spellStart"/>
      <w:r>
        <w:rPr>
          <w:sz w:val="24"/>
        </w:rPr>
        <w:t>Online</w:t>
      </w:r>
      <w:proofErr w:type="spellEnd"/>
      <w:r>
        <w:rPr>
          <w:sz w:val="24"/>
        </w:rPr>
        <w:t xml:space="preserve"> I</w:t>
      </w:r>
      <w:r>
        <w:rPr>
          <w:sz w:val="24"/>
        </w:rPr>
        <w:t>SSN 1573-2770. DOI: 10.1007/s10464-007-9156-6.</w:t>
      </w:r>
    </w:p>
    <w:p w:rsidR="00073733" w:rsidRDefault="00143BFC">
      <w:pPr>
        <w:jc w:val="both"/>
      </w:pPr>
      <w:r>
        <w:rPr>
          <w:sz w:val="24"/>
        </w:rPr>
        <w:t xml:space="preserve">16. OECD. Building </w:t>
      </w:r>
      <w:proofErr w:type="spellStart"/>
      <w:r>
        <w:rPr>
          <w:sz w:val="24"/>
        </w:rPr>
        <w:t>Resilient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Cities</w:t>
      </w:r>
      <w:proofErr w:type="spellEnd"/>
      <w:r>
        <w:rPr>
          <w:sz w:val="24"/>
        </w:rPr>
        <w:t xml:space="preserve">: </w:t>
      </w:r>
      <w:proofErr w:type="spellStart"/>
      <w:r>
        <w:rPr>
          <w:sz w:val="24"/>
        </w:rPr>
        <w:t>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Assessment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Disaster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Risk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Management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Policies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Southeast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Asia</w:t>
      </w:r>
      <w:proofErr w:type="spellEnd"/>
      <w:r>
        <w:rPr>
          <w:sz w:val="24"/>
        </w:rPr>
        <w:t xml:space="preserve">. OECD </w:t>
      </w:r>
      <w:proofErr w:type="spellStart"/>
      <w:r>
        <w:rPr>
          <w:sz w:val="24"/>
        </w:rPr>
        <w:t>Green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Growth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Studies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Paris</w:t>
      </w:r>
      <w:proofErr w:type="spellEnd"/>
      <w:r>
        <w:rPr>
          <w:sz w:val="24"/>
        </w:rPr>
        <w:t xml:space="preserve">: OECD </w:t>
      </w:r>
      <w:proofErr w:type="spellStart"/>
      <w:r>
        <w:rPr>
          <w:sz w:val="24"/>
        </w:rPr>
        <w:t>Publishing</w:t>
      </w:r>
      <w:proofErr w:type="spellEnd"/>
      <w:r>
        <w:rPr>
          <w:sz w:val="24"/>
        </w:rPr>
        <w:t>, 2018. ISBN 978-92-64-30700-1 (</w:t>
      </w:r>
      <w:proofErr w:type="spellStart"/>
      <w:r>
        <w:rPr>
          <w:sz w:val="24"/>
        </w:rPr>
        <w:t>print</w:t>
      </w:r>
      <w:proofErr w:type="spellEnd"/>
      <w:r>
        <w:rPr>
          <w:sz w:val="24"/>
        </w:rPr>
        <w:t>); ISBN 978-92-6</w:t>
      </w:r>
      <w:r>
        <w:rPr>
          <w:sz w:val="24"/>
        </w:rPr>
        <w:t>4-30539-7 (PDF); ISSN 2222-9515 (</w:t>
      </w:r>
      <w:proofErr w:type="spellStart"/>
      <w:r>
        <w:rPr>
          <w:sz w:val="24"/>
        </w:rPr>
        <w:t>print</w:t>
      </w:r>
      <w:proofErr w:type="spellEnd"/>
      <w:r>
        <w:rPr>
          <w:sz w:val="24"/>
        </w:rPr>
        <w:t>); ISSN 2222-9523 (</w:t>
      </w:r>
      <w:proofErr w:type="spellStart"/>
      <w:r>
        <w:rPr>
          <w:sz w:val="24"/>
        </w:rPr>
        <w:t>online</w:t>
      </w:r>
      <w:proofErr w:type="spellEnd"/>
      <w:r>
        <w:rPr>
          <w:sz w:val="24"/>
        </w:rPr>
        <w:t>). DOI: 10.1787/9789264305397-en.</w:t>
      </w:r>
    </w:p>
    <w:p w:rsidR="00073733" w:rsidRDefault="00143BFC">
      <w:pPr>
        <w:jc w:val="both"/>
      </w:pPr>
      <w:r>
        <w:rPr>
          <w:sz w:val="24"/>
        </w:rPr>
        <w:t xml:space="preserve">17. UNITED NATIONS OFFICE FOR DISASTER RISK REDUCTION (UNDRR). </w:t>
      </w:r>
      <w:proofErr w:type="spellStart"/>
      <w:r>
        <w:rPr>
          <w:sz w:val="24"/>
        </w:rPr>
        <w:t>Sendai</w:t>
      </w:r>
      <w:proofErr w:type="spellEnd"/>
      <w:r>
        <w:rPr>
          <w:sz w:val="24"/>
        </w:rPr>
        <w:t xml:space="preserve"> Framework </w:t>
      </w:r>
      <w:proofErr w:type="spellStart"/>
      <w:r>
        <w:rPr>
          <w:sz w:val="24"/>
        </w:rPr>
        <w:t>for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Disaster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Risk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Reduction</w:t>
      </w:r>
      <w:proofErr w:type="spellEnd"/>
      <w:r>
        <w:rPr>
          <w:sz w:val="24"/>
        </w:rPr>
        <w:t xml:space="preserve"> 2015–2030. </w:t>
      </w:r>
      <w:proofErr w:type="spellStart"/>
      <w:r>
        <w:rPr>
          <w:sz w:val="24"/>
        </w:rPr>
        <w:t>Geneva</w:t>
      </w:r>
      <w:proofErr w:type="spellEnd"/>
      <w:r>
        <w:rPr>
          <w:sz w:val="24"/>
        </w:rPr>
        <w:t xml:space="preserve">: </w:t>
      </w:r>
      <w:proofErr w:type="spellStart"/>
      <w:r>
        <w:rPr>
          <w:sz w:val="24"/>
        </w:rPr>
        <w:t>United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Nations</w:t>
      </w:r>
      <w:proofErr w:type="spellEnd"/>
      <w:r>
        <w:rPr>
          <w:sz w:val="24"/>
        </w:rPr>
        <w:t>, 2015. ISBN 978-9</w:t>
      </w:r>
      <w:r>
        <w:rPr>
          <w:sz w:val="24"/>
        </w:rPr>
        <w:t xml:space="preserve">2-1-132042-3. </w:t>
      </w:r>
      <w:proofErr w:type="spellStart"/>
      <w:r>
        <w:rPr>
          <w:sz w:val="24"/>
        </w:rPr>
        <w:t>Available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from</w:t>
      </w:r>
      <w:proofErr w:type="spellEnd"/>
      <w:r>
        <w:rPr>
          <w:sz w:val="24"/>
        </w:rPr>
        <w:t>: https://www.undrr.org/publication/sendai-framework-disaster-risk-reduction-2015-2030. [</w:t>
      </w:r>
      <w:proofErr w:type="spellStart"/>
      <w:r>
        <w:rPr>
          <w:sz w:val="24"/>
        </w:rPr>
        <w:t>viewed</w:t>
      </w:r>
      <w:proofErr w:type="spellEnd"/>
      <w:r>
        <w:rPr>
          <w:sz w:val="24"/>
        </w:rPr>
        <w:t xml:space="preserve"> 2026-08-30].</w:t>
      </w:r>
    </w:p>
    <w:p w:rsidR="00073733" w:rsidRDefault="00073733"/>
    <w:p w:rsidR="00073733" w:rsidRDefault="00143BFC">
      <w:pPr>
        <w:jc w:val="both"/>
      </w:pPr>
      <w:r>
        <w:rPr>
          <w:i/>
          <w:sz w:val="24"/>
        </w:rPr>
        <w:t>Проф. д-р Груди Иванов Ангелов</w:t>
      </w:r>
    </w:p>
    <w:p w:rsidR="00073733" w:rsidRDefault="00143BFC">
      <w:pPr>
        <w:jc w:val="both"/>
      </w:pPr>
      <w:r>
        <w:rPr>
          <w:i/>
          <w:sz w:val="24"/>
        </w:rPr>
        <w:t>Университет по библиотекознание и информационни технологии</w:t>
      </w:r>
    </w:p>
    <w:p w:rsidR="00073733" w:rsidRDefault="00143BFC">
      <w:pPr>
        <w:jc w:val="both"/>
      </w:pPr>
      <w:r>
        <w:rPr>
          <w:i/>
          <w:sz w:val="24"/>
        </w:rPr>
        <w:t>Адрес за кореспонденция:</w:t>
      </w:r>
      <w:r w:rsidR="009275C0" w:rsidRPr="009275C0">
        <w:t xml:space="preserve"> </w:t>
      </w:r>
      <w:r w:rsidR="009275C0" w:rsidRPr="009275C0">
        <w:rPr>
          <w:i/>
          <w:sz w:val="24"/>
        </w:rPr>
        <w:t>гр. София. бул. "Цариградско шосе" 119</w:t>
      </w:r>
      <w:r>
        <w:rPr>
          <w:i/>
          <w:sz w:val="24"/>
        </w:rPr>
        <w:t>; телефон:</w:t>
      </w:r>
      <w:r w:rsidR="009275C0">
        <w:rPr>
          <w:i/>
          <w:sz w:val="24"/>
        </w:rPr>
        <w:t>+359889707687</w:t>
      </w:r>
      <w:r>
        <w:rPr>
          <w:i/>
          <w:sz w:val="24"/>
        </w:rPr>
        <w:t>; e-</w:t>
      </w:r>
      <w:proofErr w:type="spellStart"/>
      <w:r>
        <w:rPr>
          <w:i/>
          <w:sz w:val="24"/>
        </w:rPr>
        <w:t>mail</w:t>
      </w:r>
      <w:proofErr w:type="spellEnd"/>
      <w:r>
        <w:rPr>
          <w:i/>
          <w:sz w:val="24"/>
        </w:rPr>
        <w:t>: g.angelov@unibit.bg</w:t>
      </w:r>
    </w:p>
    <w:p w:rsidR="00073733" w:rsidRDefault="00073733"/>
    <w:p w:rsidR="00073733" w:rsidRDefault="00143BFC">
      <w:pPr>
        <w:jc w:val="both"/>
      </w:pPr>
      <w:r>
        <w:rPr>
          <w:i/>
          <w:sz w:val="24"/>
        </w:rPr>
        <w:t xml:space="preserve">Д-р Емил Станев </w:t>
      </w:r>
      <w:proofErr w:type="spellStart"/>
      <w:r>
        <w:rPr>
          <w:i/>
          <w:sz w:val="24"/>
        </w:rPr>
        <w:t>Кабаиванов</w:t>
      </w:r>
      <w:proofErr w:type="spellEnd"/>
    </w:p>
    <w:p w:rsidR="009275C0" w:rsidRDefault="00143BFC" w:rsidP="009275C0">
      <w:pPr>
        <w:jc w:val="both"/>
      </w:pPr>
      <w:r>
        <w:rPr>
          <w:i/>
          <w:sz w:val="24"/>
        </w:rPr>
        <w:t xml:space="preserve">Институция: </w:t>
      </w:r>
      <w:r w:rsidR="009275C0">
        <w:rPr>
          <w:i/>
          <w:sz w:val="24"/>
        </w:rPr>
        <w:t>Университет по библиотекознание и информационни технологии</w:t>
      </w:r>
    </w:p>
    <w:p w:rsidR="00073733" w:rsidRDefault="00143BFC">
      <w:pPr>
        <w:jc w:val="both"/>
      </w:pPr>
      <w:r>
        <w:rPr>
          <w:i/>
          <w:sz w:val="24"/>
        </w:rPr>
        <w:t>Адрес за кореспонденция:</w:t>
      </w:r>
      <w:r w:rsidR="009275C0" w:rsidRPr="009275C0">
        <w:t xml:space="preserve"> </w:t>
      </w:r>
      <w:r w:rsidR="009275C0" w:rsidRPr="009275C0">
        <w:rPr>
          <w:i/>
          <w:sz w:val="24"/>
        </w:rPr>
        <w:t>гр. София. бул. "Цариградско шосе" 119</w:t>
      </w:r>
      <w:bookmarkStart w:id="0" w:name="_GoBack"/>
      <w:bookmarkEnd w:id="0"/>
      <w:r>
        <w:rPr>
          <w:i/>
          <w:sz w:val="24"/>
        </w:rPr>
        <w:t>; телефон:</w:t>
      </w:r>
      <w:r w:rsidR="009275C0">
        <w:rPr>
          <w:i/>
          <w:sz w:val="24"/>
        </w:rPr>
        <w:t>+359897773336</w:t>
      </w:r>
      <w:r>
        <w:rPr>
          <w:i/>
          <w:sz w:val="24"/>
        </w:rPr>
        <w:t>; e-</w:t>
      </w:r>
      <w:proofErr w:type="spellStart"/>
      <w:r>
        <w:rPr>
          <w:i/>
          <w:sz w:val="24"/>
        </w:rPr>
        <w:t>mail</w:t>
      </w:r>
      <w:proofErr w:type="spellEnd"/>
      <w:r>
        <w:rPr>
          <w:i/>
          <w:sz w:val="24"/>
        </w:rPr>
        <w:t>: [за попълване]</w:t>
      </w:r>
    </w:p>
    <w:sectPr w:rsidR="00073733" w:rsidSect="009605D7">
      <w:footerReference w:type="even" r:id="rId8"/>
      <w:footerReference w:type="default" r:id="rId9"/>
      <w:footerReference w:type="first" r:id="rId10"/>
      <w:footnotePr>
        <w:numRestart w:val="eachSect"/>
      </w:footnotePr>
      <w:pgSz w:w="11906" w:h="16838"/>
      <w:pgMar w:top="1134" w:right="1134" w:bottom="850" w:left="1701" w:header="454" w:footer="454" w:gutter="0"/>
      <w:cols w:space="708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BFC" w:rsidRDefault="00143BFC" w:rsidP="00A0193A">
      <w:r>
        <w:separator/>
      </w:r>
    </w:p>
  </w:endnote>
  <w:endnote w:type="continuationSeparator" w:id="0">
    <w:p w:rsidR="00143BFC" w:rsidRDefault="00143BFC" w:rsidP="00A01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733" w:rsidRDefault="0007373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733" w:rsidRDefault="0007373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733" w:rsidRDefault="0007373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BFC" w:rsidRDefault="00143BFC" w:rsidP="00A0193A">
      <w:r>
        <w:separator/>
      </w:r>
    </w:p>
  </w:footnote>
  <w:footnote w:type="continuationSeparator" w:id="0">
    <w:p w:rsidR="00143BFC" w:rsidRDefault="00143BFC" w:rsidP="00A01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83EB2"/>
    <w:multiLevelType w:val="hybridMultilevel"/>
    <w:tmpl w:val="25D8165C"/>
    <w:lvl w:ilvl="0" w:tplc="D29A176A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hyphenationZone w:val="425"/>
  <w:characterSpacingControl w:val="doNotCompress"/>
  <w:savePreviewPicture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109"/>
    <w:rsid w:val="00051D66"/>
    <w:rsid w:val="00073733"/>
    <w:rsid w:val="0007387D"/>
    <w:rsid w:val="000B2FA3"/>
    <w:rsid w:val="00121F6A"/>
    <w:rsid w:val="00124CF7"/>
    <w:rsid w:val="00127C45"/>
    <w:rsid w:val="00143BFC"/>
    <w:rsid w:val="001537E6"/>
    <w:rsid w:val="00155CA9"/>
    <w:rsid w:val="001712CF"/>
    <w:rsid w:val="001B5649"/>
    <w:rsid w:val="001E6585"/>
    <w:rsid w:val="001F6E53"/>
    <w:rsid w:val="00226429"/>
    <w:rsid w:val="0022685B"/>
    <w:rsid w:val="00237706"/>
    <w:rsid w:val="00241969"/>
    <w:rsid w:val="00245689"/>
    <w:rsid w:val="002521A9"/>
    <w:rsid w:val="002565CF"/>
    <w:rsid w:val="0026135C"/>
    <w:rsid w:val="00261DCD"/>
    <w:rsid w:val="00274819"/>
    <w:rsid w:val="00276C0F"/>
    <w:rsid w:val="002A7C9B"/>
    <w:rsid w:val="002B00F1"/>
    <w:rsid w:val="002B1FEE"/>
    <w:rsid w:val="003004BD"/>
    <w:rsid w:val="00371186"/>
    <w:rsid w:val="00386A6A"/>
    <w:rsid w:val="003B1F44"/>
    <w:rsid w:val="003E4E40"/>
    <w:rsid w:val="00415DF1"/>
    <w:rsid w:val="004F589D"/>
    <w:rsid w:val="00503623"/>
    <w:rsid w:val="00534842"/>
    <w:rsid w:val="005C35F1"/>
    <w:rsid w:val="0068049F"/>
    <w:rsid w:val="0068074F"/>
    <w:rsid w:val="00686EAC"/>
    <w:rsid w:val="00694543"/>
    <w:rsid w:val="006A7C1E"/>
    <w:rsid w:val="006D7048"/>
    <w:rsid w:val="006F2052"/>
    <w:rsid w:val="007041A3"/>
    <w:rsid w:val="00710DE2"/>
    <w:rsid w:val="00763C2E"/>
    <w:rsid w:val="0077663F"/>
    <w:rsid w:val="007973BD"/>
    <w:rsid w:val="007B5909"/>
    <w:rsid w:val="007B686C"/>
    <w:rsid w:val="007E2105"/>
    <w:rsid w:val="008129C2"/>
    <w:rsid w:val="008652CB"/>
    <w:rsid w:val="00877F5E"/>
    <w:rsid w:val="008B22A4"/>
    <w:rsid w:val="008B7B8F"/>
    <w:rsid w:val="008C7A58"/>
    <w:rsid w:val="008D1109"/>
    <w:rsid w:val="009003B5"/>
    <w:rsid w:val="00901270"/>
    <w:rsid w:val="0091243D"/>
    <w:rsid w:val="00925081"/>
    <w:rsid w:val="009275C0"/>
    <w:rsid w:val="009375B6"/>
    <w:rsid w:val="00940E4A"/>
    <w:rsid w:val="00957EAF"/>
    <w:rsid w:val="009605D7"/>
    <w:rsid w:val="00967173"/>
    <w:rsid w:val="0098344D"/>
    <w:rsid w:val="00996456"/>
    <w:rsid w:val="009B47A1"/>
    <w:rsid w:val="009E6451"/>
    <w:rsid w:val="009F29F2"/>
    <w:rsid w:val="009F6B0F"/>
    <w:rsid w:val="00A0193A"/>
    <w:rsid w:val="00A86955"/>
    <w:rsid w:val="00A8717A"/>
    <w:rsid w:val="00B245AD"/>
    <w:rsid w:val="00B3091F"/>
    <w:rsid w:val="00B41AF1"/>
    <w:rsid w:val="00B601CF"/>
    <w:rsid w:val="00B9433C"/>
    <w:rsid w:val="00B97CDE"/>
    <w:rsid w:val="00BC2FB1"/>
    <w:rsid w:val="00BD084C"/>
    <w:rsid w:val="00BD6A66"/>
    <w:rsid w:val="00C46C28"/>
    <w:rsid w:val="00CA7C37"/>
    <w:rsid w:val="00CB7B8B"/>
    <w:rsid w:val="00CF19F3"/>
    <w:rsid w:val="00D1767C"/>
    <w:rsid w:val="00D940F8"/>
    <w:rsid w:val="00DF315E"/>
    <w:rsid w:val="00E019C5"/>
    <w:rsid w:val="00E0218D"/>
    <w:rsid w:val="00E0714D"/>
    <w:rsid w:val="00E16576"/>
    <w:rsid w:val="00E26ABF"/>
    <w:rsid w:val="00E746D1"/>
    <w:rsid w:val="00E766EE"/>
    <w:rsid w:val="00E8797D"/>
    <w:rsid w:val="00EA28F3"/>
    <w:rsid w:val="00EA48CD"/>
    <w:rsid w:val="00ED1FBC"/>
    <w:rsid w:val="00EF5320"/>
    <w:rsid w:val="00EF5F53"/>
    <w:rsid w:val="00F0297C"/>
    <w:rsid w:val="00F43811"/>
    <w:rsid w:val="00F64D1C"/>
    <w:rsid w:val="00F814FB"/>
    <w:rsid w:val="00F930D7"/>
    <w:rsid w:val="00FE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C44BB"/>
  <w15:chartTrackingRefBased/>
  <w15:docId w15:val="{ED77863A-2B00-4ACD-86DA-24EB9E1C9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4BD"/>
    <w:pPr>
      <w:spacing w:after="0" w:line="240" w:lineRule="auto"/>
    </w:pPr>
    <w:rPr>
      <w:rFonts w:ascii="Times New Roman" w:hAnsi="Times New Roman" w:cs="Times New Roman"/>
      <w:sz w:val="28"/>
      <w:szCs w:val="24"/>
      <w:lang w:eastAsia="bg-BG"/>
    </w:rPr>
  </w:style>
  <w:style w:type="paragraph" w:styleId="Heading1">
    <w:name w:val="heading 1"/>
    <w:next w:val="Normal"/>
    <w:link w:val="Heading1Char"/>
    <w:autoRedefine/>
    <w:uiPriority w:val="9"/>
    <w:rsid w:val="001E6585"/>
    <w:pPr>
      <w:keepNext/>
      <w:spacing w:after="0" w:line="240" w:lineRule="auto"/>
      <w:ind w:firstLine="567"/>
      <w:jc w:val="center"/>
      <w:outlineLvl w:val="0"/>
    </w:pPr>
    <w:rPr>
      <w:rFonts w:ascii="Times New Roman" w:hAnsi="Times New Roman" w:cs="Times New Roman"/>
      <w:b/>
      <w:bCs/>
      <w:caps/>
      <w:sz w:val="32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8129C2"/>
    <w:pPr>
      <w:keepNext/>
      <w:keepLines/>
      <w:spacing w:before="40"/>
      <w:jc w:val="center"/>
      <w:outlineLvl w:val="1"/>
    </w:pPr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04B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04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004B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004B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004B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E6585"/>
    <w:rPr>
      <w:rFonts w:ascii="Times New Roman" w:eastAsia="Times New Roman" w:hAnsi="Times New Roman" w:cs="Times New Roman"/>
      <w:b/>
      <w:bCs/>
      <w:cap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129C2"/>
    <w:rPr>
      <w:rFonts w:ascii="Times New Roman" w:eastAsiaTheme="majorEastAsia" w:hAnsi="Times New Roman" w:cstheme="majorBidi"/>
      <w:b/>
      <w:sz w:val="32"/>
      <w:szCs w:val="26"/>
      <w:lang w:eastAsia="bg-BG"/>
    </w:rPr>
  </w:style>
  <w:style w:type="paragraph" w:styleId="TOC1">
    <w:name w:val="toc 1"/>
    <w:next w:val="Normal"/>
    <w:autoRedefine/>
    <w:uiPriority w:val="39"/>
    <w:unhideWhenUsed/>
    <w:rsid w:val="00534842"/>
    <w:pPr>
      <w:spacing w:after="0" w:line="240" w:lineRule="auto"/>
    </w:pPr>
    <w:rPr>
      <w:rFonts w:ascii="Times New Roman" w:hAnsi="Times New Roman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534842"/>
    <w:pPr>
      <w:spacing w:after="100"/>
      <w:ind w:left="221"/>
    </w:pPr>
  </w:style>
  <w:style w:type="paragraph" w:styleId="ListParagraph">
    <w:name w:val="List Paragraph"/>
    <w:basedOn w:val="Normal"/>
    <w:uiPriority w:val="34"/>
    <w:qFormat/>
    <w:rsid w:val="007E210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0193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93A"/>
    <w:rPr>
      <w:rFonts w:ascii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A0193A"/>
    <w:rPr>
      <w:vertAlign w:val="superscript"/>
    </w:rPr>
  </w:style>
  <w:style w:type="table" w:styleId="TableGrid">
    <w:name w:val="Table Grid"/>
    <w:basedOn w:val="TableNormal"/>
    <w:uiPriority w:val="39"/>
    <w:rsid w:val="00155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61DCD"/>
    <w:pPr>
      <w:spacing w:after="200"/>
    </w:pPr>
    <w:rPr>
      <w:i/>
      <w:iCs/>
      <w:color w:val="44546A" w:themeColor="text2"/>
      <w:sz w:val="18"/>
      <w:szCs w:val="18"/>
    </w:rPr>
  </w:style>
  <w:style w:type="paragraph" w:styleId="NoSpacing">
    <w:name w:val="No Spacing"/>
    <w:uiPriority w:val="1"/>
    <w:qFormat/>
    <w:rsid w:val="003004BD"/>
    <w:pPr>
      <w:spacing w:after="0" w:line="240" w:lineRule="auto"/>
      <w:ind w:firstLine="567"/>
    </w:pPr>
    <w:rPr>
      <w:rFonts w:ascii="Times New Roman" w:hAnsi="Times New Roman" w:cs="Times New Roman"/>
      <w:sz w:val="28"/>
      <w:szCs w:val="24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3004B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uiPriority w:val="9"/>
    <w:rsid w:val="003004BD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4"/>
      <w:lang w:eastAsia="bg-BG"/>
    </w:rPr>
  </w:style>
  <w:style w:type="character" w:customStyle="1" w:styleId="Heading5Char">
    <w:name w:val="Heading 5 Char"/>
    <w:basedOn w:val="DefaultParagraphFont"/>
    <w:link w:val="Heading5"/>
    <w:uiPriority w:val="9"/>
    <w:rsid w:val="003004BD"/>
    <w:rPr>
      <w:rFonts w:asciiTheme="majorHAnsi" w:eastAsiaTheme="majorEastAsia" w:hAnsiTheme="majorHAnsi" w:cstheme="majorBidi"/>
      <w:color w:val="2F5496" w:themeColor="accent1" w:themeShade="BF"/>
      <w:sz w:val="28"/>
      <w:szCs w:val="24"/>
      <w:lang w:eastAsia="bg-BG"/>
    </w:rPr>
  </w:style>
  <w:style w:type="character" w:customStyle="1" w:styleId="Heading6Char">
    <w:name w:val="Heading 6 Char"/>
    <w:basedOn w:val="DefaultParagraphFont"/>
    <w:link w:val="Heading6"/>
    <w:uiPriority w:val="9"/>
    <w:rsid w:val="003004BD"/>
    <w:rPr>
      <w:rFonts w:asciiTheme="majorHAnsi" w:eastAsiaTheme="majorEastAsia" w:hAnsiTheme="majorHAnsi" w:cstheme="majorBidi"/>
      <w:color w:val="1F3763" w:themeColor="accent1" w:themeShade="7F"/>
      <w:sz w:val="28"/>
      <w:szCs w:val="24"/>
      <w:lang w:eastAsia="bg-BG"/>
    </w:rPr>
  </w:style>
  <w:style w:type="character" w:customStyle="1" w:styleId="Heading7Char">
    <w:name w:val="Heading 7 Char"/>
    <w:basedOn w:val="DefaultParagraphFont"/>
    <w:link w:val="Heading7"/>
    <w:uiPriority w:val="9"/>
    <w:rsid w:val="003004BD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4"/>
      <w:lang w:eastAsia="bg-BG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04BD"/>
    <w:pPr>
      <w:numPr>
        <w:ilvl w:val="1"/>
      </w:numPr>
      <w:spacing w:after="160"/>
      <w:ind w:firstLine="567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004BD"/>
    <w:rPr>
      <w:rFonts w:eastAsiaTheme="minorEastAsia"/>
      <w:color w:val="5A5A5A" w:themeColor="text1" w:themeTint="A5"/>
      <w:spacing w:val="15"/>
      <w:lang w:eastAsia="bg-BG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7C9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7C9B"/>
    <w:rPr>
      <w:rFonts w:ascii="Times New Roman" w:hAnsi="Times New Roman" w:cs="Times New Roman"/>
      <w:sz w:val="20"/>
      <w:szCs w:val="20"/>
      <w:lang w:eastAsia="bg-BG"/>
    </w:rPr>
  </w:style>
  <w:style w:type="character" w:styleId="EndnoteReference">
    <w:name w:val="endnote reference"/>
    <w:basedOn w:val="DefaultParagraphFont"/>
    <w:uiPriority w:val="99"/>
    <w:semiHidden/>
    <w:unhideWhenUsed/>
    <w:rsid w:val="002A7C9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64D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38834-6E49-4A4E-8BB8-1F97513FF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3205</Words>
  <Characters>20609</Characters>
  <Application>Microsoft Office Word</Application>
  <DocSecurity>0</DocSecurity>
  <Lines>429</Lines>
  <Paragraphs>133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 Христова</dc:creator>
  <cp:keywords/>
  <dc:description/>
  <cp:lastModifiedBy>User</cp:lastModifiedBy>
  <cp:revision>2</cp:revision>
  <dcterms:created xsi:type="dcterms:W3CDTF">2026-08-30T06:32:00Z</dcterms:created>
  <dcterms:modified xsi:type="dcterms:W3CDTF">2026-08-30T06:32:00Z</dcterms:modified>
</cp:coreProperties>
</file>