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DE7E26" w14:textId="09A90FE0" w:rsidR="008D1109" w:rsidRDefault="00696D5A" w:rsidP="00E019C5">
      <w:pPr>
        <w:jc w:val="center"/>
        <w:rPr>
          <w:szCs w:val="28"/>
        </w:rPr>
      </w:pPr>
      <w:r w:rsidRPr="00696D5A">
        <w:rPr>
          <w:b/>
          <w:bCs/>
          <w:sz w:val="32"/>
          <w:szCs w:val="32"/>
        </w:rPr>
        <w:t>ИРАН КАТО ЦЕНТРАЛЕН ВЪЗЕЛ НА РЕГИОНАЛНАТА ЕСКАЛАЦИЯ: ЯДРЕНО ВЪЗПИРАНЕ, РАКЕТНО-ДРОНОВ ПОТЕНЦИАЛ И ПРОКСИ АРХИТЕКТУРА</w:t>
      </w:r>
    </w:p>
    <w:p w14:paraId="5A76A832" w14:textId="77777777" w:rsidR="00A25241" w:rsidRDefault="00A25241" w:rsidP="00E019C5">
      <w:pPr>
        <w:jc w:val="center"/>
        <w:rPr>
          <w:b/>
          <w:bCs/>
          <w:sz w:val="32"/>
          <w:szCs w:val="32"/>
        </w:rPr>
      </w:pPr>
    </w:p>
    <w:p w14:paraId="5713E519" w14:textId="4B88CEE9" w:rsidR="008D1109" w:rsidRPr="00696D5A" w:rsidRDefault="00696D5A" w:rsidP="00E019C5">
      <w:pPr>
        <w:jc w:val="center"/>
        <w:rPr>
          <w:szCs w:val="28"/>
        </w:rPr>
      </w:pPr>
      <w:r>
        <w:rPr>
          <w:b/>
          <w:bCs/>
          <w:sz w:val="32"/>
          <w:szCs w:val="32"/>
        </w:rPr>
        <w:t>Дарин Георгиев</w:t>
      </w:r>
    </w:p>
    <w:p w14:paraId="1D299BE6" w14:textId="77777777" w:rsidR="00121F6A" w:rsidRDefault="00121F6A" w:rsidP="00E019C5">
      <w:pPr>
        <w:jc w:val="center"/>
        <w:rPr>
          <w:szCs w:val="28"/>
        </w:rPr>
      </w:pPr>
    </w:p>
    <w:p w14:paraId="356AACF9" w14:textId="77777777" w:rsidR="00A25241" w:rsidRDefault="00A25241" w:rsidP="00E019C5">
      <w:pPr>
        <w:jc w:val="center"/>
        <w:rPr>
          <w:szCs w:val="28"/>
        </w:rPr>
      </w:pPr>
    </w:p>
    <w:p w14:paraId="50CD7087" w14:textId="1A83D35F" w:rsidR="008D1109" w:rsidRPr="00696D5A" w:rsidRDefault="00696D5A" w:rsidP="00E019C5">
      <w:pPr>
        <w:jc w:val="center"/>
        <w:rPr>
          <w:b/>
          <w:bCs/>
          <w:sz w:val="32"/>
          <w:szCs w:val="32"/>
          <w:lang w:val="en-US"/>
        </w:rPr>
      </w:pPr>
      <w:r>
        <w:rPr>
          <w:b/>
          <w:bCs/>
          <w:sz w:val="32"/>
          <w:szCs w:val="32"/>
          <w:lang w:val="en-US"/>
        </w:rPr>
        <w:t>IRAN AS A CENTRAL HUB OF REGIONAL ESCALATION: NUCLEAR DETERRENCE, MISSILE AND DRONE CAPABILITIES, AND PROXY ARCHITECTURE</w:t>
      </w:r>
    </w:p>
    <w:p w14:paraId="22751C3F" w14:textId="2A3FBF33" w:rsidR="008D1109" w:rsidRDefault="008D1109" w:rsidP="00E019C5">
      <w:pPr>
        <w:jc w:val="center"/>
        <w:rPr>
          <w:szCs w:val="28"/>
          <w:lang w:val="en-US"/>
        </w:rPr>
      </w:pPr>
    </w:p>
    <w:p w14:paraId="6A96D3F4" w14:textId="2B3E832B" w:rsidR="00274819" w:rsidRPr="00696D5A" w:rsidRDefault="00696D5A" w:rsidP="00E019C5">
      <w:pPr>
        <w:jc w:val="center"/>
        <w:rPr>
          <w:b/>
          <w:bCs/>
          <w:sz w:val="32"/>
          <w:szCs w:val="32"/>
        </w:rPr>
      </w:pPr>
      <w:r>
        <w:rPr>
          <w:b/>
          <w:bCs/>
          <w:sz w:val="32"/>
          <w:szCs w:val="32"/>
          <w:lang w:val="en-US"/>
        </w:rPr>
        <w:t>Darin</w:t>
      </w:r>
      <w:r w:rsidRPr="00A25241">
        <w:rPr>
          <w:b/>
          <w:bCs/>
          <w:sz w:val="32"/>
          <w:szCs w:val="32"/>
          <w:lang w:val="ru-RU"/>
        </w:rPr>
        <w:t xml:space="preserve"> </w:t>
      </w:r>
      <w:r>
        <w:rPr>
          <w:b/>
          <w:bCs/>
          <w:sz w:val="32"/>
          <w:szCs w:val="32"/>
          <w:lang w:val="en-US"/>
        </w:rPr>
        <w:t>Georgiev</w:t>
      </w:r>
    </w:p>
    <w:p w14:paraId="142C5542" w14:textId="21B74F87" w:rsidR="00274819" w:rsidRPr="00A25241" w:rsidRDefault="00274819" w:rsidP="00E019C5">
      <w:pPr>
        <w:jc w:val="center"/>
        <w:rPr>
          <w:szCs w:val="28"/>
          <w:lang w:val="ru-RU"/>
        </w:rPr>
      </w:pPr>
    </w:p>
    <w:p w14:paraId="1072AA97" w14:textId="1A070D58" w:rsidR="00274819" w:rsidRPr="00A25241" w:rsidRDefault="00274819" w:rsidP="00E019C5">
      <w:pPr>
        <w:jc w:val="center"/>
        <w:rPr>
          <w:szCs w:val="28"/>
          <w:lang w:val="ru-RU"/>
        </w:rPr>
      </w:pPr>
    </w:p>
    <w:p w14:paraId="1B979C13" w14:textId="37CD12A0" w:rsidR="00274819" w:rsidRPr="00696D5A" w:rsidRDefault="00274819" w:rsidP="003004BD">
      <w:pPr>
        <w:ind w:firstLine="567"/>
        <w:jc w:val="both"/>
        <w:rPr>
          <w:i/>
          <w:iCs/>
          <w:sz w:val="24"/>
        </w:rPr>
      </w:pPr>
      <w:r>
        <w:rPr>
          <w:b/>
          <w:bCs/>
          <w:i/>
          <w:iCs/>
          <w:sz w:val="24"/>
        </w:rPr>
        <w:t>Резюме:</w:t>
      </w:r>
      <w:r>
        <w:rPr>
          <w:i/>
          <w:iCs/>
          <w:sz w:val="24"/>
        </w:rPr>
        <w:t xml:space="preserve"> </w:t>
      </w:r>
      <w:r w:rsidR="00696D5A">
        <w:rPr>
          <w:i/>
          <w:iCs/>
          <w:sz w:val="24"/>
        </w:rPr>
        <w:t>Докладът анализира Иран като централен фактор за регионалната ескалация в Близкия изток. Разглеждат се ядрената програма, ракетно-дроновия</w:t>
      </w:r>
      <w:r w:rsidR="00906ECE">
        <w:rPr>
          <w:i/>
          <w:iCs/>
          <w:sz w:val="24"/>
        </w:rPr>
        <w:t>т</w:t>
      </w:r>
      <w:r w:rsidR="00696D5A">
        <w:rPr>
          <w:i/>
          <w:iCs/>
          <w:sz w:val="24"/>
        </w:rPr>
        <w:t xml:space="preserve"> потенциал, прокси мрежите и ролята на КСИР</w:t>
      </w:r>
      <w:r w:rsidR="00906ECE">
        <w:rPr>
          <w:i/>
          <w:iCs/>
          <w:sz w:val="24"/>
        </w:rPr>
        <w:t xml:space="preserve"> и силите „Кудс“. Основният извод е, че съчетаването на тези инструменти засилва възпиращия потенциал на Техеран, но едновременно увеличава риска от погрешна оценка, неконтролирана ескалация и регионален конфликт.</w:t>
      </w:r>
    </w:p>
    <w:p w14:paraId="29DBD415" w14:textId="71640005" w:rsidR="00274819" w:rsidRDefault="00274819" w:rsidP="003004BD">
      <w:pPr>
        <w:ind w:firstLine="567"/>
        <w:jc w:val="both"/>
        <w:rPr>
          <w:szCs w:val="28"/>
        </w:rPr>
      </w:pPr>
    </w:p>
    <w:p w14:paraId="2461AA37" w14:textId="30B6E575" w:rsidR="00274819" w:rsidRDefault="00274819" w:rsidP="003004BD">
      <w:pPr>
        <w:ind w:firstLine="567"/>
        <w:jc w:val="both"/>
        <w:rPr>
          <w:i/>
          <w:iCs/>
          <w:sz w:val="24"/>
        </w:rPr>
      </w:pPr>
      <w:r>
        <w:rPr>
          <w:b/>
          <w:bCs/>
          <w:i/>
          <w:iCs/>
          <w:sz w:val="24"/>
        </w:rPr>
        <w:t>Ключови думи:</w:t>
      </w:r>
      <w:r>
        <w:rPr>
          <w:i/>
          <w:iCs/>
          <w:sz w:val="24"/>
        </w:rPr>
        <w:t xml:space="preserve"> </w:t>
      </w:r>
      <w:r w:rsidR="00D03340">
        <w:rPr>
          <w:i/>
          <w:iCs/>
          <w:sz w:val="24"/>
        </w:rPr>
        <w:t>Иран; регионална сигурност; стратегическо възпиране; ядрена програма; ракетно-дронов потенциал; прокси архитектура; Близък изток.</w:t>
      </w:r>
    </w:p>
    <w:p w14:paraId="14068DE0" w14:textId="5A7D97ED" w:rsidR="00274819" w:rsidRDefault="00274819" w:rsidP="00377C1C">
      <w:pPr>
        <w:ind w:firstLine="567"/>
        <w:jc w:val="both"/>
        <w:rPr>
          <w:szCs w:val="28"/>
        </w:rPr>
      </w:pPr>
    </w:p>
    <w:p w14:paraId="1F3A38DD" w14:textId="02EEF1CE" w:rsidR="00274819" w:rsidRPr="00D03340" w:rsidRDefault="00274819" w:rsidP="003004BD">
      <w:pPr>
        <w:ind w:firstLine="567"/>
        <w:jc w:val="both"/>
        <w:rPr>
          <w:i/>
          <w:iCs/>
          <w:sz w:val="24"/>
        </w:rPr>
      </w:pPr>
      <w:r>
        <w:rPr>
          <w:b/>
          <w:bCs/>
          <w:i/>
          <w:iCs/>
          <w:sz w:val="24"/>
          <w:lang w:val="en-US"/>
        </w:rPr>
        <w:t>Abstract:</w:t>
      </w:r>
      <w:r>
        <w:rPr>
          <w:i/>
          <w:iCs/>
          <w:sz w:val="24"/>
          <w:lang w:val="en-US"/>
        </w:rPr>
        <w:t xml:space="preserve"> </w:t>
      </w:r>
      <w:r w:rsidR="00D03340">
        <w:rPr>
          <w:i/>
          <w:iCs/>
          <w:sz w:val="24"/>
          <w:lang w:val="en-US"/>
        </w:rPr>
        <w:t>The report analyzes Iran as a central factor in regional escalation in the Middle East. It examines the nuclear program, missile and drone capabilities, proxy networks, and the role of the IRGS and Quds Force. The main conclusion is that the combination of these instruments strengthens Tehran’s deterrence capacity while simultaneously increasing the risk of miscalculation, uncontrolled escalation, and regional conflict.</w:t>
      </w:r>
    </w:p>
    <w:p w14:paraId="42E0ACE4" w14:textId="405591FA" w:rsidR="00274819" w:rsidRPr="00274819" w:rsidRDefault="00274819" w:rsidP="003004BD">
      <w:pPr>
        <w:ind w:firstLine="567"/>
        <w:jc w:val="both"/>
        <w:rPr>
          <w:szCs w:val="28"/>
          <w:lang w:val="en-US"/>
        </w:rPr>
      </w:pPr>
    </w:p>
    <w:p w14:paraId="2DCDF3EC" w14:textId="0C23EF65" w:rsidR="00274819" w:rsidRPr="00390A80" w:rsidRDefault="00274819" w:rsidP="003004BD">
      <w:pPr>
        <w:ind w:firstLine="567"/>
        <w:jc w:val="both"/>
        <w:rPr>
          <w:i/>
          <w:iCs/>
          <w:sz w:val="24"/>
          <w:lang w:val="en-US"/>
        </w:rPr>
      </w:pPr>
      <w:r w:rsidRPr="00274819">
        <w:rPr>
          <w:b/>
          <w:bCs/>
          <w:i/>
          <w:iCs/>
          <w:sz w:val="24"/>
          <w:lang w:val="en-US"/>
        </w:rPr>
        <w:t>Keywords</w:t>
      </w:r>
      <w:r w:rsidRPr="00A25241">
        <w:rPr>
          <w:b/>
          <w:bCs/>
          <w:i/>
          <w:iCs/>
          <w:sz w:val="24"/>
          <w:lang w:val="en-US"/>
        </w:rPr>
        <w:t>:</w:t>
      </w:r>
      <w:r w:rsidRPr="00A25241">
        <w:rPr>
          <w:i/>
          <w:iCs/>
          <w:sz w:val="24"/>
          <w:lang w:val="en-US"/>
        </w:rPr>
        <w:t xml:space="preserve"> </w:t>
      </w:r>
      <w:r w:rsidR="00390A80">
        <w:rPr>
          <w:i/>
          <w:iCs/>
          <w:sz w:val="24"/>
          <w:lang w:val="en-US"/>
        </w:rPr>
        <w:t>Iran; regional security; strategic deterrence; nuclear program; missile and drone capabilities; proxy architecture; Middle east.</w:t>
      </w:r>
    </w:p>
    <w:p w14:paraId="023C3CE7" w14:textId="2B740211" w:rsidR="00274819" w:rsidRPr="00A25241" w:rsidRDefault="00274819" w:rsidP="003004BD">
      <w:pPr>
        <w:ind w:firstLine="567"/>
        <w:rPr>
          <w:szCs w:val="28"/>
          <w:lang w:val="en-US"/>
        </w:rPr>
      </w:pPr>
    </w:p>
    <w:p w14:paraId="1C801EAB" w14:textId="77777777" w:rsidR="00A86955" w:rsidRPr="00A25241" w:rsidRDefault="00A86955" w:rsidP="003004BD">
      <w:pPr>
        <w:ind w:firstLine="567"/>
        <w:rPr>
          <w:szCs w:val="28"/>
          <w:lang w:val="en-US"/>
        </w:rPr>
      </w:pPr>
    </w:p>
    <w:p w14:paraId="7FE47779" w14:textId="6D13DE1C" w:rsidR="00A53735" w:rsidRPr="00A53735" w:rsidRDefault="00A53735" w:rsidP="00A53735">
      <w:pPr>
        <w:ind w:firstLine="567"/>
        <w:jc w:val="both"/>
        <w:rPr>
          <w:szCs w:val="28"/>
        </w:rPr>
      </w:pPr>
      <w:r w:rsidRPr="00A53735">
        <w:rPr>
          <w:szCs w:val="28"/>
        </w:rPr>
        <w:t>1.</w:t>
      </w:r>
      <w:r w:rsidR="00A25241">
        <w:rPr>
          <w:szCs w:val="28"/>
        </w:rPr>
        <w:t xml:space="preserve"> </w:t>
      </w:r>
      <w:r w:rsidRPr="00A53735">
        <w:rPr>
          <w:szCs w:val="28"/>
        </w:rPr>
        <w:t xml:space="preserve">Въведение </w:t>
      </w:r>
    </w:p>
    <w:p w14:paraId="7AC86C11" w14:textId="74D19D33" w:rsidR="00A53735" w:rsidRPr="00A53735" w:rsidRDefault="00A53735" w:rsidP="00A53735">
      <w:pPr>
        <w:ind w:firstLine="567"/>
        <w:jc w:val="both"/>
        <w:rPr>
          <w:szCs w:val="28"/>
        </w:rPr>
      </w:pPr>
      <w:r w:rsidRPr="00A53735">
        <w:rPr>
          <w:szCs w:val="28"/>
        </w:rPr>
        <w:t>Съвременната среда за сигурност в Близкия изток се характеризира с висока степен на фрагментация, конкуриращи се регионални амбиции, присъствие на външни сили и активна роля на недържавни въоръжени актьори. В тази среда Иран заема особено място, защото съчетава характеристиките на класическа държава, революционен режим, регионална сила и покровител на широка мрежа от въоръжени структури. От Ислямската революция през 1979 г. насам Техеран развива модел на сигурност, който се основава на убеждението, че оцеляването на режима зависи от стратегическа дълбочина, способност за непряко въздействие и възпиране на по-силни противници.</w:t>
      </w:r>
    </w:p>
    <w:p w14:paraId="75E6C5FA" w14:textId="722145AE" w:rsidR="00A53735" w:rsidRPr="00A53735" w:rsidRDefault="00A53735" w:rsidP="00A53735">
      <w:pPr>
        <w:ind w:firstLine="567"/>
        <w:jc w:val="both"/>
        <w:rPr>
          <w:szCs w:val="28"/>
        </w:rPr>
      </w:pPr>
      <w:r w:rsidRPr="00A53735">
        <w:rPr>
          <w:szCs w:val="28"/>
        </w:rPr>
        <w:t>Този подход се формира под влиянието на няколко фактора: войната между Иран и Ирак, продължителния санкционен натиск, технологичната асиметрия спрямо САЩ и Израел, ограничените възможности на иранските военновъздушни сили и възприеманата заплаха от военна интервенция. В резултат Иран не изгражда своята сигурност само чрез модерна конвенционална армия, а чрез съчетание на ракетни способности, безпилотни системи, подземна инфраструктура, Корпуса на гвардейците на Ислямската революция и партньорски въоръжени движения в региона.</w:t>
      </w:r>
    </w:p>
    <w:p w14:paraId="31460720" w14:textId="786E876F" w:rsidR="00A53735" w:rsidRPr="00A25241" w:rsidRDefault="00A53735" w:rsidP="00A53735">
      <w:pPr>
        <w:ind w:firstLine="567"/>
        <w:jc w:val="both"/>
        <w:rPr>
          <w:szCs w:val="28"/>
          <w:lang w:val="ru-RU"/>
        </w:rPr>
      </w:pPr>
      <w:r w:rsidRPr="00A53735">
        <w:rPr>
          <w:szCs w:val="28"/>
        </w:rPr>
        <w:t xml:space="preserve">  Теорията за регионалните комплекси за сигурност е подходяща рамка за подобен анализ, тъй като показва, че заплахите и реакциите в един регион рядко остават изолирани. В Близкия изток действията на един актьор почти неизбежно пораждат насрещни реакции от други държави, коалиции и въоръжени групировки. В този смисъл иранската ядрена програма, ракетните изпитания, военната подкрепа за съюзни милиции и атаките срещу регионални противници се възприемат като елементи на обща система на стратегическо съперничество. </w:t>
      </w:r>
      <w:r w:rsidRPr="00A25241">
        <w:rPr>
          <w:szCs w:val="28"/>
          <w:lang w:val="ru-RU"/>
        </w:rPr>
        <w:t>[1]</w:t>
      </w:r>
    </w:p>
    <w:p w14:paraId="28ED30C5" w14:textId="6E7F6102" w:rsidR="00A53735" w:rsidRPr="00A53735" w:rsidRDefault="00A53735" w:rsidP="00A53735">
      <w:pPr>
        <w:ind w:firstLine="567"/>
        <w:jc w:val="both"/>
        <w:rPr>
          <w:szCs w:val="28"/>
        </w:rPr>
      </w:pPr>
      <w:r w:rsidRPr="00A53735">
        <w:rPr>
          <w:szCs w:val="28"/>
        </w:rPr>
        <w:t>2.</w:t>
      </w:r>
      <w:r w:rsidR="00A25241">
        <w:rPr>
          <w:szCs w:val="28"/>
        </w:rPr>
        <w:t xml:space="preserve"> </w:t>
      </w:r>
      <w:r w:rsidRPr="00A53735">
        <w:rPr>
          <w:szCs w:val="28"/>
        </w:rPr>
        <w:t>Ядрената програма като фактор на стратегическа неопределеност</w:t>
      </w:r>
    </w:p>
    <w:p w14:paraId="2E74BB2D" w14:textId="777601F7" w:rsidR="00A53735" w:rsidRPr="00A53735" w:rsidRDefault="00A53735" w:rsidP="00A53735">
      <w:pPr>
        <w:ind w:firstLine="567"/>
        <w:jc w:val="both"/>
        <w:rPr>
          <w:szCs w:val="28"/>
        </w:rPr>
      </w:pPr>
      <w:r w:rsidRPr="00A53735">
        <w:rPr>
          <w:szCs w:val="28"/>
        </w:rPr>
        <w:t>Ядрената програма на Иран е един от най-чувствителните въпроси в регионалната и международната сигурност. Нейното значение не се изчерпва с техническите параметри на обогатяването на урана или с режима на инспекция. Основният проблем е стратегическата неопределеност, която възниква, когато една държава не притежава официално ядрено оръжие, но натрупва способности, които могат да съкратят времето за евентуален преход към оръжейна ядрена способност.</w:t>
      </w:r>
    </w:p>
    <w:p w14:paraId="4F3D7D5F" w14:textId="00F6BE1A" w:rsidR="00A53735" w:rsidRPr="00A53735" w:rsidRDefault="00A53735" w:rsidP="00A53735">
      <w:pPr>
        <w:ind w:firstLine="567"/>
        <w:jc w:val="both"/>
        <w:rPr>
          <w:szCs w:val="28"/>
        </w:rPr>
      </w:pPr>
      <w:r w:rsidRPr="00A53735">
        <w:rPr>
          <w:szCs w:val="28"/>
        </w:rPr>
        <w:t>Именно тази неопределеност създава криза на доверието между Иран, Израел, САЩ, европейските държави и Международната агенция за атомна енергия. Според доклад на МААЕ от ноември 2025 г. общият запас от обогатен уран на Иран към 13 юни 2025 г. е оценен на 9874,9 кг, като 440,9 кг. от него са обогатени на 60% U-235. От този запас агенцията е верифицирала 432,9 кг. уран във форма UF6, обогатен до 60% U-235.</w:t>
      </w:r>
      <w:r w:rsidRPr="00A25241">
        <w:rPr>
          <w:szCs w:val="28"/>
          <w:lang w:val="ru-RU"/>
        </w:rPr>
        <w:t>[2]</w:t>
      </w:r>
      <w:r w:rsidRPr="00A53735">
        <w:rPr>
          <w:szCs w:val="28"/>
        </w:rPr>
        <w:t xml:space="preserve"> Това ниво на обогатяване не представлява автоматично ядрено оръжие, но е значително над обичайните нива за гражданско ядрено гориво и създава сериозен проблем за режима на неразпространение.</w:t>
      </w:r>
    </w:p>
    <w:p w14:paraId="04FF7F0E" w14:textId="5D77C0EE" w:rsidR="00A53735" w:rsidRPr="00A53735" w:rsidRDefault="00A53735" w:rsidP="00A53735">
      <w:pPr>
        <w:ind w:firstLine="567"/>
        <w:jc w:val="both"/>
        <w:rPr>
          <w:szCs w:val="28"/>
        </w:rPr>
      </w:pPr>
      <w:r w:rsidRPr="00A53735">
        <w:rPr>
          <w:szCs w:val="28"/>
        </w:rPr>
        <w:t>Особено значение има фактът, че след военните удари срещу ирански ядрени обекти през 2025 г. МААЕ посочва, че не е извършила инспекции в засегнатите съоръжения. Агенцията подчертава, че предоставянето от страна на Иран на доклад за засегнатите обекти и свързани с тях ядрен материал е необходимо условие за проверка на състоянието на програмата и за потвърждение, че материалът остава в рамките на мирни ядрени дейности.</w:t>
      </w:r>
      <w:r w:rsidR="006B0639" w:rsidRPr="00A25241">
        <w:rPr>
          <w:szCs w:val="28"/>
          <w:lang w:val="ru-RU"/>
        </w:rPr>
        <w:t>[3]</w:t>
      </w:r>
      <w:r w:rsidRPr="00A53735">
        <w:rPr>
          <w:szCs w:val="28"/>
        </w:rPr>
        <w:t xml:space="preserve"> От гледна точка на сигурността това означава, че проблемът вече не е само в количеството обогатен уран, а и в степента на вериф</w:t>
      </w:r>
      <w:r w:rsidR="00A25241">
        <w:rPr>
          <w:szCs w:val="28"/>
        </w:rPr>
        <w:t>икация</w:t>
      </w:r>
      <w:r w:rsidRPr="00A53735">
        <w:rPr>
          <w:szCs w:val="28"/>
        </w:rPr>
        <w:t xml:space="preserve">. </w:t>
      </w:r>
    </w:p>
    <w:p w14:paraId="58B9F1E2" w14:textId="70F73EF5" w:rsidR="00A53735" w:rsidRPr="00A53735" w:rsidRDefault="00A53735" w:rsidP="00A53735">
      <w:pPr>
        <w:ind w:firstLine="567"/>
        <w:jc w:val="both"/>
        <w:rPr>
          <w:szCs w:val="28"/>
        </w:rPr>
      </w:pPr>
      <w:r w:rsidRPr="00A53735">
        <w:rPr>
          <w:szCs w:val="28"/>
        </w:rPr>
        <w:t>Иран от своя страна продължава да твърди, че ядрената му програма има мирен характер и че държавата има право на ядрена технология съгласно Договора за неразпространение на ядрено оръжие. Тази позиция обаче не премахва съмненията на противниците му. В логиката на стратегическото възпиране намеренията са променлив фактор, докато натрупаните способности имат по-трайно значение. Поради това Израел и САЩ разглеждат иранската програма не само като въпрос на международно право, а като потенциален инструмент за регионална принуда.</w:t>
      </w:r>
    </w:p>
    <w:p w14:paraId="708154F9" w14:textId="3BF085D1" w:rsidR="00A53735" w:rsidRPr="00A53735" w:rsidRDefault="00A53735" w:rsidP="00A53735">
      <w:pPr>
        <w:ind w:firstLine="567"/>
        <w:jc w:val="both"/>
        <w:rPr>
          <w:szCs w:val="28"/>
        </w:rPr>
      </w:pPr>
      <w:r w:rsidRPr="00A53735">
        <w:rPr>
          <w:szCs w:val="28"/>
        </w:rPr>
        <w:t>Тук възниква ключовият парадокс. Колкото повече Иран развива ядрена инфраструктура, за да възпира външна агресия, толкова повече неговите противници възприемат тази инфраструктура като основание за превантивен натиск. По този начин възпирането започва да произвежда обратен ефект. Вместо да стабилизира средата, то усилва подозренията, ускорява военното планиране и повишава вероятността от погрешна оценка.</w:t>
      </w:r>
    </w:p>
    <w:p w14:paraId="6EE51FB2" w14:textId="4ED2992E" w:rsidR="00A53735" w:rsidRPr="00A53735" w:rsidRDefault="00A53735" w:rsidP="00A53735">
      <w:pPr>
        <w:ind w:firstLine="567"/>
        <w:jc w:val="both"/>
        <w:rPr>
          <w:szCs w:val="28"/>
        </w:rPr>
      </w:pPr>
      <w:r w:rsidRPr="00A53735">
        <w:rPr>
          <w:szCs w:val="28"/>
        </w:rPr>
        <w:t>3.</w:t>
      </w:r>
      <w:r w:rsidR="00A25241">
        <w:rPr>
          <w:szCs w:val="28"/>
        </w:rPr>
        <w:t xml:space="preserve"> </w:t>
      </w:r>
      <w:r w:rsidRPr="00A53735">
        <w:rPr>
          <w:szCs w:val="28"/>
        </w:rPr>
        <w:t xml:space="preserve">Балистичните и крилатите ракети като компенсаторна военна мощ </w:t>
      </w:r>
    </w:p>
    <w:p w14:paraId="66FDE7B2" w14:textId="6435E0E0" w:rsidR="00A53735" w:rsidRPr="00A53735" w:rsidRDefault="00A53735" w:rsidP="00A53735">
      <w:pPr>
        <w:ind w:firstLine="567"/>
        <w:jc w:val="both"/>
        <w:rPr>
          <w:szCs w:val="28"/>
        </w:rPr>
      </w:pPr>
      <w:r w:rsidRPr="00A53735">
        <w:rPr>
          <w:szCs w:val="28"/>
        </w:rPr>
        <w:t>Ракетния потенциал на Иран представлява вторият основен стълб на неговото възпиране. Исторически Техеран не разполага с модерни военновъздушни сили, сравними с тези на САЩ, Израел или част от арабските държави от Персийския залив. Това ограничение насочва иранската военна доктрина към развитие на балистични и крилати ракети, които позволяват удари на значителна дистанция и създават риск за противникова инфраструктура, бази и градски центрове.</w:t>
      </w:r>
    </w:p>
    <w:p w14:paraId="35AE9791" w14:textId="780A28CA" w:rsidR="00A53735" w:rsidRPr="00A25241" w:rsidRDefault="00A53735" w:rsidP="00A53735">
      <w:pPr>
        <w:ind w:firstLine="567"/>
        <w:jc w:val="both"/>
        <w:rPr>
          <w:szCs w:val="28"/>
          <w:lang w:val="ru-RU"/>
        </w:rPr>
      </w:pPr>
      <w:r w:rsidRPr="00A53735">
        <w:rPr>
          <w:szCs w:val="28"/>
        </w:rPr>
        <w:t xml:space="preserve">Докладът на Defense Intelligence Agency посочва, че иранските балистични ракети са основен компонент на стратегическото възпиране на страната. Поради липсата на модерни военновъздушни сили Иран възприема балистичните ракети като способност за далечен удар, предназначена да възпира регионални противници, включително САЩ, Израел и Саудитска Арабия. Същият доклад определя иранската ракетна сила като най-голямата в Близкия изток. </w:t>
      </w:r>
      <w:r w:rsidR="006B0639" w:rsidRPr="00A25241">
        <w:rPr>
          <w:szCs w:val="28"/>
          <w:lang w:val="ru-RU"/>
        </w:rPr>
        <w:t>[4]</w:t>
      </w:r>
    </w:p>
    <w:p w14:paraId="05F971D7" w14:textId="7A873F99" w:rsidR="00A53735" w:rsidRPr="00A53735" w:rsidRDefault="00A53735" w:rsidP="00A53735">
      <w:pPr>
        <w:ind w:firstLine="567"/>
        <w:jc w:val="both"/>
        <w:rPr>
          <w:szCs w:val="28"/>
        </w:rPr>
      </w:pPr>
      <w:r w:rsidRPr="00A53735">
        <w:rPr>
          <w:szCs w:val="28"/>
        </w:rPr>
        <w:t>Военната стойност на тези ракети не се ограничават до тяхната разрушителна сила. Те имат и политико-психологическо въздействие. Иранските ракети могат да създадат усещане за постоянна уязвимост у държави, които разполагат с технологично превъзходство, но са зависими от бази, пристанища, летища, енергийна инфраструктура и логистични маршрути. Така ракетите се превръщат в инструмент за увеличаване на цената на евентуална война.</w:t>
      </w:r>
    </w:p>
    <w:p w14:paraId="4D91089E" w14:textId="14E79C4D" w:rsidR="00A53735" w:rsidRPr="00A53735" w:rsidRDefault="00A53735" w:rsidP="00A53735">
      <w:pPr>
        <w:ind w:firstLine="567"/>
        <w:jc w:val="both"/>
        <w:rPr>
          <w:szCs w:val="28"/>
        </w:rPr>
      </w:pPr>
      <w:r w:rsidRPr="00A53735">
        <w:rPr>
          <w:szCs w:val="28"/>
        </w:rPr>
        <w:t>Оценката на американската разузнавателна общност за 2025 г. потвърждава, че Иран разполага с голямо количество балистични и крилати ракети, както и с безпилотни системи, които могат да поразят цели в целия регион. В същата оценка се отбелязва, че Техеран продължава да подобрява точността, леталността и надеждността на тези системи.</w:t>
      </w:r>
      <w:r w:rsidR="006B0639" w:rsidRPr="00A25241">
        <w:rPr>
          <w:szCs w:val="28"/>
          <w:lang w:val="ru-RU"/>
        </w:rPr>
        <w:t>[5]</w:t>
      </w:r>
      <w:r w:rsidRPr="00A53735">
        <w:rPr>
          <w:szCs w:val="28"/>
        </w:rPr>
        <w:t xml:space="preserve"> Това е особено важно, защото при ракетните сили качественото развитие често е по-значимо от количественото натрупване. Повишената точност превръща ракетите от средство за символично възмездие в инструмент за реално военно въздействие върху конкретни цели.</w:t>
      </w:r>
    </w:p>
    <w:p w14:paraId="50046220" w14:textId="40F2EE92" w:rsidR="00A53735" w:rsidRPr="00A53735" w:rsidRDefault="00A53735" w:rsidP="00A53735">
      <w:pPr>
        <w:ind w:firstLine="567"/>
        <w:jc w:val="both"/>
        <w:rPr>
          <w:szCs w:val="28"/>
        </w:rPr>
      </w:pPr>
      <w:r w:rsidRPr="00A53735">
        <w:rPr>
          <w:szCs w:val="28"/>
        </w:rPr>
        <w:t>Ракетния арсенал на Иран трябва да бъде разглеждан и като част от по-широка система за отказ на достъп и ограничаване на свободата на действие на противника. В евентуален конфликт Техеран може да използва балистични ракети, крилати ракети, дронове, морски средства и прокси атаки, за да затрудни действията на САЩ и техните партньори. Това не гарантира победа в класически военен смисъл, но създава риск от високи разходи, политически натиск и разширяване на конфликта.</w:t>
      </w:r>
    </w:p>
    <w:p w14:paraId="3CD089E7" w14:textId="08765DF1" w:rsidR="00A53735" w:rsidRPr="00A53735" w:rsidRDefault="00A53735" w:rsidP="00A53735">
      <w:pPr>
        <w:ind w:firstLine="567"/>
        <w:jc w:val="both"/>
        <w:rPr>
          <w:szCs w:val="28"/>
        </w:rPr>
      </w:pPr>
      <w:r w:rsidRPr="00A53735">
        <w:rPr>
          <w:szCs w:val="28"/>
        </w:rPr>
        <w:t>4.</w:t>
      </w:r>
      <w:r w:rsidR="00A25241">
        <w:rPr>
          <w:szCs w:val="28"/>
        </w:rPr>
        <w:t xml:space="preserve"> </w:t>
      </w:r>
      <w:r w:rsidRPr="00A53735">
        <w:rPr>
          <w:szCs w:val="28"/>
        </w:rPr>
        <w:t>Безпилотните системи като инструмент на асиметрично въздействие</w:t>
      </w:r>
    </w:p>
    <w:p w14:paraId="27473C4F" w14:textId="23F500E6" w:rsidR="00A53735" w:rsidRPr="00A53735" w:rsidRDefault="00A53735" w:rsidP="00A53735">
      <w:pPr>
        <w:ind w:firstLine="567"/>
        <w:jc w:val="both"/>
        <w:rPr>
          <w:szCs w:val="28"/>
        </w:rPr>
      </w:pPr>
      <w:r w:rsidRPr="00A53735">
        <w:rPr>
          <w:szCs w:val="28"/>
        </w:rPr>
        <w:t>Безпилотните летателни системи заемат все по-централно място в иранската военна архитектура. Те са по-евтини от класическите високоточни оръжия, могат да бъдат използвани масирано, позволяват атаки на различни направления и усложняват задачите на противовъздушната отбрана. За държава като Иран, която търси асиметрични средства срещу технологично по-силни противници, дроновете са особено ефективни инструменти.</w:t>
      </w:r>
    </w:p>
    <w:p w14:paraId="72E170EC" w14:textId="1CCC4B95" w:rsidR="00A53735" w:rsidRPr="00A53735" w:rsidRDefault="00A53735" w:rsidP="00A53735">
      <w:pPr>
        <w:ind w:firstLine="567"/>
        <w:jc w:val="both"/>
        <w:rPr>
          <w:szCs w:val="28"/>
        </w:rPr>
      </w:pPr>
      <w:r w:rsidRPr="00A53735">
        <w:rPr>
          <w:szCs w:val="28"/>
        </w:rPr>
        <w:t>Иранските безпилотни системи имат няколко основни функции. Първо, те могат да се използват за разузнаване, наблюдение и целеуказване. Второ, могат да служат като ударни платформи срещу военни и инфраструктурни обекти. Трето, могат да бъдат използвани в масирани атаки за насищане на противниковата отбрана. Четвърто, могат да бъдат предоставяни на партньорски въоръжени групи, с което се разширява обсегът на иранското влияние без пряко участие на иранската държава.</w:t>
      </w:r>
    </w:p>
    <w:p w14:paraId="4DB5FFDA" w14:textId="77777777" w:rsidR="00A53735" w:rsidRPr="00A53735" w:rsidRDefault="00A53735" w:rsidP="00A53735">
      <w:pPr>
        <w:ind w:firstLine="567"/>
        <w:jc w:val="both"/>
        <w:rPr>
          <w:szCs w:val="28"/>
        </w:rPr>
      </w:pPr>
      <w:r w:rsidRPr="00A53735">
        <w:rPr>
          <w:szCs w:val="28"/>
        </w:rPr>
        <w:t xml:space="preserve">  Този тип способности променят съотношението между цена на нападение и цена на защита. Евентуалните ударни дронове могат да принудят противника да използва скъпи средства за прехват, което създава икономическо изтощение. Дори когато голяма част от дроновете бъдат свалени, атакуващата страна може да постигне стратегически ефект чрез натиск върху системите за ранно предупреждение, противовъздушна отбрана, логистиката и политическото възпиране за сигурност.</w:t>
      </w:r>
    </w:p>
    <w:p w14:paraId="5A251A3F" w14:textId="1463F9F0" w:rsidR="00A53735" w:rsidRPr="00A53735" w:rsidRDefault="00A53735" w:rsidP="00A53735">
      <w:pPr>
        <w:ind w:firstLine="567"/>
        <w:jc w:val="both"/>
        <w:rPr>
          <w:szCs w:val="28"/>
        </w:rPr>
      </w:pPr>
      <w:r w:rsidRPr="00A53735">
        <w:rPr>
          <w:szCs w:val="28"/>
        </w:rPr>
        <w:t xml:space="preserve">  Според оценката на американската разузнавателна общност Иранската отбранителна индустрия има значителен капацитет за разработване и производство, особено при нискобюджетните оръжейни системи като малки безпилотни летателни апарати.</w:t>
      </w:r>
      <w:r w:rsidR="006B0639" w:rsidRPr="00A25241">
        <w:rPr>
          <w:szCs w:val="28"/>
          <w:lang w:val="ru-RU"/>
        </w:rPr>
        <w:t>[6]</w:t>
      </w:r>
      <w:r w:rsidRPr="00A53735">
        <w:rPr>
          <w:szCs w:val="28"/>
        </w:rPr>
        <w:t xml:space="preserve"> Това показва, че безпилотният потенциал не трябва да се разглежда като второстепенно допълнение към ракетната програма, а като самостоятелен елемент от иранската стратегия.</w:t>
      </w:r>
    </w:p>
    <w:p w14:paraId="5C6CCABC" w14:textId="1167FA8F" w:rsidR="00A53735" w:rsidRPr="00A53735" w:rsidRDefault="00A53735" w:rsidP="00A53735">
      <w:pPr>
        <w:ind w:firstLine="567"/>
        <w:jc w:val="both"/>
        <w:rPr>
          <w:szCs w:val="28"/>
        </w:rPr>
      </w:pPr>
      <w:r w:rsidRPr="00A53735">
        <w:rPr>
          <w:szCs w:val="28"/>
        </w:rPr>
        <w:t>Особено значение има и трансферът на дронови технологии към други актьори. Когато безпилотните системи, компоненти, инженерни знания или производствени модели се предават на съюзни структури, Иран не просто въоръжава партньори. Той изгражда разпределена система за натиск, която може да бъде активирана в различни кризисни точки. Това увеличава оперативната гъвкавост и намалява необходимостта от пряка иранска намеса.</w:t>
      </w:r>
    </w:p>
    <w:p w14:paraId="54AA850F" w14:textId="7AF4D5E5" w:rsidR="00A53735" w:rsidRPr="00A53735" w:rsidRDefault="00A53735" w:rsidP="00A53735">
      <w:pPr>
        <w:ind w:firstLine="567"/>
        <w:jc w:val="both"/>
        <w:rPr>
          <w:szCs w:val="28"/>
        </w:rPr>
      </w:pPr>
      <w:r w:rsidRPr="00A53735">
        <w:rPr>
          <w:szCs w:val="28"/>
        </w:rPr>
        <w:t>5.</w:t>
      </w:r>
      <w:r w:rsidR="00A25241">
        <w:rPr>
          <w:szCs w:val="28"/>
        </w:rPr>
        <w:t xml:space="preserve"> </w:t>
      </w:r>
      <w:r w:rsidRPr="00A53735">
        <w:rPr>
          <w:szCs w:val="28"/>
        </w:rPr>
        <w:t xml:space="preserve">Прокси архитектурата като стратегическа дълбочина </w:t>
      </w:r>
    </w:p>
    <w:p w14:paraId="2CBF6678" w14:textId="39AEA8EB" w:rsidR="00A53735" w:rsidRPr="00A53735" w:rsidRDefault="00A53735" w:rsidP="00A53735">
      <w:pPr>
        <w:ind w:firstLine="567"/>
        <w:jc w:val="both"/>
        <w:rPr>
          <w:szCs w:val="28"/>
        </w:rPr>
      </w:pPr>
      <w:r w:rsidRPr="00A53735">
        <w:rPr>
          <w:szCs w:val="28"/>
        </w:rPr>
        <w:t xml:space="preserve">Най-характерния елемент от иранския модел на регионално влияние е неговата прокси архитектура. Тя включва различни по характер актьори, сред които „Хизбула“ в Ливан, шиитските милиции в Ирак, хутите в Йемен, палестинските въоръжени организации и други групи, свързани с иранските политически, религиозни и военни структури. Тази мрежа не е напълно еднородна. Някой актьори са по-зависими от Техеран, други имат по-силна местна автономия. Общото между тях е, че създават за Иран възможност за влияние извън собствените му граници. </w:t>
      </w:r>
    </w:p>
    <w:p w14:paraId="45CAD126" w14:textId="5A78217F" w:rsidR="00A53735" w:rsidRPr="00A53735" w:rsidRDefault="00A53735" w:rsidP="00A53735">
      <w:pPr>
        <w:ind w:firstLine="567"/>
        <w:jc w:val="both"/>
        <w:rPr>
          <w:szCs w:val="28"/>
        </w:rPr>
      </w:pPr>
      <w:r w:rsidRPr="00A53735">
        <w:rPr>
          <w:szCs w:val="28"/>
        </w:rPr>
        <w:t>Council on Foreign Relations отбелязва, че през последните десетилетия Иран е създал и подкрепил разширяваща се мрежа от съюзни бойни сили в Близкия изток, като силите „Кудс “към Корпуса на гвардейците на Ислямската революция изпълняват основна роля при обучението, въоръжаването и финансирането на тези групи.</w:t>
      </w:r>
      <w:r w:rsidR="006B0639" w:rsidRPr="00A25241">
        <w:rPr>
          <w:szCs w:val="28"/>
          <w:lang w:val="ru-RU"/>
        </w:rPr>
        <w:t>[7]</w:t>
      </w:r>
      <w:r w:rsidRPr="00A53735">
        <w:rPr>
          <w:szCs w:val="28"/>
        </w:rPr>
        <w:t xml:space="preserve"> Това потвърждава, че иранското влияние не е само дипломатическо или идеологическо, а има институционализирано военно измерение.</w:t>
      </w:r>
    </w:p>
    <w:p w14:paraId="10C68A8E" w14:textId="1F897C7F" w:rsidR="00A53735" w:rsidRPr="00A53735" w:rsidRDefault="00A53735" w:rsidP="00A53735">
      <w:pPr>
        <w:ind w:firstLine="567"/>
        <w:jc w:val="both"/>
        <w:rPr>
          <w:szCs w:val="28"/>
        </w:rPr>
      </w:pPr>
      <w:r w:rsidRPr="00A53735">
        <w:rPr>
          <w:szCs w:val="28"/>
        </w:rPr>
        <w:t>Прокси мрежата изпълнява няколко стратегически функции. Първо, тя осигурява стратегическа дълбочина. Чрез нея Иран изнася линията на противопоставяне извън собствената си територия. Второ, тя позволява линията на противопоставяне извън собствената си територия. Второ, тя позволява разсейване на противниковия ресурс. Израел, САЩ и техните партньори не са изправени само сред една държава, а срещу множество точки на напрежение. Трето, тя създава възможност за правдоподобно отричане. Иран може да влияе върху даден конфликт, без винаги да носи пълната международноправна и политическа отговорност за конкретно действие.</w:t>
      </w:r>
    </w:p>
    <w:p w14:paraId="2BBE24B5" w14:textId="73D1995C" w:rsidR="00A53735" w:rsidRPr="00A25241" w:rsidRDefault="00A53735" w:rsidP="00A53735">
      <w:pPr>
        <w:ind w:firstLine="567"/>
        <w:jc w:val="both"/>
        <w:rPr>
          <w:szCs w:val="28"/>
          <w:lang w:val="ru-RU"/>
        </w:rPr>
      </w:pPr>
      <w:r w:rsidRPr="00A53735">
        <w:rPr>
          <w:szCs w:val="28"/>
        </w:rPr>
        <w:t xml:space="preserve">Suzanne Maloney определя иранската мрежа от милиции като един от най-ценните инструменти в арсенала на Техеран. Според нейното свидетелство пред Сенатската комисия по външни отношения тези структури са изградени, координирани, обучавани и снабдявани от Иран и предоставят на режима стратегическа дълбочина, регионален достъп и възможност да се предпазва от пълния риск на действията, извършвани от негови партньори. </w:t>
      </w:r>
      <w:r w:rsidR="006B0639" w:rsidRPr="00A25241">
        <w:rPr>
          <w:szCs w:val="28"/>
          <w:lang w:val="ru-RU"/>
        </w:rPr>
        <w:t>[8]</w:t>
      </w:r>
    </w:p>
    <w:p w14:paraId="3892F34B" w14:textId="3EC699B4" w:rsidR="00A53735" w:rsidRPr="00A25241" w:rsidRDefault="00A53735" w:rsidP="00A53735">
      <w:pPr>
        <w:ind w:firstLine="567"/>
        <w:jc w:val="both"/>
        <w:rPr>
          <w:szCs w:val="28"/>
          <w:lang w:val="ru-RU"/>
        </w:rPr>
      </w:pPr>
      <w:r w:rsidRPr="00A53735">
        <w:rPr>
          <w:szCs w:val="28"/>
        </w:rPr>
        <w:t xml:space="preserve">Прокси архитектурата обаче не е статична. Тя се променя под натиск на войните, санкциите, вътрешните кризи в държавни домакини и военните удари срещу нейните ключови лидери и инфраструктура. Нови анализи посочват, че след 2023 г. тази мрежа се сблъсква с нарастващи проблеми: загуби на лидери, финансов натиск, намалена легитимност, фрагментация и различия между местните интереси на отделните групировки и стратегически цели на Иран. </w:t>
      </w:r>
      <w:r w:rsidR="006B0639" w:rsidRPr="00A25241">
        <w:rPr>
          <w:szCs w:val="28"/>
          <w:lang w:val="ru-RU"/>
        </w:rPr>
        <w:t>[9]</w:t>
      </w:r>
    </w:p>
    <w:p w14:paraId="788C5F48" w14:textId="733B0029" w:rsidR="00A53735" w:rsidRPr="00A53735" w:rsidRDefault="00A53735" w:rsidP="00A53735">
      <w:pPr>
        <w:ind w:firstLine="567"/>
        <w:jc w:val="both"/>
        <w:rPr>
          <w:szCs w:val="28"/>
        </w:rPr>
      </w:pPr>
      <w:r w:rsidRPr="00A53735">
        <w:rPr>
          <w:szCs w:val="28"/>
        </w:rPr>
        <w:t>Това означава, че иранската прокси система е едновременно източник на сила и уязвимост. Тя дава на Техеран широка регионална проекция, но създава и риск от неконтролирана ескалация. Колкото повече актьори участват в мрежата, толкова по-трудно става пълното управление на техните действия. Един локален удар, атака срещу база, нападение срещу кораб или ракетен обстрел може да предизвика реакция, която надхвърля първоначалните намерения на Техеран.</w:t>
      </w:r>
    </w:p>
    <w:p w14:paraId="2251488D" w14:textId="711B904E" w:rsidR="00A53735" w:rsidRPr="00A53735" w:rsidRDefault="00A53735" w:rsidP="00A53735">
      <w:pPr>
        <w:ind w:firstLine="567"/>
        <w:jc w:val="both"/>
        <w:rPr>
          <w:szCs w:val="28"/>
        </w:rPr>
      </w:pPr>
      <w:r w:rsidRPr="00A53735">
        <w:rPr>
          <w:szCs w:val="28"/>
        </w:rPr>
        <w:t xml:space="preserve">6.Корпусът на гвардейците на Ислямската революция и силите „Курс“ като институционален център на иранската мрежова стратегия </w:t>
      </w:r>
    </w:p>
    <w:p w14:paraId="23590504" w14:textId="505A6750" w:rsidR="00A53735" w:rsidRPr="00A53735" w:rsidRDefault="00A53735" w:rsidP="00A53735">
      <w:pPr>
        <w:ind w:firstLine="567"/>
        <w:jc w:val="both"/>
        <w:rPr>
          <w:szCs w:val="28"/>
        </w:rPr>
      </w:pPr>
      <w:r w:rsidRPr="00A53735">
        <w:rPr>
          <w:szCs w:val="28"/>
        </w:rPr>
        <w:t>За да бъде разбрана иранската регионална политика, не е достатъчно да се анализират само ядрената програма, ракетният потенциал и отделните прокси структури. Необходимо е да се открои институционалният механизъм, чрез който тези инструменти се свързват в единна стратегическа система. В този смисъл централно място заема Корпусът на гвардейците на Ислямската революция, а в рамките на неговата външна дейност особено значение имат силите „Кудс“.</w:t>
      </w:r>
    </w:p>
    <w:p w14:paraId="29224259" w14:textId="547D045E" w:rsidR="00A53735" w:rsidRPr="00A25241" w:rsidRDefault="00A53735" w:rsidP="00A53735">
      <w:pPr>
        <w:ind w:firstLine="567"/>
        <w:jc w:val="both"/>
        <w:rPr>
          <w:szCs w:val="28"/>
          <w:lang w:val="ru-RU"/>
        </w:rPr>
      </w:pPr>
      <w:r w:rsidRPr="00A53735">
        <w:rPr>
          <w:szCs w:val="28"/>
        </w:rPr>
        <w:t xml:space="preserve">Корпусът на гвардейците на Ислямската революция възниква след Ислямската революция от 1979 г. като структура, предназначена да защитава не само териториалната цялост на държавата, но и самия революционен характер на режима. Това го отличава от класическата армия. Докато редовните въоръжени сили имат по-традиционна отбранителна функция, КСИР съчетава военни, идеологически, политически, икономически и разузнавателни функции. Именно тази многофункционалност, превръща корпуса в един от основните стълбове на държавната устойчивост на Ислямската република. </w:t>
      </w:r>
      <w:r w:rsidR="006B0639" w:rsidRPr="00A25241">
        <w:rPr>
          <w:szCs w:val="28"/>
          <w:lang w:val="ru-RU"/>
        </w:rPr>
        <w:t>[10]</w:t>
      </w:r>
    </w:p>
    <w:p w14:paraId="22580648" w14:textId="14E76C2D" w:rsidR="00A53735" w:rsidRPr="00A25241" w:rsidRDefault="00A53735" w:rsidP="00A53735">
      <w:pPr>
        <w:ind w:firstLine="567"/>
        <w:jc w:val="both"/>
        <w:rPr>
          <w:szCs w:val="28"/>
          <w:lang w:val="ru-RU"/>
        </w:rPr>
      </w:pPr>
      <w:r w:rsidRPr="00A53735">
        <w:rPr>
          <w:szCs w:val="28"/>
        </w:rPr>
        <w:t xml:space="preserve">Силите „Кудс“ представляват външното оперативно направление на КСИР. Тяхната роля е свързана с изграждане, поддържане и координиране на иранските връзки с партньорски въоръжени актьори извън територията на Иран. Тази дейност включва обучение, снабдяваме, оперативно консултиране, логистична подкрепа, трансфер на технологии, политическа координация и стратегическо насочване. Чрез силите „Кудс“ Иран превръща своите идеологически и геополитически съюзи в реална мрежа за регионално въздействие. </w:t>
      </w:r>
      <w:r w:rsidR="006B0639" w:rsidRPr="00A25241">
        <w:rPr>
          <w:szCs w:val="28"/>
          <w:lang w:val="ru-RU"/>
        </w:rPr>
        <w:t>[11]</w:t>
      </w:r>
    </w:p>
    <w:p w14:paraId="25F5C99B" w14:textId="2CEDE3C4" w:rsidR="00A53735" w:rsidRPr="00A53735" w:rsidRDefault="00A53735" w:rsidP="00A53735">
      <w:pPr>
        <w:ind w:firstLine="567"/>
        <w:jc w:val="both"/>
        <w:rPr>
          <w:szCs w:val="28"/>
        </w:rPr>
      </w:pPr>
      <w:r w:rsidRPr="00A53735">
        <w:rPr>
          <w:szCs w:val="28"/>
        </w:rPr>
        <w:t xml:space="preserve">Особеността на този модел е, че той не разчита единствено на формални междудържавни съюзи. Иранската регионална стратегия използва гъвкава система от партньорства с милиции, политико-военни движения, религиозно мотивирани групи, местни въоръжени формирования и организации, които имат различна степен на зависимост от Техеран. Някои от тези актьори са тясно интегрирани в иранската стратегическа архитектура, докато други запазват значителна автономия и действат според собствената си локална логика. Това прави мрежата едновременно устойчива и трудна за централизирано управление. </w:t>
      </w:r>
    </w:p>
    <w:p w14:paraId="614403CB" w14:textId="7E98F170" w:rsidR="00A53735" w:rsidRPr="00A53735" w:rsidRDefault="00A53735" w:rsidP="00A53735">
      <w:pPr>
        <w:ind w:firstLine="567"/>
        <w:jc w:val="both"/>
        <w:rPr>
          <w:szCs w:val="28"/>
        </w:rPr>
      </w:pPr>
      <w:r w:rsidRPr="00A53735">
        <w:rPr>
          <w:szCs w:val="28"/>
        </w:rPr>
        <w:t>КСИР и силите „Кудс“ изпълняват няколко основни функции в тази архитектура. Първата е изграждането на стратегическа дълбочина. Чрез партньорски формирования в Ливан, Сирия, Ирак, Йемен и палестинските територии Иран изнася линията на противопоставяне далеч извън собствените си граници. По този начин евентуалната война срещу Иран не остава ограничена до иранска територия, а може да произведе реакции в множество регионални точки.</w:t>
      </w:r>
    </w:p>
    <w:p w14:paraId="09525D57" w14:textId="7DE41278" w:rsidR="00A53735" w:rsidRPr="00A53735" w:rsidRDefault="00A53735" w:rsidP="00A53735">
      <w:pPr>
        <w:ind w:firstLine="567"/>
        <w:jc w:val="both"/>
        <w:rPr>
          <w:szCs w:val="28"/>
        </w:rPr>
      </w:pPr>
      <w:r w:rsidRPr="00A53735">
        <w:rPr>
          <w:szCs w:val="28"/>
        </w:rPr>
        <w:t>Втората функция е оперативното разсейване на противника. Израел, САЩ и техните партньори не са изправени само срещу една държава, а срещу мрежа от актьори, които могат да оказват натиск на различни направления. Това създава сложна оперативна среда, в която противникът трябва да разпределя сили, средства за разузнаване, противовъздушна отбрана, дипломатически ресурс и политическо внимание върху няколко едновременно активни театъра.</w:t>
      </w:r>
    </w:p>
    <w:p w14:paraId="37D376DF" w14:textId="34026C57" w:rsidR="00A53735" w:rsidRPr="00A53735" w:rsidRDefault="00A53735" w:rsidP="00A53735">
      <w:pPr>
        <w:ind w:firstLine="567"/>
        <w:jc w:val="both"/>
        <w:rPr>
          <w:szCs w:val="28"/>
        </w:rPr>
      </w:pPr>
      <w:r w:rsidRPr="00A53735">
        <w:rPr>
          <w:szCs w:val="28"/>
        </w:rPr>
        <w:t>Третата функция е възможността за контролирана двусмисленост. Чрез своите партньорски структури Иран може да поддържа натиск върху противниците си, без във всеки случай да поема пряка отговорност за конкретно действие. Тази двусмисленост има важно значение, защото позволява на Техеран да балансира между ескалация и отричане, между въздействие и формално дистанциране, между политическо послание и военна операция.</w:t>
      </w:r>
    </w:p>
    <w:p w14:paraId="46841F8E" w14:textId="7DAC57A9" w:rsidR="00A53735" w:rsidRPr="00A53735" w:rsidRDefault="00A53735" w:rsidP="00A53735">
      <w:pPr>
        <w:ind w:firstLine="567"/>
        <w:jc w:val="both"/>
        <w:rPr>
          <w:szCs w:val="28"/>
        </w:rPr>
      </w:pPr>
      <w:r w:rsidRPr="00A53735">
        <w:rPr>
          <w:szCs w:val="28"/>
        </w:rPr>
        <w:t>Четвъртата функция е трансферът на способности. КСИР и силите „Кудс“ не предоставят само оръжие. Те изграждат капацитет. Това включва обучение на кадри, създаване на логистични канали, подобряване на комуникационни способности, предоставяне на компоненти за ракети и дронове, споделяне на тактически опит и подпомагане на местно производство или сглобяване на оръжейни системи. Именно това превръща отделните прокси актьори не просто в получатели на иранска помощ, а в относително устойчиви военнополитически структури.</w:t>
      </w:r>
    </w:p>
    <w:p w14:paraId="55BB5C8E" w14:textId="7B770388" w:rsidR="00A53735" w:rsidRPr="00A53735" w:rsidRDefault="00A53735" w:rsidP="00A53735">
      <w:pPr>
        <w:ind w:firstLine="567"/>
        <w:jc w:val="both"/>
        <w:rPr>
          <w:szCs w:val="28"/>
        </w:rPr>
      </w:pPr>
      <w:r w:rsidRPr="00A53735">
        <w:rPr>
          <w:szCs w:val="28"/>
        </w:rPr>
        <w:t>В същото време тази архитектура съдържа и сериозни рискове за самия Иран. Колкото по-широка е мрежата, толкова по-трудно става нейното пълно управление. Отделни групировки могат да предприемат действия, които съответстват на техните локални цели, но не съвпадат напълно с моментния интерес на Техеран. Това създава риск от непредвидима ескалация, при която действие на партньорска структура може да бъде прието от противника като директно иранско решение.</w:t>
      </w:r>
    </w:p>
    <w:p w14:paraId="0FDAA8DA" w14:textId="76E25884" w:rsidR="00A53735" w:rsidRPr="00A25241" w:rsidRDefault="00A53735" w:rsidP="00A53735">
      <w:pPr>
        <w:ind w:firstLine="567"/>
        <w:jc w:val="both"/>
        <w:rPr>
          <w:szCs w:val="28"/>
          <w:lang w:val="ru-RU"/>
        </w:rPr>
      </w:pPr>
      <w:r w:rsidRPr="00A53735">
        <w:rPr>
          <w:szCs w:val="28"/>
        </w:rPr>
        <w:t xml:space="preserve">Допълнителен проблем е зависимостта на иранската стратегия от ключови командири, логистични посредници и политически връзки. Убийството на генерал Касем Солеймани през 2020 г. показва, че персоналният фактор има голямо значение за функционирането на тази мрежа. Солеймани не беше просто военен командир, а стратегически посредник между Иран и неговите партньори. След неговата смърт Техеран запази способността си за регионално взаимодействие, но мрежата загуби част от личния авторитет, координационната гъвкавост и символния капитал, които той олицетворяваше. </w:t>
      </w:r>
      <w:r w:rsidR="006B0639" w:rsidRPr="00A25241">
        <w:rPr>
          <w:szCs w:val="28"/>
          <w:lang w:val="ru-RU"/>
        </w:rPr>
        <w:t>[12]</w:t>
      </w:r>
    </w:p>
    <w:p w14:paraId="528C70EF" w14:textId="6B04D6C3" w:rsidR="00A53735" w:rsidRPr="00A25241" w:rsidRDefault="00A53735" w:rsidP="00A53735">
      <w:pPr>
        <w:ind w:firstLine="567"/>
        <w:jc w:val="both"/>
        <w:rPr>
          <w:szCs w:val="28"/>
          <w:lang w:val="ru-RU"/>
        </w:rPr>
      </w:pPr>
      <w:r w:rsidRPr="00A53735">
        <w:rPr>
          <w:szCs w:val="28"/>
        </w:rPr>
        <w:t xml:space="preserve">След 2023 г. иранската прокси архитектура е подложена на допълнителен натиск. Военните действия в Газа, ударите срещу „Хизбула“, отслабването на отделни партньорски структури и промените в Сирия показват, че мрежата не е неуязвима. Тя остава значим инструмент на иранската регионална политика, но вече функционира в по-сложна и по-рискова среда. Това изисква по-внимателна оценка: Иранската мрежа не трябва да бъде подценявана, но не трябва и да бъде представяна като напълно монолитна или безусловно контролирана система. </w:t>
      </w:r>
      <w:r w:rsidR="006B0639" w:rsidRPr="00A25241">
        <w:rPr>
          <w:szCs w:val="28"/>
          <w:lang w:val="ru-RU"/>
        </w:rPr>
        <w:t>[13]</w:t>
      </w:r>
    </w:p>
    <w:p w14:paraId="70D57470" w14:textId="7C5E0416" w:rsidR="00A53735" w:rsidRPr="00A53735" w:rsidRDefault="00A53735" w:rsidP="00A53735">
      <w:pPr>
        <w:ind w:firstLine="567"/>
        <w:jc w:val="both"/>
        <w:rPr>
          <w:szCs w:val="28"/>
        </w:rPr>
      </w:pPr>
      <w:r w:rsidRPr="00A53735">
        <w:rPr>
          <w:szCs w:val="28"/>
        </w:rPr>
        <w:t>От гледна точка на регионалната сигурност КСИР и силите „Кудс“ са именно онзи институционален център, чрез който Иран превръща ограничените си конвенционални ресурси в широка система за стратегическо въздействие. Тяхната роля показва, че иранската сила не е само в наличието на ракети, дронове или ядрена инфраструктура. Тя е и в способността на режима да организира, координира и поддържа мрежа от партньорски актьори, които действат в различни конфликтни зони, но обслужват общата логика на иранското възпиране.</w:t>
      </w:r>
    </w:p>
    <w:p w14:paraId="47E0D0F1" w14:textId="67A81D7D" w:rsidR="00A53735" w:rsidRPr="00A53735" w:rsidRDefault="00A53735" w:rsidP="00A53735">
      <w:pPr>
        <w:ind w:firstLine="567"/>
        <w:jc w:val="both"/>
        <w:rPr>
          <w:szCs w:val="28"/>
        </w:rPr>
      </w:pPr>
      <w:r w:rsidRPr="00A53735">
        <w:rPr>
          <w:szCs w:val="28"/>
        </w:rPr>
        <w:t>Следователно КСИР и силите „Кудс“ трябва да бъдат разглеждани като свързващото звено между вътрешната сигурност на режима и външната му регионална проекция. Те защитават режима не само чрез вътрешен контрол, но и чрез изнасяне на конфликта навън. Това е една от причините Иран да бъде толкова устойчив актьор в Близкия изток, въпреки санкциите, военния натиск и технологичните ограничения.</w:t>
      </w:r>
    </w:p>
    <w:p w14:paraId="59DC566A" w14:textId="29484A8C" w:rsidR="00A53735" w:rsidRPr="00A53735" w:rsidRDefault="00A53735" w:rsidP="00A53735">
      <w:pPr>
        <w:ind w:firstLine="567"/>
        <w:jc w:val="both"/>
        <w:rPr>
          <w:szCs w:val="28"/>
        </w:rPr>
      </w:pPr>
      <w:r w:rsidRPr="00A53735">
        <w:rPr>
          <w:szCs w:val="28"/>
        </w:rPr>
        <w:t>7.</w:t>
      </w:r>
      <w:r w:rsidR="00A25241">
        <w:rPr>
          <w:szCs w:val="28"/>
        </w:rPr>
        <w:t xml:space="preserve"> </w:t>
      </w:r>
      <w:r w:rsidRPr="00A53735">
        <w:rPr>
          <w:szCs w:val="28"/>
        </w:rPr>
        <w:t>Криза на възпиране и риск от регионална война</w:t>
      </w:r>
    </w:p>
    <w:p w14:paraId="74EBF433" w14:textId="7A32A9A6" w:rsidR="00A53735" w:rsidRPr="00A53735" w:rsidRDefault="00A53735" w:rsidP="00A53735">
      <w:pPr>
        <w:ind w:firstLine="567"/>
        <w:jc w:val="both"/>
        <w:rPr>
          <w:szCs w:val="28"/>
        </w:rPr>
      </w:pPr>
      <w:r w:rsidRPr="00A53735">
        <w:rPr>
          <w:szCs w:val="28"/>
        </w:rPr>
        <w:t>Иранският модел на сигурност се основава на възпирането, но именно възпирането се превръща в източник на ескалация. За Техеран ядрената програма, ракетите, дроновете и прокси мрежите са гаранция срещу външна агресия и опит за смяна на режима. За Израел, САЩ и част от регионалните партньори същите тези способности се възприемат като заплаха, която позволява на Иран да разширява влиянието си и да упражнява принуда.</w:t>
      </w:r>
    </w:p>
    <w:p w14:paraId="1B04449C" w14:textId="77777777" w:rsidR="00A53735" w:rsidRPr="00A53735" w:rsidRDefault="00A53735" w:rsidP="00A53735">
      <w:pPr>
        <w:ind w:firstLine="567"/>
        <w:jc w:val="both"/>
        <w:rPr>
          <w:szCs w:val="28"/>
        </w:rPr>
      </w:pPr>
      <w:r w:rsidRPr="00A53735">
        <w:rPr>
          <w:szCs w:val="28"/>
        </w:rPr>
        <w:t xml:space="preserve">  Така се формира класически проблем на сигурността. Една държава натрупва способности, защото се чувства застрашена. Техните противници тълкуват това натрупване като подготовка за агресивно поведение. В отговор те засилват собственото си военно присъствие, санкции, разузнавателни операции и превантивно планиране. Първата държава приема това като доказателство, че заплахата срещу нея е реална, и ускорява собствените си програми. Резултатът е спирала на недоверие.</w:t>
      </w:r>
    </w:p>
    <w:p w14:paraId="0DC8E6B9" w14:textId="79F78693" w:rsidR="00A53735" w:rsidRPr="00A53735" w:rsidRDefault="00A53735" w:rsidP="00A53735">
      <w:pPr>
        <w:ind w:firstLine="567"/>
        <w:jc w:val="both"/>
        <w:rPr>
          <w:szCs w:val="28"/>
        </w:rPr>
      </w:pPr>
      <w:r w:rsidRPr="00A53735">
        <w:rPr>
          <w:szCs w:val="28"/>
        </w:rPr>
        <w:t>В случая с Иран тази спирала е особено опасна, защото съчетава нива на конфликта. Ядрената програма създава стратегическо напрежение. Ракетите и дроновете създават оперативна заплаха. Прокси мрежите разширяват конфликта към други държави. Морските коридори и енергийната инфраструктура добавят глобално икономическо измерение. Затова войната с Иран или около Иран не може да бъде ограничена до един фронт или една двойка противници.</w:t>
      </w:r>
    </w:p>
    <w:p w14:paraId="6F47F6B6" w14:textId="26643F17" w:rsidR="00A53735" w:rsidRPr="00A53735" w:rsidRDefault="00A53735" w:rsidP="00A53735">
      <w:pPr>
        <w:ind w:firstLine="567"/>
        <w:jc w:val="both"/>
        <w:rPr>
          <w:szCs w:val="28"/>
        </w:rPr>
      </w:pPr>
      <w:r w:rsidRPr="00A53735">
        <w:rPr>
          <w:szCs w:val="28"/>
        </w:rPr>
        <w:t>Съществен проблем е и възможността за погрешна оценка. Иран може да смята, че ограничена прокси атака ще остане под прага на голяма война. Израел или САЩ могат да решат, че подобна атака е част от координирана стратегия и да отговарят директно срещу ирански цели. Прокси група може да действа по местна логика, но ефектът от нейното действие да бъде приписан на Техеран. В подобна среда границата между контролирана ескалация и широк конфликт става нестабилна.</w:t>
      </w:r>
    </w:p>
    <w:p w14:paraId="7868A725" w14:textId="0BC4DD0D" w:rsidR="00A53735" w:rsidRPr="00A53735" w:rsidRDefault="00A53735" w:rsidP="00A53735">
      <w:pPr>
        <w:ind w:firstLine="567"/>
        <w:jc w:val="both"/>
        <w:rPr>
          <w:szCs w:val="28"/>
        </w:rPr>
      </w:pPr>
      <w:r w:rsidRPr="00A53735">
        <w:rPr>
          <w:szCs w:val="28"/>
        </w:rPr>
        <w:t>8.Иран като мрежов стратегически актьор</w:t>
      </w:r>
    </w:p>
    <w:p w14:paraId="61E11E24" w14:textId="01051F6C" w:rsidR="00A53735" w:rsidRPr="00A53735" w:rsidRDefault="00A53735" w:rsidP="00A53735">
      <w:pPr>
        <w:ind w:firstLine="567"/>
        <w:jc w:val="both"/>
        <w:rPr>
          <w:szCs w:val="28"/>
        </w:rPr>
      </w:pPr>
      <w:r w:rsidRPr="00A53735">
        <w:rPr>
          <w:szCs w:val="28"/>
        </w:rPr>
        <w:t>Иран трябва да бъде анализиран не само като държава с армия, територия и институции, а като мрежов стратегически актьор. Това означава, че неговата сила не произтича само от вътрешния военен потенциал, а от способността да свързва различни форми на влияние: идеология, религиозни връзки, военни технологии, нелегални канали, санкционна икономика, логистични маршрути и въоръжени партньори.</w:t>
      </w:r>
    </w:p>
    <w:p w14:paraId="144E33E8" w14:textId="4DA9FB43" w:rsidR="00A53735" w:rsidRPr="00A53735" w:rsidRDefault="00A53735" w:rsidP="00A53735">
      <w:pPr>
        <w:ind w:firstLine="567"/>
        <w:jc w:val="both"/>
        <w:rPr>
          <w:szCs w:val="28"/>
        </w:rPr>
      </w:pPr>
      <w:r w:rsidRPr="00A53735">
        <w:rPr>
          <w:szCs w:val="28"/>
        </w:rPr>
        <w:t>Chatham House посочва, че иранската „ос на съпротива“ не следва да бъде разбирана единствено през военната координация. Тя функционира и чрез финансови, енергийни, логистични и неформални икономически връзки, които преминават отвъд класическите държавни граници.</w:t>
      </w:r>
      <w:r w:rsidR="006B0639" w:rsidRPr="00A25241">
        <w:rPr>
          <w:szCs w:val="28"/>
          <w:lang w:val="ru-RU"/>
        </w:rPr>
        <w:t>[14]</w:t>
      </w:r>
      <w:r w:rsidRPr="00A53735">
        <w:rPr>
          <w:szCs w:val="28"/>
        </w:rPr>
        <w:t xml:space="preserve"> Това е особено важно за разбирането на устойчивостта на иранското влияние. Дори когато дадена въоръжена група понесе военни загуби, мрежата може да се адаптира чрез други канали.</w:t>
      </w:r>
    </w:p>
    <w:p w14:paraId="41C8C285" w14:textId="77777777" w:rsidR="00A53735" w:rsidRPr="00A53735" w:rsidRDefault="00A53735" w:rsidP="00A53735">
      <w:pPr>
        <w:ind w:firstLine="567"/>
        <w:jc w:val="both"/>
        <w:rPr>
          <w:szCs w:val="28"/>
        </w:rPr>
      </w:pPr>
      <w:r w:rsidRPr="00A53735">
        <w:rPr>
          <w:szCs w:val="28"/>
        </w:rPr>
        <w:t>Заключение</w:t>
      </w:r>
    </w:p>
    <w:p w14:paraId="4DDB34BE" w14:textId="5219B863" w:rsidR="00A53735" w:rsidRPr="00A53735" w:rsidRDefault="00A53735" w:rsidP="00A53735">
      <w:pPr>
        <w:ind w:firstLine="567"/>
        <w:jc w:val="both"/>
        <w:rPr>
          <w:szCs w:val="28"/>
        </w:rPr>
      </w:pPr>
      <w:r w:rsidRPr="00A53735">
        <w:rPr>
          <w:szCs w:val="28"/>
        </w:rPr>
        <w:t>Иран е централен възел на регионалната ескалация, защото съчетава няколко типа сила. Ядрената програма създава стратегическа неопределеност и възможност за прагова позиция. Балистичните и крилатите ракети компенсират ограниченията на конвенционалната военна мощ. Безпилотните системи осигуряват евтино, гъвкаво и масирано средство за въздействие. Прокси мрежите разширяват иранското влияние отвъд националните граници и превръщат регионалната сигурност в система от взаимосвързани кризи.</w:t>
      </w:r>
    </w:p>
    <w:p w14:paraId="6D83415A" w14:textId="4A77646E" w:rsidR="00A53735" w:rsidRPr="00A53735" w:rsidRDefault="00A53735" w:rsidP="00A53735">
      <w:pPr>
        <w:ind w:firstLine="567"/>
        <w:jc w:val="both"/>
        <w:rPr>
          <w:szCs w:val="28"/>
        </w:rPr>
      </w:pPr>
      <w:r w:rsidRPr="00A53735">
        <w:rPr>
          <w:szCs w:val="28"/>
        </w:rPr>
        <w:t>Основният извод е, че иранската сила не трябва да бъде оценявана само чрез броя на ракетите, количеството обогатен уран или числеността на въоръжените сили. Тя трябва да бъде разбирана като комбинация от материални, асиметрични, идеологически и мрежови инструменти. Именно тази комбинация превръща Иран в устойчив фактор на регионалната несигурност.</w:t>
      </w:r>
    </w:p>
    <w:p w14:paraId="5F6EFBDA" w14:textId="0A5034A3" w:rsidR="00A53735" w:rsidRPr="00A53735" w:rsidRDefault="00A53735" w:rsidP="00A53735">
      <w:pPr>
        <w:ind w:firstLine="567"/>
        <w:jc w:val="both"/>
        <w:rPr>
          <w:szCs w:val="28"/>
        </w:rPr>
      </w:pPr>
      <w:r w:rsidRPr="00A53735">
        <w:rPr>
          <w:szCs w:val="28"/>
        </w:rPr>
        <w:t>В същото време иранският модел носи собствени ограничения. Прокси мрежите могат да се фрагментират. Дроновите и ракетните атаки могат да предизвикат ответни удари. Ядрената неопределеност може да доведе до превантивна логика от страна на противниците. Следователно Иранската ислямска република не просто използва възпирането, а участва в криза на възпирането, при която всеки защитен ход се възприема от друга страна като агресивна подготовка.</w:t>
      </w:r>
    </w:p>
    <w:p w14:paraId="3FC0B23D" w14:textId="158FEE2D" w:rsidR="00A53735" w:rsidRPr="00A53735" w:rsidRDefault="00A53735" w:rsidP="00A53735">
      <w:pPr>
        <w:ind w:firstLine="567"/>
        <w:jc w:val="both"/>
        <w:rPr>
          <w:szCs w:val="28"/>
        </w:rPr>
      </w:pPr>
      <w:r w:rsidRPr="00A53735">
        <w:rPr>
          <w:szCs w:val="28"/>
        </w:rPr>
        <w:t>Това е причината конфликтът около Иран да бъде един от най-опасните възли на съвременната международна сигурност. Той обединява ядрена политика, ракетни технологии, безпилотни системи, недържавни въоръжени актьори и регионални баланси. Именно в тази сложна взаимовръзка трябва да се търси реалното значение на Иран като стратегически актьор в Близкия изток.</w:t>
      </w: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5479E65F" w14:textId="58BFD211" w:rsidR="006A7C1E" w:rsidRPr="00A25241" w:rsidRDefault="007041A3" w:rsidP="003004BD">
      <w:pPr>
        <w:ind w:firstLine="567"/>
        <w:jc w:val="both"/>
        <w:rPr>
          <w:szCs w:val="28"/>
          <w:lang w:val="en-US"/>
        </w:rPr>
      </w:pPr>
      <w:r>
        <w:rPr>
          <w:szCs w:val="28"/>
          <w:lang w:val="en-US"/>
        </w:rPr>
        <w:t>[</w:t>
      </w:r>
      <w:r w:rsidR="00694543">
        <w:rPr>
          <w:szCs w:val="28"/>
          <w:lang w:val="en-US"/>
        </w:rPr>
        <w:t>1</w:t>
      </w:r>
      <w:r>
        <w:rPr>
          <w:szCs w:val="28"/>
          <w:lang w:val="en-US"/>
        </w:rPr>
        <w:t>]</w:t>
      </w:r>
      <w:r w:rsidR="00694543">
        <w:rPr>
          <w:szCs w:val="28"/>
          <w:lang w:val="en-US"/>
        </w:rPr>
        <w:t xml:space="preserve"> </w:t>
      </w:r>
      <w:r w:rsidR="006B0639" w:rsidRPr="006B0639">
        <w:rPr>
          <w:bCs/>
          <w:lang w:val="en-US"/>
        </w:rPr>
        <w:t>BUZAN, Barry; Weaver, Ole. Regions and Power: The Structure of International Security. Cambridge: Cambridge university Press, 2003, p. 44-45.</w:t>
      </w:r>
    </w:p>
    <w:p w14:paraId="65098A41" w14:textId="57CB0D16" w:rsidR="006A7C1E" w:rsidRPr="00F64D1C" w:rsidRDefault="007041A3" w:rsidP="003004BD">
      <w:pPr>
        <w:ind w:firstLine="567"/>
        <w:jc w:val="both"/>
        <w:rPr>
          <w:szCs w:val="28"/>
          <w:lang w:val="en-US"/>
        </w:rPr>
      </w:pPr>
      <w:r w:rsidRPr="00A25241">
        <w:rPr>
          <w:szCs w:val="28"/>
          <w:lang w:val="en-US"/>
        </w:rPr>
        <w:t>[</w:t>
      </w:r>
      <w:r w:rsidR="00694543" w:rsidRPr="00A25241">
        <w:rPr>
          <w:szCs w:val="28"/>
          <w:lang w:val="en-US"/>
        </w:rPr>
        <w:t>2</w:t>
      </w:r>
      <w:r w:rsidRPr="00A25241">
        <w:rPr>
          <w:szCs w:val="28"/>
          <w:lang w:val="en-US"/>
        </w:rPr>
        <w:t>]</w:t>
      </w:r>
      <w:r w:rsidR="00F64D1C">
        <w:rPr>
          <w:szCs w:val="28"/>
        </w:rPr>
        <w:t xml:space="preserve"> </w:t>
      </w:r>
      <w:r w:rsidR="006B0639" w:rsidRPr="006B0639">
        <w:rPr>
          <w:szCs w:val="28"/>
        </w:rPr>
        <w:t>INTERNATIONAL ATOMIC ENERGY AGENCY. NTP Safeguards Agreement whit the Islamic Republic of Iran. GOV/2025/65. Vienna: IAEA, 12 November 2025, p. 5.</w:t>
      </w:r>
    </w:p>
    <w:p w14:paraId="2538A4FE" w14:textId="72D10AC3" w:rsidR="006A7C1E" w:rsidRPr="00F64D1C" w:rsidRDefault="007041A3" w:rsidP="003004BD">
      <w:pPr>
        <w:ind w:firstLine="567"/>
        <w:jc w:val="both"/>
        <w:rPr>
          <w:szCs w:val="28"/>
        </w:rPr>
      </w:pPr>
      <w:r>
        <w:rPr>
          <w:szCs w:val="28"/>
          <w:lang w:val="en-US"/>
        </w:rPr>
        <w:t>[</w:t>
      </w:r>
      <w:r w:rsidR="00F64D1C">
        <w:rPr>
          <w:szCs w:val="28"/>
        </w:rPr>
        <w:t>3</w:t>
      </w:r>
      <w:r>
        <w:rPr>
          <w:szCs w:val="28"/>
          <w:lang w:val="en-US"/>
        </w:rPr>
        <w:t>]</w:t>
      </w:r>
      <w:r w:rsidR="00F64D1C">
        <w:rPr>
          <w:szCs w:val="28"/>
        </w:rPr>
        <w:t xml:space="preserve"> </w:t>
      </w:r>
      <w:r w:rsidR="006B0639" w:rsidRPr="006B0639">
        <w:rPr>
          <w:i/>
          <w:szCs w:val="28"/>
          <w:lang w:val="en-US"/>
        </w:rPr>
        <w:t>INTERNATIONAL ATOMIC ENERGY AGENCY. NTP Safeguards Agreement whit the Islamic Republic of Iran. GOV/2025/65. Vienna: IAEA, 12 November 2025, p. 5-7.</w:t>
      </w:r>
    </w:p>
    <w:p w14:paraId="6022BC1A" w14:textId="66BF1F1F" w:rsidR="00F64D1C" w:rsidRPr="00925081" w:rsidRDefault="007041A3" w:rsidP="00925081">
      <w:pPr>
        <w:ind w:firstLine="567"/>
        <w:jc w:val="both"/>
        <w:rPr>
          <w:szCs w:val="28"/>
        </w:rPr>
      </w:pPr>
      <w:r w:rsidRPr="00A25241">
        <w:rPr>
          <w:szCs w:val="28"/>
          <w:lang w:val="en-US" w:bidi="bg-BG"/>
        </w:rPr>
        <w:t>[</w:t>
      </w:r>
      <w:r w:rsidR="001F6E53" w:rsidRPr="001F6E53">
        <w:rPr>
          <w:szCs w:val="28"/>
          <w:lang w:bidi="bg-BG"/>
        </w:rPr>
        <w:t>4</w:t>
      </w:r>
      <w:r w:rsidRPr="00A25241">
        <w:rPr>
          <w:szCs w:val="28"/>
          <w:lang w:val="en-US" w:bidi="bg-BG"/>
        </w:rPr>
        <w:t>]</w:t>
      </w:r>
      <w:r w:rsidR="001F6E53">
        <w:rPr>
          <w:szCs w:val="28"/>
        </w:rPr>
        <w:t xml:space="preserve"> </w:t>
      </w:r>
      <w:r w:rsidR="006B0639" w:rsidRPr="006B0639">
        <w:rPr>
          <w:szCs w:val="28"/>
          <w:lang w:bidi="bg-BG"/>
        </w:rPr>
        <w:t>DEFENSE INTELLIGENCE AGENCY. Iran Military Power: Ensuring Regime Survival and Security Regional Dominance. Washington, D.C.: Defense Intelligence Agency, 2019, p. 30-31.</w:t>
      </w:r>
    </w:p>
    <w:p w14:paraId="2C864CEA" w14:textId="77777777" w:rsidR="006B0639" w:rsidRDefault="007041A3" w:rsidP="003004BD">
      <w:pPr>
        <w:ind w:firstLine="567"/>
        <w:jc w:val="both"/>
        <w:rPr>
          <w:szCs w:val="28"/>
          <w:lang w:val="en-US"/>
        </w:rPr>
      </w:pPr>
      <w:r w:rsidRPr="00A25241">
        <w:rPr>
          <w:szCs w:val="28"/>
          <w:lang w:val="en-US"/>
        </w:rPr>
        <w:t>[</w:t>
      </w:r>
      <w:r w:rsidR="00B41AF1" w:rsidRPr="00B41AF1">
        <w:rPr>
          <w:szCs w:val="28"/>
        </w:rPr>
        <w:t>5</w:t>
      </w:r>
      <w:r w:rsidRPr="00A25241">
        <w:rPr>
          <w:szCs w:val="28"/>
          <w:lang w:val="en-US"/>
        </w:rPr>
        <w:t>]</w:t>
      </w:r>
      <w:r w:rsidR="00B41AF1">
        <w:rPr>
          <w:szCs w:val="28"/>
        </w:rPr>
        <w:t xml:space="preserve"> </w:t>
      </w:r>
      <w:r w:rsidR="006B0639" w:rsidRPr="006B0639">
        <w:rPr>
          <w:szCs w:val="28"/>
        </w:rPr>
        <w:t xml:space="preserve">OFFICE OF THE DIRECTOR OF NATIONAL INTELLIGENCE. Annual Threat Assessment of the U.S. Intelligence Community. Washington, D.C.: ODNI, 2025, p. 23. </w:t>
      </w:r>
    </w:p>
    <w:p w14:paraId="2CD133BC" w14:textId="4C7240E9" w:rsidR="00B3091F" w:rsidRDefault="007041A3" w:rsidP="003004BD">
      <w:pPr>
        <w:ind w:firstLine="567"/>
        <w:jc w:val="both"/>
        <w:rPr>
          <w:bCs/>
          <w:szCs w:val="28"/>
          <w:lang w:val="en-US"/>
        </w:rPr>
      </w:pPr>
      <w:r w:rsidRPr="00A25241">
        <w:rPr>
          <w:szCs w:val="28"/>
          <w:lang w:val="en-US"/>
        </w:rPr>
        <w:t>[</w:t>
      </w:r>
      <w:r w:rsidR="00B3091F">
        <w:rPr>
          <w:szCs w:val="28"/>
        </w:rPr>
        <w:t>6</w:t>
      </w:r>
      <w:r w:rsidRPr="00A25241">
        <w:rPr>
          <w:szCs w:val="28"/>
          <w:lang w:val="en-US"/>
        </w:rPr>
        <w:t>]</w:t>
      </w:r>
      <w:r w:rsidR="00B3091F">
        <w:rPr>
          <w:szCs w:val="28"/>
        </w:rPr>
        <w:t xml:space="preserve"> </w:t>
      </w:r>
      <w:r w:rsidR="006B0639" w:rsidRPr="006B0639">
        <w:rPr>
          <w:bCs/>
          <w:szCs w:val="28"/>
          <w:lang w:val="en-US"/>
        </w:rPr>
        <w:t>OFFICE OF THE DIRECTOR OF NATIONAL INTELLIGENCE. Annual Threat Assessment of the U.S. intelligence Community. Washington, D.C.: ODNI, 2025, p.23.</w:t>
      </w:r>
    </w:p>
    <w:p w14:paraId="339C82AA" w14:textId="6E7B81E7" w:rsidR="006B0639" w:rsidRDefault="006B0639" w:rsidP="003004BD">
      <w:pPr>
        <w:ind w:firstLine="567"/>
        <w:jc w:val="both"/>
        <w:rPr>
          <w:bCs/>
          <w:szCs w:val="28"/>
          <w:lang w:val="en-US"/>
        </w:rPr>
      </w:pPr>
      <w:r>
        <w:rPr>
          <w:bCs/>
          <w:szCs w:val="28"/>
          <w:lang w:val="en-US"/>
        </w:rPr>
        <w:t>[7]</w:t>
      </w:r>
      <w:r w:rsidRPr="006B0639">
        <w:t xml:space="preserve"> </w:t>
      </w:r>
      <w:r w:rsidRPr="006B0639">
        <w:rPr>
          <w:bCs/>
          <w:szCs w:val="28"/>
          <w:lang w:val="en-US"/>
        </w:rPr>
        <w:t>ROBINSON, Kali; MERROW, Will. Iran’s Regional Armed Network. New York: Council on Foreign Relations. 15 April 2024.</w:t>
      </w:r>
    </w:p>
    <w:p w14:paraId="36DF3ED7" w14:textId="3D8FB689" w:rsidR="006B0639" w:rsidRDefault="006B0639" w:rsidP="003004BD">
      <w:pPr>
        <w:ind w:firstLine="567"/>
        <w:jc w:val="both"/>
        <w:rPr>
          <w:bCs/>
          <w:szCs w:val="28"/>
          <w:lang w:val="en-US"/>
        </w:rPr>
      </w:pPr>
      <w:r>
        <w:rPr>
          <w:bCs/>
          <w:szCs w:val="28"/>
          <w:lang w:val="en-US"/>
        </w:rPr>
        <w:t>[8]</w:t>
      </w:r>
      <w:r w:rsidRPr="006B0639">
        <w:t xml:space="preserve"> </w:t>
      </w:r>
      <w:r w:rsidRPr="006B0639">
        <w:rPr>
          <w:bCs/>
          <w:szCs w:val="28"/>
          <w:lang w:val="en-US"/>
        </w:rPr>
        <w:t>MALONEY, Suzanne. Tehran’s Shadow Army: Addressing Iran’s Proxy Network in the Middle East. Written Statement before the Senate Foreign Relations Committee. Washington, D.C.: United States Senate Committee on Foreign Relations, 28 February 2024, p. 1-3.</w:t>
      </w:r>
    </w:p>
    <w:p w14:paraId="24121305" w14:textId="70E7DC14" w:rsidR="006B0639" w:rsidRDefault="006B0639" w:rsidP="003004BD">
      <w:pPr>
        <w:ind w:firstLine="567"/>
        <w:jc w:val="both"/>
        <w:rPr>
          <w:bCs/>
          <w:szCs w:val="28"/>
          <w:lang w:val="en-US"/>
        </w:rPr>
      </w:pPr>
      <w:r>
        <w:rPr>
          <w:bCs/>
          <w:szCs w:val="28"/>
          <w:lang w:val="en-US"/>
        </w:rPr>
        <w:t>[9]</w:t>
      </w:r>
      <w:r w:rsidRPr="006B0639">
        <w:t xml:space="preserve"> </w:t>
      </w:r>
      <w:r w:rsidRPr="006B0639">
        <w:rPr>
          <w:bCs/>
          <w:szCs w:val="28"/>
          <w:lang w:val="en-US"/>
        </w:rPr>
        <w:t>BELFER CENTER FOR SCIENCE AND INTERNATIONAL AFFAIRS. The Degradation of Iran’s Proxy Model. Cambridge. MA: Harvard Kennedy School. 6 April 2026.</w:t>
      </w:r>
    </w:p>
    <w:p w14:paraId="48376138" w14:textId="0F4F9307" w:rsidR="006B0639" w:rsidRDefault="006B0639" w:rsidP="003004BD">
      <w:pPr>
        <w:ind w:firstLine="567"/>
        <w:jc w:val="both"/>
        <w:rPr>
          <w:bCs/>
          <w:szCs w:val="28"/>
          <w:lang w:val="en-US"/>
        </w:rPr>
      </w:pPr>
      <w:r>
        <w:rPr>
          <w:bCs/>
          <w:szCs w:val="28"/>
          <w:lang w:val="en-US"/>
        </w:rPr>
        <w:t>[10]</w:t>
      </w:r>
      <w:r w:rsidRPr="006B0639">
        <w:t xml:space="preserve"> </w:t>
      </w:r>
      <w:r w:rsidRPr="006B0639">
        <w:rPr>
          <w:bCs/>
          <w:szCs w:val="28"/>
          <w:lang w:val="en-US"/>
        </w:rPr>
        <w:t>COUNCIL ON FOREIGN RELATIONS. The Islamic Revolutionary Guard Corps (IRGC). New York: Council on Foreign Relations. 30 January 2026.</w:t>
      </w:r>
    </w:p>
    <w:p w14:paraId="3DB67DFF" w14:textId="77DC21A8" w:rsidR="006B0639" w:rsidRDefault="006B0639" w:rsidP="003004BD">
      <w:pPr>
        <w:ind w:firstLine="567"/>
        <w:jc w:val="both"/>
        <w:rPr>
          <w:bCs/>
          <w:szCs w:val="28"/>
          <w:lang w:val="en-US"/>
        </w:rPr>
      </w:pPr>
      <w:r>
        <w:rPr>
          <w:bCs/>
          <w:szCs w:val="28"/>
          <w:lang w:val="en-US"/>
        </w:rPr>
        <w:t>[11]</w:t>
      </w:r>
      <w:r w:rsidRPr="006B0639">
        <w:t xml:space="preserve"> </w:t>
      </w:r>
      <w:r w:rsidRPr="006B0639">
        <w:rPr>
          <w:bCs/>
          <w:szCs w:val="28"/>
          <w:lang w:val="en-US"/>
        </w:rPr>
        <w:t>DEFENSE INTELLIGENCE AGENCY. Iran Military Power: Ensuring Regime Survival and Security Regional Dominance. Washington, D.C.: Defense Intelligence Agency, 2019, p. 16-17.</w:t>
      </w:r>
    </w:p>
    <w:p w14:paraId="61A433D1" w14:textId="6C9D1CD0" w:rsidR="006B0639" w:rsidRDefault="006B0639" w:rsidP="003004BD">
      <w:pPr>
        <w:ind w:firstLine="567"/>
        <w:jc w:val="both"/>
        <w:rPr>
          <w:bCs/>
          <w:szCs w:val="28"/>
          <w:lang w:val="en-US"/>
        </w:rPr>
      </w:pPr>
      <w:r>
        <w:rPr>
          <w:bCs/>
          <w:szCs w:val="28"/>
          <w:lang w:val="en-US"/>
        </w:rPr>
        <w:t>[12]</w:t>
      </w:r>
      <w:r w:rsidR="00AA50CC" w:rsidRPr="00AA50CC">
        <w:t xml:space="preserve"> </w:t>
      </w:r>
      <w:r w:rsidR="00AA50CC" w:rsidRPr="00AA50CC">
        <w:rPr>
          <w:bCs/>
          <w:szCs w:val="28"/>
          <w:lang w:val="en-US"/>
        </w:rPr>
        <w:t>DEFENSE INTELLIGENCE AGENCY. Iran Military Power: Ensuring Regime Survival and Security Regional Dominance. Washington, D.C.: Defense Intelligence Agency, 2019, p. 17-18.</w:t>
      </w:r>
    </w:p>
    <w:p w14:paraId="30E3F46F" w14:textId="4FC22E46" w:rsidR="00AA50CC" w:rsidRDefault="00AA50CC" w:rsidP="003004BD">
      <w:pPr>
        <w:ind w:firstLine="567"/>
        <w:jc w:val="both"/>
        <w:rPr>
          <w:bCs/>
          <w:szCs w:val="28"/>
          <w:lang w:val="en-US"/>
        </w:rPr>
      </w:pPr>
      <w:r>
        <w:rPr>
          <w:bCs/>
          <w:szCs w:val="28"/>
          <w:lang w:val="en-US"/>
        </w:rPr>
        <w:t>[13]</w:t>
      </w:r>
      <w:r w:rsidRPr="00AA50CC">
        <w:t xml:space="preserve"> </w:t>
      </w:r>
      <w:r w:rsidRPr="00AA50CC">
        <w:rPr>
          <w:bCs/>
          <w:szCs w:val="28"/>
          <w:lang w:val="en-US"/>
        </w:rPr>
        <w:t>ROUTERS. How Iran’s Network of Middle East power Faded. London: Reuters, 12 June 2025.</w:t>
      </w:r>
    </w:p>
    <w:p w14:paraId="3EEA3D3A" w14:textId="77777777" w:rsidR="001F6E53" w:rsidRDefault="001F6E53" w:rsidP="003004BD">
      <w:pPr>
        <w:ind w:firstLine="567"/>
        <w:jc w:val="both"/>
        <w:rPr>
          <w:szCs w:val="28"/>
        </w:rPr>
      </w:pPr>
    </w:p>
    <w:p w14:paraId="71378AE7" w14:textId="77777777" w:rsidR="00A25241" w:rsidRDefault="00A25241" w:rsidP="00A25241">
      <w:pPr>
        <w:ind w:firstLine="567"/>
        <w:jc w:val="both"/>
        <w:rPr>
          <w:szCs w:val="28"/>
        </w:rPr>
      </w:pPr>
    </w:p>
    <w:p w14:paraId="7AD8B33B" w14:textId="77777777" w:rsidR="00A25241" w:rsidRPr="0022685B" w:rsidRDefault="00A25241" w:rsidP="00A25241">
      <w:pPr>
        <w:ind w:firstLine="567"/>
        <w:jc w:val="both"/>
        <w:rPr>
          <w:b/>
          <w:szCs w:val="28"/>
        </w:rPr>
      </w:pPr>
      <w:r w:rsidRPr="0022685B">
        <w:rPr>
          <w:b/>
          <w:szCs w:val="28"/>
        </w:rPr>
        <w:t>ЛИТЕРАТУРА:</w:t>
      </w:r>
    </w:p>
    <w:p w14:paraId="5B72EEFF" w14:textId="4003BAF6" w:rsidR="007B5909" w:rsidRDefault="00A25241" w:rsidP="003004BD">
      <w:pPr>
        <w:ind w:firstLine="567"/>
        <w:jc w:val="both"/>
        <w:rPr>
          <w:szCs w:val="28"/>
        </w:rPr>
      </w:pPr>
      <w:r>
        <w:rPr>
          <w:szCs w:val="28"/>
        </w:rPr>
        <w:t xml:space="preserve">1. </w:t>
      </w:r>
      <w:r w:rsidRPr="006B0639">
        <w:rPr>
          <w:bCs/>
          <w:lang w:val="en-US"/>
        </w:rPr>
        <w:t xml:space="preserve">BUZAN, Barry; Weaver, Ole. </w:t>
      </w:r>
      <w:r w:rsidRPr="00EE63D0">
        <w:rPr>
          <w:bCs/>
          <w:i/>
          <w:iCs/>
          <w:lang w:val="en-US"/>
        </w:rPr>
        <w:t>Regions and Power: The Structure of International Security. Cambridge: Cambridge university Press, 2003</w:t>
      </w:r>
      <w:r w:rsidRPr="006B0639">
        <w:rPr>
          <w:bCs/>
          <w:lang w:val="en-US"/>
        </w:rPr>
        <w:t>, p. 44-45.</w:t>
      </w:r>
    </w:p>
    <w:p w14:paraId="152FC6D4" w14:textId="2501E745" w:rsidR="00A25241" w:rsidRDefault="00A25241" w:rsidP="003004BD">
      <w:pPr>
        <w:ind w:firstLine="567"/>
        <w:jc w:val="both"/>
        <w:rPr>
          <w:szCs w:val="28"/>
        </w:rPr>
      </w:pPr>
      <w:r>
        <w:rPr>
          <w:szCs w:val="28"/>
        </w:rPr>
        <w:t xml:space="preserve">2. </w:t>
      </w:r>
      <w:r w:rsidR="005816B1" w:rsidRPr="006B0639">
        <w:rPr>
          <w:bCs/>
          <w:szCs w:val="28"/>
          <w:lang w:val="en-US"/>
        </w:rPr>
        <w:t xml:space="preserve">ROBINSON, Kali; MERROW, </w:t>
      </w:r>
      <w:r w:rsidR="005816B1" w:rsidRPr="00EE63D0">
        <w:rPr>
          <w:bCs/>
          <w:i/>
          <w:iCs/>
          <w:lang w:val="en-US"/>
        </w:rPr>
        <w:t>Will. Iran’s Regional Armed Network. New York: Council on Foreign Relations</w:t>
      </w:r>
      <w:r w:rsidR="005816B1" w:rsidRPr="006B0639">
        <w:rPr>
          <w:bCs/>
          <w:szCs w:val="28"/>
          <w:lang w:val="en-US"/>
        </w:rPr>
        <w:t>. 15 April 2024.</w:t>
      </w:r>
    </w:p>
    <w:p w14:paraId="58D67C76" w14:textId="63ECBB88" w:rsidR="00A25241" w:rsidRDefault="00A25241" w:rsidP="003004BD">
      <w:pPr>
        <w:ind w:firstLine="567"/>
        <w:jc w:val="both"/>
        <w:rPr>
          <w:szCs w:val="28"/>
          <w:lang w:bidi="bg-BG"/>
        </w:rPr>
      </w:pPr>
      <w:r>
        <w:rPr>
          <w:szCs w:val="28"/>
        </w:rPr>
        <w:t xml:space="preserve">3. </w:t>
      </w:r>
      <w:r w:rsidR="005816B1" w:rsidRPr="006B0639">
        <w:rPr>
          <w:bCs/>
          <w:szCs w:val="28"/>
          <w:lang w:val="en-US"/>
        </w:rPr>
        <w:t xml:space="preserve">MALONEY, Suzanne. </w:t>
      </w:r>
      <w:r w:rsidR="005816B1" w:rsidRPr="00EE63D0">
        <w:rPr>
          <w:bCs/>
          <w:i/>
          <w:iCs/>
          <w:lang w:val="en-US"/>
        </w:rPr>
        <w:t>Tehran’s Shadow Army: Addressing Iran’s Proxy Network in the Middle East. Written Statement before the Senate Foreign Relations Committee. Washington, D.C.: United States Senate Committee on Foreign Relations</w:t>
      </w:r>
      <w:r w:rsidR="005816B1" w:rsidRPr="006B0639">
        <w:rPr>
          <w:bCs/>
          <w:szCs w:val="28"/>
          <w:lang w:val="en-US"/>
        </w:rPr>
        <w:t>, 28 February 2024, p. 1-3.</w:t>
      </w:r>
    </w:p>
    <w:p w14:paraId="1D7F1D1D" w14:textId="77777777" w:rsidR="00A25241" w:rsidRDefault="00A25241" w:rsidP="003004BD">
      <w:pPr>
        <w:ind w:firstLine="567"/>
        <w:jc w:val="both"/>
        <w:rPr>
          <w:szCs w:val="28"/>
        </w:rPr>
      </w:pPr>
    </w:p>
    <w:p w14:paraId="7C3FA055" w14:textId="6D9DC526" w:rsidR="007B5909" w:rsidRPr="00AA50CC" w:rsidRDefault="00AA50CC" w:rsidP="003004BD">
      <w:pPr>
        <w:ind w:firstLine="567"/>
        <w:jc w:val="both"/>
        <w:rPr>
          <w:i/>
          <w:iCs/>
          <w:sz w:val="24"/>
        </w:rPr>
      </w:pPr>
      <w:r>
        <w:rPr>
          <w:i/>
          <w:iCs/>
          <w:sz w:val="24"/>
        </w:rPr>
        <w:t>Дарин Димитров Георгиев</w:t>
      </w:r>
    </w:p>
    <w:p w14:paraId="27805E87" w14:textId="75FB03D9" w:rsidR="007B5909" w:rsidRDefault="00150B21" w:rsidP="003004BD">
      <w:pPr>
        <w:ind w:firstLine="567"/>
        <w:jc w:val="both"/>
        <w:rPr>
          <w:i/>
          <w:iCs/>
          <w:sz w:val="24"/>
        </w:rPr>
      </w:pPr>
      <w:r>
        <w:rPr>
          <w:i/>
          <w:iCs/>
          <w:sz w:val="24"/>
        </w:rPr>
        <w:t xml:space="preserve">НВУ </w:t>
      </w:r>
      <w:r w:rsidR="00D919D9">
        <w:rPr>
          <w:i/>
          <w:iCs/>
          <w:sz w:val="24"/>
        </w:rPr>
        <w:t>“</w:t>
      </w:r>
      <w:r>
        <w:rPr>
          <w:i/>
          <w:iCs/>
          <w:sz w:val="24"/>
        </w:rPr>
        <w:t>Васил Левски</w:t>
      </w:r>
      <w:r w:rsidR="00D919D9">
        <w:rPr>
          <w:i/>
          <w:iCs/>
          <w:sz w:val="24"/>
        </w:rPr>
        <w:t>”</w:t>
      </w:r>
    </w:p>
    <w:p w14:paraId="289ED9F7" w14:textId="151F610E" w:rsidR="00D1767C" w:rsidRPr="00EE63D0" w:rsidRDefault="00AA50CC" w:rsidP="00A25241">
      <w:pPr>
        <w:ind w:firstLine="567"/>
        <w:jc w:val="both"/>
        <w:rPr>
          <w:i/>
          <w:iCs/>
          <w:sz w:val="24"/>
        </w:rPr>
      </w:pPr>
      <w:r>
        <w:rPr>
          <w:i/>
          <w:iCs/>
          <w:sz w:val="24"/>
        </w:rPr>
        <w:t>Гр. Пловдив, ул. Д</w:t>
      </w:r>
      <w:r w:rsidRPr="00EE63D0">
        <w:rPr>
          <w:i/>
          <w:iCs/>
          <w:sz w:val="24"/>
        </w:rPr>
        <w:t>.</w:t>
      </w:r>
      <w:r>
        <w:rPr>
          <w:i/>
          <w:iCs/>
          <w:sz w:val="24"/>
        </w:rPr>
        <w:t xml:space="preserve"> Талев 140</w:t>
      </w:r>
      <w:r w:rsidR="007B5909" w:rsidRPr="007B5909">
        <w:rPr>
          <w:i/>
          <w:iCs/>
          <w:sz w:val="24"/>
        </w:rPr>
        <w:t>, тел</w:t>
      </w:r>
      <w:r>
        <w:rPr>
          <w:i/>
          <w:iCs/>
          <w:sz w:val="24"/>
        </w:rPr>
        <w:t xml:space="preserve">.0886416882, </w:t>
      </w:r>
      <w:r w:rsidR="007B5909" w:rsidRPr="007B5909">
        <w:rPr>
          <w:i/>
          <w:iCs/>
          <w:sz w:val="24"/>
        </w:rPr>
        <w:t>e-mail</w:t>
      </w:r>
      <w:r>
        <w:rPr>
          <w:i/>
          <w:iCs/>
          <w:sz w:val="24"/>
        </w:rPr>
        <w:t>:</w:t>
      </w:r>
      <w:r w:rsidRPr="00EE63D0">
        <w:rPr>
          <w:i/>
          <w:iCs/>
          <w:sz w:val="24"/>
        </w:rPr>
        <w:t>darin.d.georgiev@gmail.com</w:t>
      </w:r>
    </w:p>
    <w:sectPr w:rsidR="00D1767C" w:rsidRPr="00EE63D0" w:rsidSect="00A25241">
      <w:footnotePr>
        <w:numRestart w:val="eachSect"/>
      </w:footnotePr>
      <w:endnotePr>
        <w:numFmt w:val="decimal"/>
      </w:end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61060" w14:textId="77777777" w:rsidR="002B414A" w:rsidRDefault="002B414A" w:rsidP="00A0193A">
      <w:r>
        <w:separator/>
      </w:r>
    </w:p>
  </w:endnote>
  <w:endnote w:type="continuationSeparator" w:id="0">
    <w:p w14:paraId="4E89B107" w14:textId="77777777" w:rsidR="002B414A" w:rsidRDefault="002B414A"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C39160" w14:textId="77777777" w:rsidR="002B414A" w:rsidRDefault="002B414A" w:rsidP="00A0193A">
      <w:r>
        <w:separator/>
      </w:r>
    </w:p>
  </w:footnote>
  <w:footnote w:type="continuationSeparator" w:id="0">
    <w:p w14:paraId="540186F5" w14:textId="77777777" w:rsidR="002B414A" w:rsidRDefault="002B414A"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8"/>
  <w:proofState w:spelling="clean"/>
  <w:defaultTabStop w:val="708"/>
  <w:hyphenationZone w:val="425"/>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57429"/>
    <w:rsid w:val="0007387D"/>
    <w:rsid w:val="000B2FA3"/>
    <w:rsid w:val="00121F6A"/>
    <w:rsid w:val="00124CF7"/>
    <w:rsid w:val="00127C45"/>
    <w:rsid w:val="00150B21"/>
    <w:rsid w:val="001537E6"/>
    <w:rsid w:val="00155CA9"/>
    <w:rsid w:val="001712CF"/>
    <w:rsid w:val="0019028E"/>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2B414A"/>
    <w:rsid w:val="003004BD"/>
    <w:rsid w:val="00371186"/>
    <w:rsid w:val="00377C1C"/>
    <w:rsid w:val="00386A6A"/>
    <w:rsid w:val="00390A80"/>
    <w:rsid w:val="003B1F44"/>
    <w:rsid w:val="003E4E40"/>
    <w:rsid w:val="00415DF1"/>
    <w:rsid w:val="004F589D"/>
    <w:rsid w:val="00503623"/>
    <w:rsid w:val="00534842"/>
    <w:rsid w:val="005816B1"/>
    <w:rsid w:val="005C35F1"/>
    <w:rsid w:val="005D4E61"/>
    <w:rsid w:val="0068049F"/>
    <w:rsid w:val="0068074F"/>
    <w:rsid w:val="00686EAC"/>
    <w:rsid w:val="00694543"/>
    <w:rsid w:val="00696D5A"/>
    <w:rsid w:val="006A7C1E"/>
    <w:rsid w:val="006B0639"/>
    <w:rsid w:val="006D7048"/>
    <w:rsid w:val="006F2052"/>
    <w:rsid w:val="007041A3"/>
    <w:rsid w:val="00710DE2"/>
    <w:rsid w:val="00763C2E"/>
    <w:rsid w:val="0077663F"/>
    <w:rsid w:val="00784825"/>
    <w:rsid w:val="007973BD"/>
    <w:rsid w:val="007B5909"/>
    <w:rsid w:val="007B686C"/>
    <w:rsid w:val="007E2105"/>
    <w:rsid w:val="008129C2"/>
    <w:rsid w:val="008573C1"/>
    <w:rsid w:val="008652CB"/>
    <w:rsid w:val="00877F5E"/>
    <w:rsid w:val="008B22A4"/>
    <w:rsid w:val="008B7B8F"/>
    <w:rsid w:val="008C7A58"/>
    <w:rsid w:val="008D1109"/>
    <w:rsid w:val="009003B5"/>
    <w:rsid w:val="00901270"/>
    <w:rsid w:val="00906ECE"/>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25241"/>
    <w:rsid w:val="00A53735"/>
    <w:rsid w:val="00A86955"/>
    <w:rsid w:val="00A8717A"/>
    <w:rsid w:val="00AA50CC"/>
    <w:rsid w:val="00B245AD"/>
    <w:rsid w:val="00B3091F"/>
    <w:rsid w:val="00B41AF1"/>
    <w:rsid w:val="00B601CF"/>
    <w:rsid w:val="00B87B18"/>
    <w:rsid w:val="00B9433C"/>
    <w:rsid w:val="00B97CDE"/>
    <w:rsid w:val="00BC2FB1"/>
    <w:rsid w:val="00BD084C"/>
    <w:rsid w:val="00C46C28"/>
    <w:rsid w:val="00CA7C37"/>
    <w:rsid w:val="00CB7B8B"/>
    <w:rsid w:val="00CF19F3"/>
    <w:rsid w:val="00D03340"/>
    <w:rsid w:val="00D1767C"/>
    <w:rsid w:val="00D919D9"/>
    <w:rsid w:val="00D940F8"/>
    <w:rsid w:val="00DF315E"/>
    <w:rsid w:val="00E019C5"/>
    <w:rsid w:val="00E0218D"/>
    <w:rsid w:val="00E0714D"/>
    <w:rsid w:val="00E16576"/>
    <w:rsid w:val="00E26ABF"/>
    <w:rsid w:val="00E746D1"/>
    <w:rsid w:val="00E766EE"/>
    <w:rsid w:val="00E8797D"/>
    <w:rsid w:val="00EA28F3"/>
    <w:rsid w:val="00EA48CD"/>
    <w:rsid w:val="00ED1FBC"/>
    <w:rsid w:val="00EE63D0"/>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4012</Words>
  <Characters>22871</Characters>
  <Application>Microsoft Office Word</Application>
  <DocSecurity>0</DocSecurity>
  <Lines>190</Lines>
  <Paragraphs>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Darin Georgiev</cp:lastModifiedBy>
  <cp:revision>8</cp:revision>
  <dcterms:created xsi:type="dcterms:W3CDTF">2026-09-11T12:35:00Z</dcterms:created>
  <dcterms:modified xsi:type="dcterms:W3CDTF">2026-09-19T17:46:00Z</dcterms:modified>
</cp:coreProperties>
</file>