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97D" w:rsidRDefault="00466E9C" w:rsidP="00E019C5">
      <w:pPr>
        <w:jc w:val="center"/>
        <w:rPr>
          <w:b/>
          <w:bCs/>
          <w:sz w:val="32"/>
          <w:szCs w:val="32"/>
        </w:rPr>
      </w:pPr>
      <w:r>
        <w:rPr>
          <w:b/>
          <w:bCs/>
          <w:sz w:val="32"/>
          <w:szCs w:val="32"/>
        </w:rPr>
        <w:t>ПЪРВИЯТ САМУРАЙ</w:t>
      </w:r>
    </w:p>
    <w:p w:rsidR="00466E9C" w:rsidRDefault="00466E9C" w:rsidP="00E019C5">
      <w:pPr>
        <w:jc w:val="center"/>
        <w:rPr>
          <w:b/>
          <w:bCs/>
          <w:sz w:val="32"/>
          <w:szCs w:val="32"/>
        </w:rPr>
      </w:pPr>
      <w:r>
        <w:rPr>
          <w:b/>
          <w:bCs/>
          <w:sz w:val="32"/>
          <w:szCs w:val="32"/>
        </w:rPr>
        <w:t>УЧАСТИЕ И ПРИНОСИ НА САМУРАЯ СЕЙГО ЯМАДЗАВА ОТ САНПОГИРИ, КАГОШИМА В ОСВОБОЖДЕНИЕТО НА БЪЛГАРИЯ</w:t>
      </w:r>
    </w:p>
    <w:p w:rsidR="008D1109" w:rsidRDefault="008D1109" w:rsidP="00E019C5">
      <w:pPr>
        <w:jc w:val="center"/>
        <w:rPr>
          <w:szCs w:val="28"/>
        </w:rPr>
      </w:pPr>
    </w:p>
    <w:p w:rsidR="00520A1E" w:rsidRDefault="00520A1E" w:rsidP="00E019C5">
      <w:pPr>
        <w:jc w:val="center"/>
        <w:rPr>
          <w:szCs w:val="28"/>
        </w:rPr>
      </w:pPr>
    </w:p>
    <w:p w:rsidR="008D1109" w:rsidRDefault="00466E9C" w:rsidP="00E019C5">
      <w:pPr>
        <w:jc w:val="center"/>
        <w:rPr>
          <w:b/>
          <w:bCs/>
          <w:sz w:val="32"/>
          <w:szCs w:val="32"/>
        </w:rPr>
      </w:pPr>
      <w:r>
        <w:rPr>
          <w:b/>
          <w:bCs/>
          <w:sz w:val="32"/>
          <w:szCs w:val="32"/>
        </w:rPr>
        <w:t>Атанас Владиков</w:t>
      </w:r>
    </w:p>
    <w:p w:rsidR="00274819" w:rsidRDefault="00274819" w:rsidP="00520A1E">
      <w:pPr>
        <w:rPr>
          <w:szCs w:val="28"/>
          <w:lang w:val="en-US"/>
        </w:rPr>
      </w:pPr>
    </w:p>
    <w:p w:rsidR="00520A1E" w:rsidRPr="00520A1E" w:rsidRDefault="00520A1E" w:rsidP="00520A1E">
      <w:pPr>
        <w:jc w:val="center"/>
        <w:rPr>
          <w:b/>
          <w:sz w:val="32"/>
          <w:szCs w:val="32"/>
          <w:lang w:val="en-US"/>
        </w:rPr>
      </w:pPr>
      <w:r w:rsidRPr="00520A1E">
        <w:rPr>
          <w:b/>
          <w:sz w:val="32"/>
          <w:szCs w:val="32"/>
          <w:lang w:val="en-US"/>
        </w:rPr>
        <w:t>THE FIRST SAMURAI</w:t>
      </w:r>
    </w:p>
    <w:p w:rsidR="00520A1E" w:rsidRDefault="00520A1E" w:rsidP="00520A1E">
      <w:pPr>
        <w:jc w:val="center"/>
        <w:rPr>
          <w:b/>
          <w:sz w:val="32"/>
          <w:szCs w:val="32"/>
          <w:lang w:val="en-US"/>
        </w:rPr>
      </w:pPr>
      <w:r w:rsidRPr="00520A1E">
        <w:rPr>
          <w:b/>
          <w:sz w:val="32"/>
          <w:szCs w:val="32"/>
          <w:lang w:val="en-US"/>
        </w:rPr>
        <w:t xml:space="preserve">PARTICIPATION AND CONTRIBUTIONS OF </w:t>
      </w:r>
      <w:r>
        <w:rPr>
          <w:b/>
          <w:sz w:val="32"/>
          <w:szCs w:val="32"/>
          <w:lang w:val="en-US"/>
        </w:rPr>
        <w:t xml:space="preserve">THE </w:t>
      </w:r>
      <w:r w:rsidRPr="00520A1E">
        <w:rPr>
          <w:b/>
          <w:sz w:val="32"/>
          <w:szCs w:val="32"/>
          <w:lang w:val="en-US"/>
        </w:rPr>
        <w:t>SAMURAI SEIGO YAMAZAWA FROM SANPOGIRI, KAGOSHIMA IN THE LIBERATION OF BULGARIA</w:t>
      </w:r>
    </w:p>
    <w:p w:rsidR="00520A1E" w:rsidRDefault="00520A1E" w:rsidP="00520A1E">
      <w:pPr>
        <w:jc w:val="center"/>
        <w:rPr>
          <w:b/>
          <w:sz w:val="32"/>
          <w:szCs w:val="32"/>
          <w:lang w:val="en-US"/>
        </w:rPr>
      </w:pPr>
    </w:p>
    <w:p w:rsidR="00520A1E" w:rsidRPr="00520A1E" w:rsidRDefault="00520A1E" w:rsidP="00520A1E">
      <w:pPr>
        <w:jc w:val="center"/>
        <w:rPr>
          <w:b/>
          <w:bCs/>
          <w:sz w:val="32"/>
          <w:szCs w:val="32"/>
          <w:lang w:val="en-US"/>
        </w:rPr>
      </w:pPr>
      <w:r>
        <w:rPr>
          <w:b/>
          <w:bCs/>
          <w:sz w:val="32"/>
          <w:szCs w:val="32"/>
          <w:lang w:val="en-US"/>
        </w:rPr>
        <w:t>Atanas Vladikov</w:t>
      </w:r>
    </w:p>
    <w:p w:rsidR="00520A1E" w:rsidRPr="00520A1E" w:rsidRDefault="00520A1E" w:rsidP="00520A1E">
      <w:pPr>
        <w:jc w:val="center"/>
        <w:rPr>
          <w:b/>
          <w:szCs w:val="28"/>
          <w:lang w:val="en-US"/>
        </w:rPr>
      </w:pPr>
    </w:p>
    <w:p w:rsidR="002847E4" w:rsidRPr="002847E4" w:rsidRDefault="002847E4" w:rsidP="00520A1E">
      <w:pPr>
        <w:jc w:val="center"/>
        <w:rPr>
          <w:szCs w:val="28"/>
          <w:lang w:val="en-US"/>
        </w:rPr>
      </w:pPr>
    </w:p>
    <w:p w:rsidR="00520A1E" w:rsidRPr="00520A1E" w:rsidRDefault="00274819" w:rsidP="00B1243F">
      <w:pPr>
        <w:pStyle w:val="Default"/>
        <w:jc w:val="both"/>
        <w:rPr>
          <w:i/>
          <w:lang w:val="bg-BG"/>
        </w:rPr>
      </w:pPr>
      <w:r w:rsidRPr="00520A1E">
        <w:rPr>
          <w:b/>
          <w:bCs/>
          <w:i/>
          <w:iCs/>
        </w:rPr>
        <w:t>Резюме:</w:t>
      </w:r>
      <w:r w:rsidRPr="00520A1E">
        <w:rPr>
          <w:i/>
          <w:iCs/>
        </w:rPr>
        <w:t xml:space="preserve"> </w:t>
      </w:r>
      <w:r w:rsidR="00520A1E" w:rsidRPr="00520A1E">
        <w:rPr>
          <w:i/>
          <w:lang w:val="bg-BG"/>
        </w:rPr>
        <w:t xml:space="preserve">Докладът се базира на авторско научно изследване на доц. д-р Атанас Владиков и д-р Иван Ботев със заглавие: „Първият самурай. </w:t>
      </w:r>
      <w:r w:rsidR="00520A1E" w:rsidRPr="00520A1E">
        <w:rPr>
          <w:bCs/>
          <w:i/>
          <w:lang w:val="bg-BG"/>
        </w:rPr>
        <w:t>Монографично изследване на участието на Сейго Ямадзава от Кагошима в Освобождението на Бълга</w:t>
      </w:r>
      <w:r w:rsidR="00175B99">
        <w:rPr>
          <w:bCs/>
          <w:i/>
          <w:lang w:val="bg-BG"/>
        </w:rPr>
        <w:t xml:space="preserve">рия”. </w:t>
      </w:r>
      <w:r w:rsidR="00520A1E" w:rsidRPr="00520A1E">
        <w:rPr>
          <w:bCs/>
          <w:i/>
          <w:lang w:val="bg-BG"/>
        </w:rPr>
        <w:t xml:space="preserve">В това изследване се представя </w:t>
      </w:r>
      <w:r w:rsidR="00520A1E" w:rsidRPr="00520A1E">
        <w:rPr>
          <w:i/>
          <w:lang w:val="bg-BG"/>
        </w:rPr>
        <w:t>участието на барон Сейго Ямадзава от Кагошима, потомък на самурайски род и военен кореспондент на императора на Япония, в събитията около Освобождението на България от османско владичество.</w:t>
      </w:r>
    </w:p>
    <w:p w:rsidR="00520A1E" w:rsidRPr="00520A1E" w:rsidRDefault="00520A1E" w:rsidP="00520A1E">
      <w:pPr>
        <w:pStyle w:val="Default"/>
        <w:ind w:firstLine="720"/>
        <w:jc w:val="both"/>
        <w:rPr>
          <w:i/>
          <w:lang w:val="bg-BG"/>
        </w:rPr>
      </w:pPr>
      <w:r w:rsidRPr="00520A1E">
        <w:rPr>
          <w:i/>
          <w:lang w:val="bg-BG"/>
        </w:rPr>
        <w:t xml:space="preserve"> Чрез внимателно събрани и анализирани сведения настоящото изследване проследява биографията и дейността на Сейго Ямадзава в контекста на Руско-турската война от 1877–1878 г. и поставя редица важни въпроси, които разширяват традиционния исторически разказ за този период.</w:t>
      </w:r>
    </w:p>
    <w:p w:rsidR="002847E4" w:rsidRDefault="00520A1E" w:rsidP="002847E4">
      <w:pPr>
        <w:pStyle w:val="Default"/>
        <w:ind w:firstLine="720"/>
        <w:jc w:val="both"/>
        <w:rPr>
          <w:i/>
        </w:rPr>
      </w:pPr>
      <w:r w:rsidRPr="00520A1E">
        <w:rPr>
          <w:i/>
          <w:lang w:val="bg-BG"/>
        </w:rPr>
        <w:t>Изследването показва, че присъствието на Сейго Ямадзава на Балканите не е плод на легенда или романтична интерпретация, а има своите документални основания. Анализът на архивни материали, военни регистри, дипломатически сведения и спомени на съвременници позволява да се проследи неговия път от Япония до европейския театър на военните действия. Тези сведения показват, че Сейго Ямадзава е действал като военен наблюдател и кореспондент, но същевременно е бил пряко свързан с дейността на руското военно командване по време на войната и е участвал във военни действия, за което е награден със съответните ордени и медали. Данните сочат, че той е бил зачислен към IX-ти армейски корпус на руската армия и се е движил с командния щаб по време на цялата война.</w:t>
      </w:r>
    </w:p>
    <w:p w:rsidR="002847E4" w:rsidRPr="002847E4" w:rsidRDefault="00520A1E" w:rsidP="002847E4">
      <w:pPr>
        <w:pStyle w:val="Default"/>
        <w:ind w:firstLine="720"/>
        <w:jc w:val="both"/>
        <w:rPr>
          <w:i/>
          <w:lang w:val="bg-BG"/>
        </w:rPr>
      </w:pPr>
      <w:r w:rsidRPr="00520A1E">
        <w:rPr>
          <w:i/>
          <w:lang w:val="bg-BG"/>
        </w:rPr>
        <w:t>Той не само е участвал във военни действия при обсадата на Плевен, но и е ръководил военна рота – предвид значението на ордена „Свети Владимир”, IV-та степен, с мечове, който е даван именно за такива поводи – за участие във военни действия и ръководене на военна единица на фронтовата линия, особено когато става въпрос за щурмуване на вражески редут, поддържане на сплотеност на подразделенията под артилерийски обстрел</w:t>
      </w:r>
      <w:r w:rsidR="002847E4">
        <w:rPr>
          <w:i/>
          <w:lang w:val="bg-BG"/>
        </w:rPr>
        <w:t xml:space="preserve"> или прикриване на отстъпление.</w:t>
      </w:r>
    </w:p>
    <w:p w:rsidR="003F7CCD" w:rsidRDefault="00D63A24" w:rsidP="003F7CCD">
      <w:pPr>
        <w:pStyle w:val="Default"/>
        <w:ind w:firstLine="720"/>
        <w:jc w:val="both"/>
        <w:rPr>
          <w:i/>
          <w:lang w:val="bg-BG"/>
        </w:rPr>
      </w:pPr>
      <w:r>
        <w:rPr>
          <w:i/>
          <w:lang w:val="bg-BG"/>
        </w:rPr>
        <w:t xml:space="preserve">Изследването счита, че </w:t>
      </w:r>
      <w:r w:rsidR="002847E4">
        <w:rPr>
          <w:i/>
          <w:lang w:val="bg-BG"/>
        </w:rPr>
        <w:t>ръководеното на подобна военна</w:t>
      </w:r>
      <w:r w:rsidR="002847E4">
        <w:rPr>
          <w:i/>
        </w:rPr>
        <w:t xml:space="preserve">  </w:t>
      </w:r>
      <w:r w:rsidR="00520A1E" w:rsidRPr="00520A1E">
        <w:rPr>
          <w:i/>
          <w:lang w:val="bg-BG"/>
        </w:rPr>
        <w:t xml:space="preserve">единица, най-вероятно се е случило при битката за Горни Дъбник, когато предварителната окомплектовка на руската войска </w:t>
      </w:r>
      <w:r w:rsidR="002847E4">
        <w:rPr>
          <w:i/>
          <w:lang w:val="bg-BG"/>
        </w:rPr>
        <w:t>е сериозно разрушена.</w:t>
      </w:r>
    </w:p>
    <w:p w:rsidR="003F7CCD" w:rsidRDefault="003F7CCD" w:rsidP="003F7CCD">
      <w:pPr>
        <w:pStyle w:val="Default"/>
        <w:ind w:firstLine="720"/>
        <w:jc w:val="both"/>
        <w:rPr>
          <w:i/>
          <w:lang w:val="bg-BG"/>
        </w:rPr>
      </w:pPr>
    </w:p>
    <w:p w:rsidR="002847E4" w:rsidRPr="003F7CCD" w:rsidRDefault="00520A1E" w:rsidP="00175B99">
      <w:pPr>
        <w:pStyle w:val="Default"/>
        <w:ind w:left="708" w:right="-720" w:firstLine="720"/>
        <w:jc w:val="both"/>
        <w:rPr>
          <w:i/>
          <w:lang w:val="bg-BG"/>
        </w:rPr>
      </w:pPr>
      <w:r w:rsidRPr="00520A1E">
        <w:rPr>
          <w:i/>
          <w:lang w:val="bg-BG"/>
        </w:rPr>
        <w:lastRenderedPageBreak/>
        <w:t>Изследваните</w:t>
      </w:r>
      <w:r w:rsidR="002847E4">
        <w:rPr>
          <w:i/>
          <w:lang w:val="bg-BG"/>
        </w:rPr>
        <w:t xml:space="preserve"> </w:t>
      </w:r>
      <w:r w:rsidRPr="00520A1E">
        <w:rPr>
          <w:i/>
          <w:lang w:val="bg-BG"/>
        </w:rPr>
        <w:t>документи и направените анал</w:t>
      </w:r>
      <w:r w:rsidR="002847E4">
        <w:rPr>
          <w:i/>
          <w:lang w:val="bg-BG"/>
        </w:rPr>
        <w:t>итични съпоставки</w:t>
      </w:r>
      <w:r w:rsidR="003F7CCD">
        <w:rPr>
          <w:i/>
          <w:lang w:val="bg-BG"/>
        </w:rPr>
        <w:t xml:space="preserve"> дават </w:t>
      </w:r>
      <w:r w:rsidRPr="00520A1E">
        <w:rPr>
          <w:i/>
          <w:lang w:val="bg-BG"/>
        </w:rPr>
        <w:t xml:space="preserve">основания да се счита категорично, че Сейго Ямадзава е бил не само свидетел, но и участник в някои ключови военни събития в първия етап на войната. Той има следните военни отличия: </w:t>
      </w:r>
    </w:p>
    <w:p w:rsidR="002847E4" w:rsidRDefault="00520A1E" w:rsidP="002847E4">
      <w:pPr>
        <w:pStyle w:val="Default"/>
        <w:numPr>
          <w:ilvl w:val="0"/>
          <w:numId w:val="2"/>
        </w:numPr>
        <w:ind w:right="-720"/>
        <w:jc w:val="both"/>
        <w:rPr>
          <w:i/>
        </w:rPr>
      </w:pPr>
      <w:r w:rsidRPr="00520A1E">
        <w:rPr>
          <w:i/>
          <w:lang w:val="bg-BG"/>
        </w:rPr>
        <w:t>орден „Свети Владимир”, IV-та степен, с мечове – за участия в сражения и ръководство на военна единица – военна рота; връчен от руския император Александър II;</w:t>
      </w:r>
    </w:p>
    <w:p w:rsidR="002847E4" w:rsidRDefault="00520A1E" w:rsidP="002847E4">
      <w:pPr>
        <w:pStyle w:val="Default"/>
        <w:numPr>
          <w:ilvl w:val="0"/>
          <w:numId w:val="2"/>
        </w:numPr>
        <w:ind w:right="-720"/>
        <w:jc w:val="both"/>
        <w:rPr>
          <w:i/>
        </w:rPr>
      </w:pPr>
      <w:r w:rsidRPr="002847E4">
        <w:rPr>
          <w:i/>
          <w:lang w:val="bg-BG"/>
        </w:rPr>
        <w:t xml:space="preserve">военен медал „За храброст и заслуги” с Георгиевско-андреевска лента; връчен от руския император Александър II за военни отличия; </w:t>
      </w:r>
    </w:p>
    <w:p w:rsidR="002847E4" w:rsidRDefault="00520A1E" w:rsidP="002847E4">
      <w:pPr>
        <w:pStyle w:val="Default"/>
        <w:numPr>
          <w:ilvl w:val="0"/>
          <w:numId w:val="2"/>
        </w:numPr>
        <w:ind w:right="-720"/>
        <w:jc w:val="both"/>
        <w:rPr>
          <w:i/>
        </w:rPr>
      </w:pPr>
      <w:r w:rsidRPr="002847E4">
        <w:rPr>
          <w:i/>
          <w:lang w:val="bg-BG"/>
        </w:rPr>
        <w:t xml:space="preserve">медал „Преминаване на Дунав” („Дунавски кръст”) – връчен от румънския княз Карл I за неговите военни отличия в действащата руска армия; </w:t>
      </w:r>
    </w:p>
    <w:p w:rsidR="002847E4" w:rsidRDefault="00520A1E" w:rsidP="002847E4">
      <w:pPr>
        <w:pStyle w:val="Default"/>
        <w:ind w:left="708" w:right="-720" w:firstLine="708"/>
        <w:jc w:val="both"/>
        <w:rPr>
          <w:i/>
        </w:rPr>
      </w:pPr>
      <w:r w:rsidRPr="002847E4">
        <w:rPr>
          <w:i/>
          <w:lang w:val="bg-BG"/>
        </w:rPr>
        <w:t xml:space="preserve">Изследването установи, че Сейго Ямадзава е бил придружаван и от друг самурай – Ямамото Кийотака, но за него не се откриха допълнителни данни дали се е отправил към тогавашната столица на руската империя, или е продължил заедно със Сейго Ямадзава. </w:t>
      </w:r>
    </w:p>
    <w:p w:rsidR="002847E4" w:rsidRDefault="00520A1E" w:rsidP="002847E4">
      <w:pPr>
        <w:pStyle w:val="Default"/>
        <w:ind w:left="708" w:right="-720" w:firstLine="708"/>
        <w:jc w:val="both"/>
        <w:rPr>
          <w:i/>
        </w:rPr>
      </w:pPr>
      <w:r w:rsidRPr="00520A1E">
        <w:rPr>
          <w:i/>
          <w:lang w:val="bg-BG"/>
        </w:rPr>
        <w:t xml:space="preserve">Ямадзава е преминал Балкана и като прикрепен към командния щаб – е пребивавал и в Пловдив; бил е и пряк свидетел на процесите около подписването на Санстефанския мирен договор на </w:t>
      </w:r>
      <w:r>
        <w:rPr>
          <w:i/>
          <w:lang w:val="bg-BG"/>
        </w:rPr>
        <w:t>19 фев</w:t>
      </w:r>
      <w:r>
        <w:rPr>
          <w:i/>
        </w:rPr>
        <w:t>.</w:t>
      </w:r>
      <w:r w:rsidRPr="00520A1E">
        <w:rPr>
          <w:i/>
          <w:lang w:val="bg-BG"/>
        </w:rPr>
        <w:t>(</w:t>
      </w:r>
      <w:r>
        <w:rPr>
          <w:i/>
        </w:rPr>
        <w:t>03.03.</w:t>
      </w:r>
      <w:r w:rsidRPr="00520A1E">
        <w:rPr>
          <w:i/>
          <w:lang w:val="bg-BG"/>
        </w:rPr>
        <w:t>) 1878 г.</w:t>
      </w:r>
    </w:p>
    <w:p w:rsidR="002847E4" w:rsidRPr="002847E4" w:rsidRDefault="002847E4" w:rsidP="002847E4">
      <w:pPr>
        <w:pStyle w:val="Default"/>
        <w:ind w:left="708" w:right="-720"/>
        <w:jc w:val="both"/>
        <w:rPr>
          <w:i/>
          <w:sz w:val="28"/>
        </w:rPr>
      </w:pPr>
    </w:p>
    <w:p w:rsidR="002847E4" w:rsidRDefault="00274819" w:rsidP="002847E4">
      <w:pPr>
        <w:pStyle w:val="Default"/>
        <w:ind w:left="708" w:right="-720"/>
        <w:jc w:val="both"/>
        <w:rPr>
          <w:i/>
        </w:rPr>
      </w:pPr>
      <w:r w:rsidRPr="00520A1E">
        <w:rPr>
          <w:b/>
          <w:bCs/>
          <w:i/>
          <w:iCs/>
        </w:rPr>
        <w:t>Ключови думи:</w:t>
      </w:r>
      <w:r w:rsidRPr="00520A1E">
        <w:rPr>
          <w:i/>
          <w:iCs/>
        </w:rPr>
        <w:t xml:space="preserve"> </w:t>
      </w:r>
      <w:r w:rsidR="00466E9C" w:rsidRPr="00520A1E">
        <w:rPr>
          <w:rFonts w:eastAsia="Times New Roman"/>
          <w:color w:val="000000" w:themeColor="text1"/>
        </w:rPr>
        <w:t xml:space="preserve">Сейго Ямадзава, </w:t>
      </w:r>
      <w:r w:rsidR="00466E9C" w:rsidRPr="00520A1E">
        <w:rPr>
          <w:color w:val="000000" w:themeColor="text1"/>
        </w:rPr>
        <w:t xml:space="preserve">самурай, Кагошима, Япония, </w:t>
      </w:r>
      <w:r w:rsidR="00466E9C" w:rsidRPr="00520A1E">
        <w:rPr>
          <w:rFonts w:eastAsia="Times New Roman"/>
          <w:color w:val="000000" w:themeColor="text1"/>
        </w:rPr>
        <w:t>Освобождение на България</w:t>
      </w:r>
    </w:p>
    <w:p w:rsidR="002847E4" w:rsidRPr="002847E4" w:rsidRDefault="002847E4" w:rsidP="002847E4">
      <w:pPr>
        <w:pStyle w:val="Default"/>
        <w:ind w:left="708" w:right="-720"/>
        <w:jc w:val="both"/>
        <w:rPr>
          <w:b/>
          <w:bCs/>
          <w:i/>
          <w:iCs/>
          <w:sz w:val="28"/>
        </w:rPr>
      </w:pPr>
    </w:p>
    <w:p w:rsidR="002847E4" w:rsidRDefault="002847E4" w:rsidP="002847E4">
      <w:pPr>
        <w:pStyle w:val="Default"/>
        <w:ind w:left="708" w:right="-720"/>
        <w:jc w:val="both"/>
        <w:rPr>
          <w:i/>
        </w:rPr>
      </w:pPr>
      <w:r>
        <w:rPr>
          <w:b/>
          <w:bCs/>
          <w:i/>
          <w:iCs/>
        </w:rPr>
        <w:t>Abstract</w:t>
      </w:r>
      <w:r w:rsidRPr="00520A1E">
        <w:rPr>
          <w:b/>
          <w:bCs/>
          <w:i/>
          <w:iCs/>
        </w:rPr>
        <w:t>:</w:t>
      </w:r>
      <w:r w:rsidRPr="00520A1E">
        <w:rPr>
          <w:i/>
          <w:iCs/>
        </w:rPr>
        <w:t xml:space="preserve"> </w:t>
      </w:r>
      <w:r w:rsidR="00D63A24">
        <w:rPr>
          <w:i/>
          <w:lang w:val="bg-BG"/>
        </w:rPr>
        <w:t>The report is based on a</w:t>
      </w:r>
      <w:r w:rsidR="00D63A24">
        <w:rPr>
          <w:i/>
        </w:rPr>
        <w:t xml:space="preserve"> genuine </w:t>
      </w:r>
      <w:r w:rsidRPr="002847E4">
        <w:rPr>
          <w:i/>
          <w:lang w:val="bg-BG"/>
        </w:rPr>
        <w:t>scientific study by Assoc. Prof. Dr. Atanas Vladikov and Dr. Ivan Botev entitled: "The First Samurai. A Monographic Study of the Participation of Seigo Yamazawa of Kagoshima in the Liberation of Bulgaria". This study presents the participation of Baron Seigo Yamazawa of Kagoshima, a descendant of a samurai family and military correspondent of the Emperor of Japan, in the events surrounding the Liberation of Bulgaria from Ottoman rule.</w:t>
      </w:r>
    </w:p>
    <w:p w:rsidR="002847E4" w:rsidRDefault="002847E4" w:rsidP="002847E4">
      <w:pPr>
        <w:pStyle w:val="Default"/>
        <w:ind w:left="708" w:right="-720" w:firstLine="708"/>
        <w:jc w:val="both"/>
        <w:rPr>
          <w:i/>
        </w:rPr>
      </w:pPr>
      <w:r w:rsidRPr="002847E4">
        <w:rPr>
          <w:i/>
          <w:lang w:val="bg-BG"/>
        </w:rPr>
        <w:t>Through carefully collected and analyzed</w:t>
      </w:r>
      <w:r>
        <w:rPr>
          <w:i/>
          <w:lang w:val="bg-BG"/>
        </w:rPr>
        <w:t xml:space="preserve"> information, this study traces</w:t>
      </w:r>
      <w:r>
        <w:rPr>
          <w:i/>
        </w:rPr>
        <w:t xml:space="preserve"> </w:t>
      </w:r>
      <w:r w:rsidRPr="002847E4">
        <w:rPr>
          <w:i/>
          <w:lang w:val="bg-BG"/>
        </w:rPr>
        <w:t>the biography and activities of Seigo Yamazawa in the context of the Russo-Turkish War of 1877–1878 and raises a number of important questions that expand the traditional historical narrative of this period.</w:t>
      </w:r>
    </w:p>
    <w:p w:rsidR="002847E4" w:rsidRDefault="002847E4" w:rsidP="002847E4">
      <w:pPr>
        <w:pStyle w:val="Default"/>
        <w:ind w:left="708" w:right="-720" w:firstLine="708"/>
        <w:jc w:val="both"/>
        <w:rPr>
          <w:i/>
        </w:rPr>
      </w:pPr>
      <w:r w:rsidRPr="002847E4">
        <w:rPr>
          <w:i/>
          <w:lang w:val="bg-BG"/>
        </w:rPr>
        <w:t>The study shows that the presence of Seigo Yamazawa in the Balkans is not the fruit of a legend or a romantic interpretation, but has its documentary basis. The analysis of archival materials, military registers, diplomatic reports and memo</w:t>
      </w:r>
      <w:r>
        <w:rPr>
          <w:i/>
          <w:lang w:val="bg-BG"/>
        </w:rPr>
        <w:t xml:space="preserve">ries of contemporaries </w:t>
      </w:r>
      <w:r>
        <w:rPr>
          <w:i/>
        </w:rPr>
        <w:t xml:space="preserve">delivers </w:t>
      </w:r>
      <w:r w:rsidRPr="002847E4">
        <w:rPr>
          <w:i/>
          <w:lang w:val="bg-BG"/>
        </w:rPr>
        <w:t>trace</w:t>
      </w:r>
      <w:r>
        <w:rPr>
          <w:i/>
        </w:rPr>
        <w:t>s</w:t>
      </w:r>
      <w:r w:rsidRPr="002847E4">
        <w:rPr>
          <w:i/>
          <w:lang w:val="bg-BG"/>
        </w:rPr>
        <w:t xml:space="preserve"> </w:t>
      </w:r>
      <w:r>
        <w:rPr>
          <w:i/>
        </w:rPr>
        <w:t xml:space="preserve">of </w:t>
      </w:r>
      <w:r w:rsidRPr="002847E4">
        <w:rPr>
          <w:i/>
          <w:lang w:val="bg-BG"/>
        </w:rPr>
        <w:t>his path from Japan to the European theater of military operations.</w:t>
      </w:r>
      <w:r>
        <w:rPr>
          <w:i/>
          <w:lang w:val="bg-BG"/>
        </w:rPr>
        <w:t xml:space="preserve"> Th</w:t>
      </w:r>
      <w:r>
        <w:rPr>
          <w:i/>
        </w:rPr>
        <w:t>e</w:t>
      </w:r>
      <w:r w:rsidRPr="002847E4">
        <w:rPr>
          <w:i/>
          <w:lang w:val="bg-BG"/>
        </w:rPr>
        <w:t xml:space="preserve"> information</w:t>
      </w:r>
      <w:r>
        <w:rPr>
          <w:i/>
        </w:rPr>
        <w:t xml:space="preserve"> in the study</w:t>
      </w:r>
      <w:r w:rsidRPr="002847E4">
        <w:rPr>
          <w:i/>
          <w:lang w:val="bg-BG"/>
        </w:rPr>
        <w:t xml:space="preserve"> shows that Seigo Yamazawa acted as a military observer and correspondent, but at the same time he was directly connected with the activities of the Russian military command during the war and participated in military operations, for which he was awarded the relevant orders and medals. The data indicate</w:t>
      </w:r>
      <w:r>
        <w:rPr>
          <w:i/>
          <w:lang w:val="bg-BG"/>
        </w:rPr>
        <w:t xml:space="preserve"> that he was assigned to the IX</w:t>
      </w:r>
      <w:r>
        <w:rPr>
          <w:i/>
        </w:rPr>
        <w:t xml:space="preserve"> </w:t>
      </w:r>
      <w:r w:rsidRPr="002847E4">
        <w:rPr>
          <w:i/>
          <w:lang w:val="bg-BG"/>
        </w:rPr>
        <w:t>Army Corps of the Russian Army and moved with the command headquarters throughout the war.</w:t>
      </w:r>
    </w:p>
    <w:p w:rsidR="00D63A24" w:rsidRDefault="002847E4" w:rsidP="00D63A24">
      <w:pPr>
        <w:pStyle w:val="Default"/>
        <w:ind w:left="708" w:right="-720" w:firstLine="708"/>
        <w:jc w:val="both"/>
        <w:rPr>
          <w:i/>
        </w:rPr>
      </w:pPr>
      <w:r w:rsidRPr="002847E4">
        <w:rPr>
          <w:i/>
          <w:lang w:val="bg-BG"/>
        </w:rPr>
        <w:t>He not only participated in military operations during the siege of Pleven, but also led a military company – given the significance of the Order of St. Vladimir, IV degree, with swords, which was awarded precisely for such occasions – for participation in military operations and leading a military unit on the front line, especially when it came to storming an enemy redoubt, maintaining the cohesion of the units under artillery fire or covering a retreat.</w:t>
      </w:r>
      <w:r w:rsidR="003F7CCD">
        <w:rPr>
          <w:i/>
          <w:lang w:val="bg-BG"/>
        </w:rPr>
        <w:t xml:space="preserve"> </w:t>
      </w:r>
      <w:r>
        <w:rPr>
          <w:i/>
          <w:lang w:val="bg-BG"/>
        </w:rPr>
        <w:t xml:space="preserve">The study </w:t>
      </w:r>
      <w:r>
        <w:rPr>
          <w:i/>
        </w:rPr>
        <w:t xml:space="preserve">defends the position </w:t>
      </w:r>
      <w:r w:rsidRPr="002847E4">
        <w:rPr>
          <w:i/>
          <w:lang w:val="bg-BG"/>
        </w:rPr>
        <w:t>that the leadersh</w:t>
      </w:r>
      <w:r w:rsidR="003F7CCD">
        <w:rPr>
          <w:i/>
          <w:lang w:val="bg-BG"/>
        </w:rPr>
        <w:t xml:space="preserve">ip of such a military unit most </w:t>
      </w:r>
      <w:r w:rsidRPr="002847E4">
        <w:rPr>
          <w:i/>
          <w:lang w:val="bg-BG"/>
        </w:rPr>
        <w:t>likely occurred during the battle for Gorni Dubnik, when the preliminary equipment of the Russi</w:t>
      </w:r>
      <w:r>
        <w:rPr>
          <w:i/>
          <w:lang w:val="bg-BG"/>
        </w:rPr>
        <w:t>an army was seriously destroyed</w:t>
      </w:r>
      <w:r>
        <w:rPr>
          <w:i/>
        </w:rPr>
        <w:t>.</w:t>
      </w:r>
      <w:r w:rsidR="003F7CCD">
        <w:rPr>
          <w:i/>
          <w:lang w:val="bg-BG"/>
        </w:rPr>
        <w:t xml:space="preserve"> </w:t>
      </w:r>
    </w:p>
    <w:p w:rsidR="00D63A24" w:rsidRDefault="00D63A24" w:rsidP="00D63A24">
      <w:pPr>
        <w:pStyle w:val="Default"/>
        <w:ind w:left="708" w:right="-720"/>
        <w:jc w:val="both"/>
        <w:rPr>
          <w:i/>
        </w:rPr>
      </w:pPr>
    </w:p>
    <w:p w:rsidR="00D63A24" w:rsidRDefault="00D63A24" w:rsidP="00D63A24">
      <w:pPr>
        <w:pStyle w:val="Default"/>
        <w:ind w:left="708" w:right="-720"/>
        <w:jc w:val="both"/>
        <w:rPr>
          <w:i/>
        </w:rPr>
      </w:pPr>
    </w:p>
    <w:p w:rsidR="002847E4" w:rsidRPr="003F7CCD" w:rsidRDefault="002847E4" w:rsidP="00D63A24">
      <w:pPr>
        <w:pStyle w:val="Default"/>
        <w:ind w:firstLine="567"/>
        <w:jc w:val="both"/>
        <w:rPr>
          <w:i/>
          <w:lang w:val="bg-BG"/>
        </w:rPr>
      </w:pPr>
      <w:r w:rsidRPr="002847E4">
        <w:rPr>
          <w:i/>
          <w:lang w:val="bg-BG"/>
        </w:rPr>
        <w:lastRenderedPageBreak/>
        <w:t>The studied documents and the analytical comparisons made give grounds to firmly believe that Seigo Yamazawa was not only a witness, but also a participant in some key military events in the first stage of the war. He has the following military awards:</w:t>
      </w:r>
    </w:p>
    <w:p w:rsidR="002847E4" w:rsidRPr="002847E4" w:rsidRDefault="002847E4" w:rsidP="002847E4">
      <w:pPr>
        <w:pStyle w:val="Default"/>
        <w:ind w:firstLine="567"/>
        <w:jc w:val="both"/>
        <w:rPr>
          <w:i/>
          <w:lang w:val="bg-BG"/>
        </w:rPr>
      </w:pPr>
      <w:r w:rsidRPr="002847E4">
        <w:rPr>
          <w:i/>
          <w:lang w:val="bg-BG"/>
        </w:rPr>
        <w:t>- Order of St. Vladimir, IV degree, with swords – for participation in battles and leadership of a military unit – a military company; awarded by the Russian Emperor Alexander II;</w:t>
      </w:r>
    </w:p>
    <w:p w:rsidR="002847E4" w:rsidRPr="002847E4" w:rsidRDefault="002847E4" w:rsidP="002847E4">
      <w:pPr>
        <w:pStyle w:val="Default"/>
        <w:ind w:firstLine="567"/>
        <w:jc w:val="both"/>
        <w:rPr>
          <w:i/>
          <w:lang w:val="bg-BG"/>
        </w:rPr>
      </w:pPr>
      <w:r w:rsidRPr="002847E4">
        <w:rPr>
          <w:i/>
          <w:lang w:val="bg-BG"/>
        </w:rPr>
        <w:t>- Military Medal “For Courage and Merit” with St. George and St. Andrew’s Ribbon; awarded by the Russian Emp</w:t>
      </w:r>
      <w:r w:rsidR="00D63A24">
        <w:rPr>
          <w:i/>
          <w:lang w:val="bg-BG"/>
        </w:rPr>
        <w:t xml:space="preserve">eror Alexander II for military </w:t>
      </w:r>
      <w:r w:rsidR="00D63A24">
        <w:rPr>
          <w:i/>
        </w:rPr>
        <w:t>achievements</w:t>
      </w:r>
      <w:r w:rsidRPr="002847E4">
        <w:rPr>
          <w:i/>
          <w:lang w:val="bg-BG"/>
        </w:rPr>
        <w:t>;</w:t>
      </w:r>
    </w:p>
    <w:p w:rsidR="002847E4" w:rsidRPr="002847E4" w:rsidRDefault="002847E4" w:rsidP="002847E4">
      <w:pPr>
        <w:pStyle w:val="Default"/>
        <w:ind w:firstLine="567"/>
        <w:jc w:val="both"/>
        <w:rPr>
          <w:i/>
          <w:lang w:val="bg-BG"/>
        </w:rPr>
      </w:pPr>
      <w:r w:rsidRPr="002847E4">
        <w:rPr>
          <w:i/>
          <w:lang w:val="bg-BG"/>
        </w:rPr>
        <w:t>- Medal “Crossing the Danube” (“Danube Cross”) – awarded by the Romanian Pri</w:t>
      </w:r>
      <w:r w:rsidR="00D63A24">
        <w:rPr>
          <w:i/>
          <w:lang w:val="bg-BG"/>
        </w:rPr>
        <w:t xml:space="preserve">nce Charles I for his military </w:t>
      </w:r>
      <w:r w:rsidR="00D63A24">
        <w:rPr>
          <w:i/>
        </w:rPr>
        <w:t xml:space="preserve">achievements </w:t>
      </w:r>
      <w:r w:rsidRPr="002847E4">
        <w:rPr>
          <w:i/>
          <w:lang w:val="bg-BG"/>
        </w:rPr>
        <w:t>in the active Russian army;</w:t>
      </w:r>
    </w:p>
    <w:p w:rsidR="002847E4" w:rsidRPr="002847E4" w:rsidRDefault="002847E4" w:rsidP="002847E4">
      <w:pPr>
        <w:pStyle w:val="Default"/>
        <w:ind w:firstLine="567"/>
        <w:jc w:val="both"/>
        <w:rPr>
          <w:i/>
          <w:lang w:val="bg-BG"/>
        </w:rPr>
      </w:pPr>
      <w:r w:rsidRPr="002847E4">
        <w:rPr>
          <w:i/>
          <w:lang w:val="bg-BG"/>
        </w:rPr>
        <w:t>The research established that Seigo Yamazawa was accompanied by another samurai – Yamamoto Kiyotaka, but no additional data was found about him whether he headed to the then capital of the Russian Empire, or continued with Seigo Yamazawa.</w:t>
      </w:r>
    </w:p>
    <w:p w:rsidR="00A86955" w:rsidRDefault="002847E4" w:rsidP="002847E4">
      <w:pPr>
        <w:pStyle w:val="Default"/>
        <w:ind w:firstLine="567"/>
        <w:jc w:val="both"/>
        <w:rPr>
          <w:i/>
        </w:rPr>
      </w:pPr>
      <w:r w:rsidRPr="002847E4">
        <w:rPr>
          <w:i/>
          <w:lang w:val="bg-BG"/>
        </w:rPr>
        <w:t>Yamazawa crossed the Balkans and, as attached to the command headquarters, also stayed in Plovdiv; He was also a direct witness to the processes surrounding the signing of the San Stefano Peace Treaty on February 19 (March 3), 1878.</w:t>
      </w:r>
    </w:p>
    <w:p w:rsidR="002847E4" w:rsidRDefault="002847E4" w:rsidP="002847E4">
      <w:pPr>
        <w:pStyle w:val="Default"/>
        <w:ind w:firstLine="567"/>
        <w:jc w:val="both"/>
        <w:rPr>
          <w:i/>
          <w:sz w:val="28"/>
        </w:rPr>
      </w:pPr>
    </w:p>
    <w:p w:rsidR="002847E4" w:rsidRPr="002847E4" w:rsidRDefault="002847E4" w:rsidP="002847E4">
      <w:pPr>
        <w:pStyle w:val="Default"/>
        <w:jc w:val="both"/>
        <w:rPr>
          <w:i/>
        </w:rPr>
      </w:pPr>
      <w:r w:rsidRPr="002847E4">
        <w:rPr>
          <w:b/>
          <w:i/>
        </w:rPr>
        <w:t>Keywords:</w:t>
      </w:r>
      <w:r w:rsidRPr="002847E4">
        <w:rPr>
          <w:i/>
        </w:rPr>
        <w:t xml:space="preserve"> </w:t>
      </w:r>
      <w:r w:rsidRPr="002847E4">
        <w:t>Seigo Yamazawa, samurai, Kagoshima, Japan, Liberation of Bulgaria</w:t>
      </w:r>
    </w:p>
    <w:p w:rsidR="005B08DD" w:rsidRDefault="005B08DD" w:rsidP="005B08DD">
      <w:pPr>
        <w:jc w:val="both"/>
        <w:rPr>
          <w:rFonts w:eastAsiaTheme="minorHAnsi"/>
          <w:color w:val="000000"/>
          <w:szCs w:val="28"/>
          <w:lang w:eastAsia="en-US"/>
        </w:rPr>
      </w:pPr>
    </w:p>
    <w:p w:rsidR="005B08DD" w:rsidRDefault="009C0C5E" w:rsidP="005B08DD">
      <w:pPr>
        <w:jc w:val="both"/>
        <w:rPr>
          <w:szCs w:val="28"/>
        </w:rPr>
      </w:pPr>
      <w:r w:rsidRPr="009C0C5E">
        <w:rPr>
          <w:b/>
          <w:szCs w:val="28"/>
        </w:rPr>
        <w:t>Въведение.</w:t>
      </w:r>
      <w:r w:rsidRPr="009C0C5E">
        <w:rPr>
          <w:szCs w:val="28"/>
        </w:rPr>
        <w:t xml:space="preserve"> </w:t>
      </w:r>
      <w:r>
        <w:rPr>
          <w:szCs w:val="28"/>
        </w:rPr>
        <w:t xml:space="preserve">Научното изследване „Първият самурай. </w:t>
      </w:r>
      <w:r w:rsidRPr="009C0C5E">
        <w:rPr>
          <w:szCs w:val="28"/>
          <w:lang w:bidi="bg-BG"/>
        </w:rPr>
        <w:t>Монографично изследване на участието на Сейго Ямадзава от Кагошима в Освобождението на България</w:t>
      </w:r>
      <w:r>
        <w:rPr>
          <w:szCs w:val="28"/>
          <w:lang w:bidi="bg-BG"/>
        </w:rPr>
        <w:t xml:space="preserve">” </w:t>
      </w:r>
      <w:r w:rsidR="006E3B72">
        <w:rPr>
          <w:szCs w:val="28"/>
          <w:lang w:val="en-US" w:bidi="bg-BG"/>
        </w:rPr>
        <w:t xml:space="preserve">[1] </w:t>
      </w:r>
      <w:r>
        <w:rPr>
          <w:szCs w:val="28"/>
        </w:rPr>
        <w:t xml:space="preserve">бе провокирано за осмисляне и реализация от авторите поради няколко важни причини. </w:t>
      </w:r>
    </w:p>
    <w:p w:rsidR="005B08DD" w:rsidRDefault="009C0C5E" w:rsidP="005B08DD">
      <w:pPr>
        <w:ind w:firstLine="708"/>
        <w:jc w:val="both"/>
        <w:rPr>
          <w:iCs/>
          <w:szCs w:val="28"/>
        </w:rPr>
      </w:pPr>
      <w:r>
        <w:rPr>
          <w:szCs w:val="28"/>
        </w:rPr>
        <w:t xml:space="preserve">На първо място, през 2027 г. </w:t>
      </w:r>
      <w:r w:rsidRPr="009C0C5E">
        <w:rPr>
          <w:iCs/>
          <w:szCs w:val="28"/>
        </w:rPr>
        <w:t>се отбелязва 150-годишнината от Плевенската епопея от 1877 г., като част от Руско-турската война от 1877-1878 г., довела до Освобождението на България</w:t>
      </w:r>
      <w:r>
        <w:rPr>
          <w:iCs/>
          <w:szCs w:val="28"/>
        </w:rPr>
        <w:t xml:space="preserve">. </w:t>
      </w:r>
    </w:p>
    <w:p w:rsidR="00D63A24" w:rsidRDefault="009C0C5E" w:rsidP="00D63A24">
      <w:pPr>
        <w:ind w:firstLine="708"/>
        <w:jc w:val="both"/>
        <w:rPr>
          <w:iCs/>
          <w:szCs w:val="28"/>
          <w:lang w:val="en-US"/>
        </w:rPr>
      </w:pPr>
      <w:r>
        <w:rPr>
          <w:iCs/>
          <w:szCs w:val="28"/>
        </w:rPr>
        <w:t xml:space="preserve">На второ място, през 2026 г. се навършват </w:t>
      </w:r>
      <w:r w:rsidRPr="009C0C5E">
        <w:rPr>
          <w:iCs/>
          <w:szCs w:val="28"/>
        </w:rPr>
        <w:t xml:space="preserve">180 години от рождението на самурая Сейго Ямадзава от </w:t>
      </w:r>
      <w:r>
        <w:rPr>
          <w:iCs/>
          <w:szCs w:val="28"/>
        </w:rPr>
        <w:t xml:space="preserve">Санпогири – преди местност, днес квартал на град </w:t>
      </w:r>
      <w:r w:rsidRPr="009C0C5E">
        <w:rPr>
          <w:iCs/>
          <w:szCs w:val="28"/>
        </w:rPr>
        <w:t>Кагошима</w:t>
      </w:r>
      <w:r>
        <w:rPr>
          <w:iCs/>
          <w:szCs w:val="28"/>
        </w:rPr>
        <w:t xml:space="preserve"> (Сацума)</w:t>
      </w:r>
      <w:r w:rsidR="006C6904">
        <w:rPr>
          <w:iCs/>
          <w:szCs w:val="28"/>
        </w:rPr>
        <w:t xml:space="preserve">. Градът е разположен в най-южната част на остров Кюшу – единият от основните четири острова на Япония. Град Кагошима е известен още и с известния самурайски род </w:t>
      </w:r>
      <w:r w:rsidR="005B08DD">
        <w:rPr>
          <w:iCs/>
          <w:szCs w:val="28"/>
        </w:rPr>
        <w:t>Шимадзу – с почти 800-годишна история, който род</w:t>
      </w:r>
      <w:r w:rsidR="006C6904">
        <w:rPr>
          <w:iCs/>
          <w:szCs w:val="28"/>
        </w:rPr>
        <w:t xml:space="preserve"> е бил в управлението на шогуната на Япония</w:t>
      </w:r>
      <w:r w:rsidR="00D63A24">
        <w:rPr>
          <w:iCs/>
          <w:szCs w:val="28"/>
          <w:lang w:val="en-US"/>
        </w:rPr>
        <w:t xml:space="preserve">. </w:t>
      </w:r>
      <w:r w:rsidR="005B08DD">
        <w:rPr>
          <w:iCs/>
          <w:szCs w:val="28"/>
        </w:rPr>
        <w:t xml:space="preserve">Счита се, че самураите от Кагошима са били в много тесни отношения с управляващите от рода Шимадзу, която фамилия </w:t>
      </w:r>
      <w:r w:rsidR="00377489">
        <w:rPr>
          <w:iCs/>
          <w:szCs w:val="28"/>
        </w:rPr>
        <w:t xml:space="preserve">днес </w:t>
      </w:r>
      <w:r w:rsidR="005B08DD">
        <w:rPr>
          <w:iCs/>
          <w:szCs w:val="28"/>
        </w:rPr>
        <w:t xml:space="preserve">е </w:t>
      </w:r>
      <w:r w:rsidR="00175B99">
        <w:rPr>
          <w:iCs/>
          <w:szCs w:val="28"/>
        </w:rPr>
        <w:t>високопоставена в японското общество</w:t>
      </w:r>
      <w:r w:rsidR="004F2DBD">
        <w:rPr>
          <w:iCs/>
          <w:szCs w:val="28"/>
        </w:rPr>
        <w:t xml:space="preserve">, включително и </w:t>
      </w:r>
      <w:r w:rsidR="00175B99">
        <w:rPr>
          <w:iCs/>
          <w:szCs w:val="28"/>
        </w:rPr>
        <w:t>чрез</w:t>
      </w:r>
      <w:r w:rsidR="005B08DD">
        <w:rPr>
          <w:iCs/>
          <w:szCs w:val="28"/>
        </w:rPr>
        <w:t xml:space="preserve"> поддържането на историческия музей „Шоко Шусейкан” в гр. Кагошима, в който могат да се намерят различни артефакти за родовата история и влиянието на рода Шимадзу на остров Кюшу и в Япония. В книгата се публикуват материали с любезното съдействие </w:t>
      </w:r>
      <w:r w:rsidR="003F7CCD">
        <w:rPr>
          <w:iCs/>
          <w:szCs w:val="28"/>
        </w:rPr>
        <w:t xml:space="preserve">и разрешение </w:t>
      </w:r>
      <w:r w:rsidR="005B08DD">
        <w:rPr>
          <w:iCs/>
          <w:szCs w:val="28"/>
        </w:rPr>
        <w:t>на музея „Шоко Шусейкан” и лично на г-н Кимиясу Шимадзу, представител на рода Шимадзу от Кагошима</w:t>
      </w:r>
      <w:r w:rsidR="003F7CCD">
        <w:rPr>
          <w:iCs/>
          <w:szCs w:val="28"/>
        </w:rPr>
        <w:t xml:space="preserve">. </w:t>
      </w:r>
    </w:p>
    <w:p w:rsidR="003F7CCD" w:rsidRDefault="00FC4D69" w:rsidP="00D63A24">
      <w:pPr>
        <w:ind w:firstLine="708"/>
        <w:jc w:val="both"/>
        <w:rPr>
          <w:iCs/>
          <w:szCs w:val="28"/>
        </w:rPr>
      </w:pPr>
      <w:r>
        <w:rPr>
          <w:iCs/>
          <w:szCs w:val="28"/>
        </w:rPr>
        <w:t>На трето място, в</w:t>
      </w:r>
      <w:r w:rsidR="006C6904">
        <w:rPr>
          <w:iCs/>
          <w:szCs w:val="28"/>
        </w:rPr>
        <w:t xml:space="preserve"> Кагошима от времето на самураите съществува известна школа за трениране с мечове в стила „Джиген-рю”. </w:t>
      </w:r>
      <w:r w:rsidR="003F7CCD">
        <w:rPr>
          <w:iCs/>
          <w:szCs w:val="28"/>
        </w:rPr>
        <w:t xml:space="preserve">Това също насочи вниманието на авторите на изследването към специализираната военна подготовка на самурая Сейго Ямадзава. </w:t>
      </w:r>
    </w:p>
    <w:p w:rsidR="00212537" w:rsidRDefault="003813DB" w:rsidP="00212537">
      <w:pPr>
        <w:ind w:left="708" w:right="-720" w:firstLine="708"/>
        <w:jc w:val="both"/>
        <w:rPr>
          <w:iCs/>
          <w:szCs w:val="28"/>
        </w:rPr>
      </w:pPr>
      <w:r>
        <w:rPr>
          <w:iCs/>
          <w:szCs w:val="28"/>
        </w:rPr>
        <w:lastRenderedPageBreak/>
        <w:t xml:space="preserve">На </w:t>
      </w:r>
      <w:r w:rsidR="00FC4D69">
        <w:rPr>
          <w:iCs/>
          <w:szCs w:val="28"/>
        </w:rPr>
        <w:t>четвърто</w:t>
      </w:r>
      <w:r>
        <w:rPr>
          <w:iCs/>
          <w:szCs w:val="28"/>
        </w:rPr>
        <w:t xml:space="preserve"> място, в</w:t>
      </w:r>
      <w:r w:rsidR="003F7CCD">
        <w:rPr>
          <w:iCs/>
          <w:szCs w:val="28"/>
        </w:rPr>
        <w:t xml:space="preserve"> из</w:t>
      </w:r>
      <w:r>
        <w:rPr>
          <w:iCs/>
          <w:szCs w:val="28"/>
        </w:rPr>
        <w:t>следването важно влияние оказа</w:t>
      </w:r>
      <w:r w:rsidR="003F7CCD">
        <w:rPr>
          <w:iCs/>
          <w:szCs w:val="28"/>
        </w:rPr>
        <w:t xml:space="preserve"> изходната съпоставка, която е известна на широката публика по целия свят чрез </w:t>
      </w:r>
      <w:r w:rsidR="006C6904">
        <w:rPr>
          <w:iCs/>
          <w:szCs w:val="28"/>
        </w:rPr>
        <w:t>филма „Последният самурай” с участието на Том Круз</w:t>
      </w:r>
      <w:r w:rsidR="003F7CCD">
        <w:rPr>
          <w:iCs/>
          <w:szCs w:val="28"/>
        </w:rPr>
        <w:t>. Той се е въплътил в образа на френск</w:t>
      </w:r>
      <w:r w:rsidR="004F2DBD">
        <w:rPr>
          <w:iCs/>
          <w:szCs w:val="28"/>
        </w:rPr>
        <w:t>ия артилерийски офицер Жюл Брюнè</w:t>
      </w:r>
      <w:r w:rsidR="003F7CCD">
        <w:rPr>
          <w:iCs/>
          <w:szCs w:val="28"/>
        </w:rPr>
        <w:t xml:space="preserve"> (</w:t>
      </w:r>
      <w:r w:rsidR="003F7CCD">
        <w:rPr>
          <w:iCs/>
          <w:szCs w:val="28"/>
          <w:lang w:val="en-US"/>
        </w:rPr>
        <w:t>Jules Brunet),</w:t>
      </w:r>
      <w:r w:rsidR="003F7CCD">
        <w:rPr>
          <w:iCs/>
          <w:szCs w:val="28"/>
        </w:rPr>
        <w:t xml:space="preserve"> който е изпратен през 1867 г. да обучава армията на шогуна</w:t>
      </w:r>
      <w:r w:rsidR="00FC4D69">
        <w:rPr>
          <w:iCs/>
          <w:szCs w:val="28"/>
        </w:rPr>
        <w:t xml:space="preserve"> Иеясу Токугава</w:t>
      </w:r>
      <w:r w:rsidR="003F7CCD">
        <w:rPr>
          <w:iCs/>
          <w:szCs w:val="28"/>
        </w:rPr>
        <w:t>. При избухването на т.нар. „Гражданска война</w:t>
      </w:r>
      <w:r w:rsidR="00212537">
        <w:rPr>
          <w:iCs/>
          <w:szCs w:val="28"/>
        </w:rPr>
        <w:t>”</w:t>
      </w:r>
      <w:r w:rsidR="003F7CCD">
        <w:rPr>
          <w:iCs/>
          <w:szCs w:val="28"/>
        </w:rPr>
        <w:t xml:space="preserve"> в Япония – „Войната Бошин” 1868-1869 г. френското правителство</w:t>
      </w:r>
      <w:r w:rsidR="00212537">
        <w:rPr>
          <w:iCs/>
          <w:szCs w:val="28"/>
        </w:rPr>
        <w:t xml:space="preserve"> нарежда изтегляне на сво</w:t>
      </w:r>
      <w:r w:rsidR="00FC4D69">
        <w:rPr>
          <w:iCs/>
          <w:szCs w:val="28"/>
        </w:rPr>
        <w:t>ите военни офицери, но Жюл Брюнè</w:t>
      </w:r>
      <w:r w:rsidR="00212537">
        <w:rPr>
          <w:iCs/>
          <w:szCs w:val="28"/>
        </w:rPr>
        <w:t xml:space="preserve"> подава оставка като армейски офицер и застава рамо до рамо с една историческа личност – самурая Сайго Такамори, също от Санпогири, Кагошима.</w:t>
      </w:r>
    </w:p>
    <w:p w:rsidR="003813DB" w:rsidRDefault="006C6904" w:rsidP="00FC4D69">
      <w:pPr>
        <w:ind w:left="708" w:right="-720" w:firstLine="708"/>
        <w:jc w:val="both"/>
        <w:rPr>
          <w:iCs/>
          <w:szCs w:val="28"/>
        </w:rPr>
      </w:pPr>
      <w:r>
        <w:rPr>
          <w:iCs/>
          <w:szCs w:val="28"/>
        </w:rPr>
        <w:t xml:space="preserve">При </w:t>
      </w:r>
      <w:r w:rsidR="00212537">
        <w:rPr>
          <w:iCs/>
          <w:szCs w:val="28"/>
        </w:rPr>
        <w:t xml:space="preserve">създалата се </w:t>
      </w:r>
      <w:r>
        <w:rPr>
          <w:iCs/>
          <w:szCs w:val="28"/>
        </w:rPr>
        <w:t>военно</w:t>
      </w:r>
      <w:r w:rsidR="00212537">
        <w:rPr>
          <w:iCs/>
          <w:szCs w:val="28"/>
        </w:rPr>
        <w:t>-политическата трансформация в онзи момент самураят Сайго Такамори загива</w:t>
      </w:r>
      <w:r w:rsidRPr="0065613C">
        <w:rPr>
          <w:iCs/>
          <w:szCs w:val="28"/>
        </w:rPr>
        <w:t>, но е обявен за национален герой и има негови паметници в гр. Токио и в гр. Кагошима; името му е добре известно и на военните истор</w:t>
      </w:r>
      <w:r w:rsidR="00212537">
        <w:rPr>
          <w:iCs/>
          <w:szCs w:val="28"/>
        </w:rPr>
        <w:t>ици</w:t>
      </w:r>
      <w:r w:rsidR="00FC4D69">
        <w:rPr>
          <w:iCs/>
          <w:szCs w:val="28"/>
        </w:rPr>
        <w:t>,</w:t>
      </w:r>
      <w:r w:rsidR="00212537">
        <w:rPr>
          <w:iCs/>
          <w:szCs w:val="28"/>
        </w:rPr>
        <w:t xml:space="preserve"> и на широката общественост.</w:t>
      </w:r>
      <w:r w:rsidR="00FC4D69">
        <w:rPr>
          <w:iCs/>
          <w:szCs w:val="28"/>
        </w:rPr>
        <w:t xml:space="preserve"> </w:t>
      </w:r>
      <w:r w:rsidRPr="0065613C">
        <w:rPr>
          <w:iCs/>
          <w:szCs w:val="28"/>
        </w:rPr>
        <w:t xml:space="preserve">Като контрапункт на известността на самурая Сайго Такамори се явява фигурата на самурая Сейго Ямадзава, за когото </w:t>
      </w:r>
      <w:r w:rsidR="00212537">
        <w:rPr>
          <w:iCs/>
          <w:szCs w:val="28"/>
        </w:rPr>
        <w:t xml:space="preserve">обаче </w:t>
      </w:r>
      <w:r w:rsidRPr="0065613C">
        <w:rPr>
          <w:iCs/>
          <w:szCs w:val="28"/>
        </w:rPr>
        <w:t xml:space="preserve">не са известни много факти и обстоятелства, което беше основната причина да се </w:t>
      </w:r>
      <w:r w:rsidR="005B08DD">
        <w:rPr>
          <w:iCs/>
          <w:szCs w:val="28"/>
        </w:rPr>
        <w:t xml:space="preserve">подходи по научен път към този въпрос. </w:t>
      </w:r>
      <w:r w:rsidR="003813DB">
        <w:rPr>
          <w:iCs/>
          <w:szCs w:val="28"/>
        </w:rPr>
        <w:t>Базовата научна позиция, от която се подходи към изследването на проблема бяха военните отличия на парадната униформа на една запазена черно-бяла архивна снимка. Снимката се обработи по софтуерен път, за да се изяснят цветовете на военните отличия и оттук – да се идентифицират и анализират за какви военни заслуги са връчени те и от кого.</w:t>
      </w:r>
    </w:p>
    <w:p w:rsidR="00212537" w:rsidRDefault="00212537" w:rsidP="00212537">
      <w:pPr>
        <w:ind w:left="708" w:right="-720" w:firstLine="708"/>
        <w:jc w:val="both"/>
        <w:rPr>
          <w:iCs/>
          <w:szCs w:val="28"/>
        </w:rPr>
      </w:pPr>
      <w:r>
        <w:rPr>
          <w:iCs/>
          <w:szCs w:val="28"/>
        </w:rPr>
        <w:t>П</w:t>
      </w:r>
      <w:r w:rsidR="006C6904" w:rsidRPr="0065613C">
        <w:rPr>
          <w:iCs/>
          <w:szCs w:val="28"/>
        </w:rPr>
        <w:t xml:space="preserve">роучи </w:t>
      </w:r>
      <w:r>
        <w:rPr>
          <w:iCs/>
          <w:szCs w:val="28"/>
        </w:rPr>
        <w:t xml:space="preserve">се </w:t>
      </w:r>
      <w:r w:rsidR="006C6904" w:rsidRPr="0065613C">
        <w:rPr>
          <w:iCs/>
          <w:szCs w:val="28"/>
        </w:rPr>
        <w:t xml:space="preserve">значителен обем документация – основно </w:t>
      </w:r>
      <w:r w:rsidR="0065613C" w:rsidRPr="0065613C">
        <w:rPr>
          <w:color w:val="000000" w:themeColor="text1"/>
          <w:szCs w:val="28"/>
        </w:rPr>
        <w:t>на исторически документи от Japan Center for Asian Historical Records /JACAR/ (Японски център за азиатски исторически документи), поддържан от Националния архив на Япония, както и на исторически документи от други източници на руски, английски, фр</w:t>
      </w:r>
      <w:r w:rsidR="00FC4D69">
        <w:rPr>
          <w:color w:val="000000" w:themeColor="text1"/>
          <w:szCs w:val="28"/>
        </w:rPr>
        <w:t>енски езици, включително и се проведоха</w:t>
      </w:r>
      <w:r w:rsidR="0065613C">
        <w:rPr>
          <w:color w:val="000000" w:themeColor="text1"/>
          <w:szCs w:val="28"/>
        </w:rPr>
        <w:t xml:space="preserve"> </w:t>
      </w:r>
      <w:r w:rsidR="0065613C" w:rsidRPr="0065613C">
        <w:rPr>
          <w:color w:val="000000" w:themeColor="text1"/>
          <w:szCs w:val="28"/>
        </w:rPr>
        <w:t>теренни изследвания</w:t>
      </w:r>
      <w:r w:rsidR="0065613C">
        <w:rPr>
          <w:color w:val="000000" w:themeColor="text1"/>
          <w:szCs w:val="28"/>
        </w:rPr>
        <w:t xml:space="preserve"> в гр. Кагошима, гр. Токио и </w:t>
      </w:r>
      <w:r w:rsidR="00FC4D69">
        <w:rPr>
          <w:color w:val="000000" w:themeColor="text1"/>
          <w:szCs w:val="28"/>
        </w:rPr>
        <w:t xml:space="preserve">в </w:t>
      </w:r>
      <w:r w:rsidR="0065613C">
        <w:rPr>
          <w:color w:val="000000" w:themeColor="text1"/>
          <w:szCs w:val="28"/>
        </w:rPr>
        <w:t>Бъл</w:t>
      </w:r>
      <w:r w:rsidR="0065613C" w:rsidRPr="0065613C">
        <w:rPr>
          <w:color w:val="000000" w:themeColor="text1"/>
          <w:szCs w:val="28"/>
        </w:rPr>
        <w:t>гария.</w:t>
      </w:r>
    </w:p>
    <w:p w:rsidR="00D63A24" w:rsidRDefault="00212537" w:rsidP="00D63A24">
      <w:pPr>
        <w:ind w:left="708" w:right="-720" w:firstLine="708"/>
        <w:jc w:val="both"/>
        <w:rPr>
          <w:color w:val="000000" w:themeColor="text1"/>
          <w:szCs w:val="28"/>
          <w:lang w:val="en-US"/>
        </w:rPr>
      </w:pPr>
      <w:r>
        <w:rPr>
          <w:iCs/>
          <w:szCs w:val="28"/>
        </w:rPr>
        <w:t xml:space="preserve">В изследването се застъпва тезата, че </w:t>
      </w:r>
      <w:r w:rsidR="0065613C">
        <w:rPr>
          <w:color w:val="000000" w:themeColor="text1"/>
          <w:szCs w:val="28"/>
        </w:rPr>
        <w:t>Сейго Ямадзава е носител не само на военна информация от театъра на бойните действия</w:t>
      </w:r>
      <w:r>
        <w:rPr>
          <w:color w:val="000000" w:themeColor="text1"/>
          <w:szCs w:val="28"/>
        </w:rPr>
        <w:t xml:space="preserve"> като военен наблюдател</w:t>
      </w:r>
      <w:r w:rsidR="0065613C">
        <w:rPr>
          <w:color w:val="000000" w:themeColor="text1"/>
          <w:szCs w:val="28"/>
        </w:rPr>
        <w:t xml:space="preserve"> – от преминаването на руската армия при Свищов до подписването на Санстефанския мирен договор, но той е и личност, участвала в героичните сражения в първия етап на дунавския фронт на Руско-турската война от 1877-1878 г. Сейго Ямадзава е първият самурай – стъпил в две епохи</w:t>
      </w:r>
      <w:r w:rsidR="00FC4D69">
        <w:rPr>
          <w:color w:val="000000" w:themeColor="text1"/>
          <w:szCs w:val="28"/>
        </w:rPr>
        <w:t xml:space="preserve"> за нашата страна</w:t>
      </w:r>
      <w:r w:rsidR="0065613C">
        <w:rPr>
          <w:color w:val="000000" w:themeColor="text1"/>
          <w:szCs w:val="28"/>
        </w:rPr>
        <w:t xml:space="preserve">: на </w:t>
      </w:r>
      <w:r w:rsidR="00FC4D69">
        <w:rPr>
          <w:color w:val="000000" w:themeColor="text1"/>
          <w:szCs w:val="28"/>
        </w:rPr>
        <w:t>поробена и на свободна България. Т</w:t>
      </w:r>
      <w:r w:rsidR="0065613C">
        <w:rPr>
          <w:color w:val="000000" w:themeColor="text1"/>
          <w:szCs w:val="28"/>
        </w:rPr>
        <w:t xml:space="preserve">ой справедливо следва да заеме своето достойно място в пантеона на всички онези личности, които са се сражавали за свободата на </w:t>
      </w:r>
      <w:r>
        <w:rPr>
          <w:color w:val="000000" w:themeColor="text1"/>
          <w:szCs w:val="28"/>
        </w:rPr>
        <w:t>България</w:t>
      </w:r>
      <w:r w:rsidR="00FC4D69">
        <w:rPr>
          <w:color w:val="000000" w:themeColor="text1"/>
          <w:szCs w:val="28"/>
        </w:rPr>
        <w:t xml:space="preserve"> заради приносите, които има в тази война.</w:t>
      </w:r>
    </w:p>
    <w:p w:rsidR="00D63A24" w:rsidRDefault="00D63A24" w:rsidP="00D63A24">
      <w:pPr>
        <w:ind w:left="708" w:right="-720" w:firstLine="708"/>
        <w:jc w:val="both"/>
        <w:rPr>
          <w:color w:val="000000" w:themeColor="text1"/>
          <w:szCs w:val="28"/>
          <w:lang w:val="en-US"/>
        </w:rPr>
      </w:pPr>
    </w:p>
    <w:p w:rsidR="00D63A24" w:rsidRDefault="00D63A24" w:rsidP="00D63A24">
      <w:pPr>
        <w:ind w:left="708" w:right="-720" w:firstLine="708"/>
        <w:jc w:val="both"/>
        <w:rPr>
          <w:color w:val="000000" w:themeColor="text1"/>
          <w:szCs w:val="28"/>
          <w:lang w:val="en-US"/>
        </w:rPr>
      </w:pPr>
    </w:p>
    <w:p w:rsidR="006A6230" w:rsidRDefault="00FC4D69" w:rsidP="00D63A24">
      <w:pPr>
        <w:ind w:firstLine="708"/>
        <w:jc w:val="both"/>
        <w:rPr>
          <w:color w:val="000000" w:themeColor="text1"/>
          <w:szCs w:val="28"/>
        </w:rPr>
      </w:pPr>
      <w:r>
        <w:rPr>
          <w:color w:val="000000" w:themeColor="text1"/>
          <w:szCs w:val="28"/>
        </w:rPr>
        <w:lastRenderedPageBreak/>
        <w:t>Сейго Ямадзава следва да бъде почитан като герой</w:t>
      </w:r>
      <w:r w:rsidR="00212537">
        <w:rPr>
          <w:color w:val="000000" w:themeColor="text1"/>
          <w:szCs w:val="28"/>
        </w:rPr>
        <w:t xml:space="preserve"> от </w:t>
      </w:r>
      <w:r>
        <w:rPr>
          <w:color w:val="000000" w:themeColor="text1"/>
          <w:szCs w:val="28"/>
        </w:rPr>
        <w:t xml:space="preserve">дунавския фронт на Руско-турската </w:t>
      </w:r>
      <w:r w:rsidR="0065613C">
        <w:rPr>
          <w:color w:val="000000" w:themeColor="text1"/>
          <w:szCs w:val="28"/>
        </w:rPr>
        <w:t xml:space="preserve">война </w:t>
      </w:r>
      <w:r>
        <w:rPr>
          <w:color w:val="000000" w:themeColor="text1"/>
          <w:szCs w:val="28"/>
        </w:rPr>
        <w:t>1877-1878 г., увенчана с Освобождението на България – с всички</w:t>
      </w:r>
      <w:r w:rsidR="0065613C">
        <w:rPr>
          <w:color w:val="000000" w:themeColor="text1"/>
          <w:szCs w:val="28"/>
        </w:rPr>
        <w:t xml:space="preserve"> полагащ</w:t>
      </w:r>
      <w:r w:rsidR="003813DB">
        <w:rPr>
          <w:color w:val="000000" w:themeColor="text1"/>
          <w:szCs w:val="28"/>
        </w:rPr>
        <w:t xml:space="preserve">и му се високи </w:t>
      </w:r>
      <w:r>
        <w:rPr>
          <w:color w:val="000000" w:themeColor="text1"/>
          <w:szCs w:val="28"/>
        </w:rPr>
        <w:t xml:space="preserve">обществени и </w:t>
      </w:r>
      <w:r w:rsidR="003813DB">
        <w:rPr>
          <w:color w:val="000000" w:themeColor="text1"/>
          <w:szCs w:val="28"/>
        </w:rPr>
        <w:t>войнски почести.</w:t>
      </w:r>
    </w:p>
    <w:p w:rsidR="00FC4D69" w:rsidRPr="00FC4D69" w:rsidRDefault="00FC4D69" w:rsidP="00FC4D69">
      <w:pPr>
        <w:ind w:right="-720"/>
        <w:jc w:val="both"/>
        <w:rPr>
          <w:iCs/>
          <w:szCs w:val="28"/>
        </w:rPr>
      </w:pPr>
    </w:p>
    <w:p w:rsidR="006A6230" w:rsidRDefault="003F3D08" w:rsidP="006A6230">
      <w:pPr>
        <w:jc w:val="both"/>
        <w:rPr>
          <w:szCs w:val="23"/>
        </w:rPr>
      </w:pPr>
      <w:r>
        <w:rPr>
          <w:b/>
          <w:szCs w:val="28"/>
        </w:rPr>
        <w:t>Методология на изследването</w:t>
      </w:r>
      <w:r w:rsidR="005B08DD" w:rsidRPr="009C0C5E">
        <w:rPr>
          <w:b/>
          <w:szCs w:val="28"/>
        </w:rPr>
        <w:t>.</w:t>
      </w:r>
      <w:r w:rsidR="005B08DD" w:rsidRPr="009C0C5E">
        <w:rPr>
          <w:szCs w:val="28"/>
        </w:rPr>
        <w:t xml:space="preserve"> </w:t>
      </w:r>
      <w:r w:rsidR="005B08DD">
        <w:rPr>
          <w:szCs w:val="28"/>
        </w:rPr>
        <w:t xml:space="preserve">Научното изследване </w:t>
      </w:r>
      <w:r w:rsidR="006A6230" w:rsidRPr="006A6230">
        <w:rPr>
          <w:szCs w:val="23"/>
        </w:rPr>
        <w:t>е структуриран</w:t>
      </w:r>
      <w:r w:rsidR="006A6230">
        <w:rPr>
          <w:szCs w:val="23"/>
        </w:rPr>
        <w:t>о</w:t>
      </w:r>
      <w:r w:rsidR="006A6230" w:rsidRPr="006A6230">
        <w:rPr>
          <w:szCs w:val="23"/>
        </w:rPr>
        <w:t xml:space="preserve"> в три научноизследователски глави със съответната уводна и заключителна част и част </w:t>
      </w:r>
      <w:r w:rsidR="006A6230">
        <w:rPr>
          <w:szCs w:val="23"/>
        </w:rPr>
        <w:t>„Приложения”</w:t>
      </w:r>
      <w:r w:rsidR="006A6230" w:rsidRPr="006A6230">
        <w:rPr>
          <w:szCs w:val="23"/>
        </w:rPr>
        <w:t xml:space="preserve">. </w:t>
      </w:r>
    </w:p>
    <w:p w:rsidR="006A6230" w:rsidRPr="006A6230" w:rsidRDefault="006A6230" w:rsidP="006A6230">
      <w:pPr>
        <w:ind w:firstLine="567"/>
        <w:jc w:val="both"/>
        <w:rPr>
          <w:szCs w:val="28"/>
        </w:rPr>
      </w:pPr>
      <w:r w:rsidRPr="006A6230">
        <w:rPr>
          <w:szCs w:val="23"/>
        </w:rPr>
        <w:t xml:space="preserve">В уводния раздел е представен изследователският проблем, целите и задачите на изследването, както и използваната методологическа рамка и източникова база. Първата глава разглежда </w:t>
      </w:r>
      <w:r w:rsidRPr="006A6230">
        <w:rPr>
          <w:szCs w:val="28"/>
        </w:rPr>
        <w:t>историческия и политическия контекст на епохата Мейджи и международната обстановка през втората половина на XIX век, включително процесите на модернизация в Япония и развитието на европейските военни конфликти. Следващите раздели са посветени на биографията на Сейго Ямадзава, неговия произход в област Сацума (Кагошима), военната му кариера и участието му като наблюдател към руската армия по време на Руско-турската война (1877–1878 г.).</w:t>
      </w:r>
    </w:p>
    <w:p w:rsidR="00C11288" w:rsidRDefault="006A6230" w:rsidP="00C11288">
      <w:pPr>
        <w:ind w:firstLine="567"/>
        <w:jc w:val="both"/>
        <w:rPr>
          <w:szCs w:val="28"/>
        </w:rPr>
      </w:pPr>
      <w:r w:rsidRPr="006A6230">
        <w:rPr>
          <w:szCs w:val="28"/>
        </w:rPr>
        <w:t>В рамките на първата глава на изследването се анализира голям масив от японски архивни документи</w:t>
      </w:r>
      <w:r>
        <w:rPr>
          <w:szCs w:val="28"/>
        </w:rPr>
        <w:t xml:space="preserve"> (27 документа от </w:t>
      </w:r>
      <w:r>
        <w:rPr>
          <w:szCs w:val="28"/>
          <w:lang w:val="en-US"/>
        </w:rPr>
        <w:t>JACAR)</w:t>
      </w:r>
      <w:r w:rsidRPr="006A6230">
        <w:rPr>
          <w:szCs w:val="28"/>
        </w:rPr>
        <w:t xml:space="preserve">, сведения за военните отличия на Ямадзава и неговата роля във войната. В тази част са ползвани и исторически източници на руски език, позволяващи реконструкция на неговото пребиваване в района на военните действия. </w:t>
      </w:r>
      <w:r w:rsidR="00C11288">
        <w:rPr>
          <w:szCs w:val="28"/>
        </w:rPr>
        <w:t xml:space="preserve">Това са два източника: </w:t>
      </w:r>
    </w:p>
    <w:p w:rsidR="00C11288" w:rsidRPr="00C11288" w:rsidRDefault="00C11288" w:rsidP="00C11288">
      <w:pPr>
        <w:pStyle w:val="ListParagraph"/>
        <w:numPr>
          <w:ilvl w:val="0"/>
          <w:numId w:val="2"/>
        </w:numPr>
        <w:jc w:val="both"/>
        <w:rPr>
          <w:szCs w:val="28"/>
        </w:rPr>
      </w:pPr>
      <w:r>
        <w:rPr>
          <w:szCs w:val="28"/>
        </w:rPr>
        <w:t>д</w:t>
      </w:r>
      <w:r w:rsidRPr="00C11288">
        <w:rPr>
          <w:szCs w:val="28"/>
        </w:rPr>
        <w:t xml:space="preserve">окумент № 28 по подребата в монографичното изследване – </w:t>
      </w:r>
      <w:r>
        <w:rPr>
          <w:color w:val="000000"/>
          <w:szCs w:val="28"/>
          <w:lang w:eastAsia="en-US"/>
        </w:rPr>
        <w:t>с</w:t>
      </w:r>
      <w:r w:rsidRPr="00C11288">
        <w:rPr>
          <w:color w:val="000000"/>
          <w:szCs w:val="28"/>
          <w:lang w:eastAsia="en-US"/>
        </w:rPr>
        <w:t>видетелство на руския генерал от пехотата Михаил Александрович Газенкампф относно Сейго Ямадзава</w:t>
      </w:r>
      <w:r>
        <w:rPr>
          <w:color w:val="000000"/>
          <w:szCs w:val="28"/>
          <w:lang w:eastAsia="en-US"/>
        </w:rPr>
        <w:t>;</w:t>
      </w:r>
      <w:r w:rsidRPr="00C11288">
        <w:rPr>
          <w:color w:val="000000"/>
          <w:szCs w:val="28"/>
          <w:lang w:eastAsia="en-US"/>
        </w:rPr>
        <w:t xml:space="preserve"> и </w:t>
      </w:r>
    </w:p>
    <w:p w:rsidR="00C11288" w:rsidRPr="00C11288" w:rsidRDefault="00C11288" w:rsidP="00C11288">
      <w:pPr>
        <w:pStyle w:val="ListParagraph"/>
        <w:numPr>
          <w:ilvl w:val="0"/>
          <w:numId w:val="2"/>
        </w:numPr>
        <w:jc w:val="both"/>
        <w:rPr>
          <w:szCs w:val="28"/>
        </w:rPr>
      </w:pPr>
      <w:r>
        <w:rPr>
          <w:color w:val="000000"/>
          <w:szCs w:val="28"/>
          <w:lang w:eastAsia="en-US"/>
        </w:rPr>
        <w:t>д</w:t>
      </w:r>
      <w:r w:rsidRPr="00C11288">
        <w:rPr>
          <w:color w:val="000000"/>
          <w:szCs w:val="28"/>
          <w:lang w:eastAsia="en-US"/>
        </w:rPr>
        <w:t>окумент № 29</w:t>
      </w:r>
      <w:r w:rsidRPr="00C11288">
        <w:rPr>
          <w:szCs w:val="28"/>
        </w:rPr>
        <w:t xml:space="preserve"> </w:t>
      </w:r>
      <w:r>
        <w:rPr>
          <w:szCs w:val="28"/>
        </w:rPr>
        <w:t xml:space="preserve">– </w:t>
      </w:r>
      <w:r>
        <w:rPr>
          <w:color w:val="000000"/>
          <w:szCs w:val="28"/>
          <w:lang w:eastAsia="en-US"/>
        </w:rPr>
        <w:t>и</w:t>
      </w:r>
      <w:r w:rsidRPr="00C11288">
        <w:rPr>
          <w:color w:val="000000"/>
          <w:szCs w:val="28"/>
          <w:lang w:eastAsia="en-US"/>
        </w:rPr>
        <w:t>мператорски указ относно добавянето на мечове към руските ордени за военни заслуги</w:t>
      </w:r>
      <w:r w:rsidR="006E3B72">
        <w:rPr>
          <w:color w:val="000000"/>
          <w:sz w:val="23"/>
          <w:szCs w:val="23"/>
          <w:lang w:eastAsia="en-US"/>
        </w:rPr>
        <w:t>;</w:t>
      </w:r>
    </w:p>
    <w:p w:rsidR="003813DB" w:rsidRDefault="003813DB" w:rsidP="003813DB">
      <w:pPr>
        <w:jc w:val="both"/>
        <w:rPr>
          <w:szCs w:val="28"/>
        </w:rPr>
      </w:pPr>
    </w:p>
    <w:p w:rsidR="00FC4D69" w:rsidRDefault="006A6230" w:rsidP="004F2DBD">
      <w:pPr>
        <w:ind w:firstLine="708"/>
        <w:jc w:val="both"/>
        <w:rPr>
          <w:szCs w:val="28"/>
        </w:rPr>
      </w:pPr>
      <w:r w:rsidRPr="006A6230">
        <w:rPr>
          <w:szCs w:val="28"/>
        </w:rPr>
        <w:t xml:space="preserve">Във втората и третата глави на монографичното изследване са </w:t>
      </w:r>
      <w:r w:rsidR="00C11288">
        <w:rPr>
          <w:szCs w:val="28"/>
        </w:rPr>
        <w:t>извършени изследвания „на терен”</w:t>
      </w:r>
      <w:r w:rsidRPr="006A6230">
        <w:rPr>
          <w:szCs w:val="28"/>
        </w:rPr>
        <w:t xml:space="preserve"> във връзка с военните паметници от войната, както и факти и обстоятелства, които биха могли да дадат допълнителна информация за хода на военните действия и придвижването на Генералния щаб на руската армия, с който се е придвижвал Сейго Ямадзава. Докато във втората глава се изследват конкретните битки, то в третата глава се обръща специално внимание на самурайския меч, който се съхранява в Регионалния исторически музей – Пловдив, както и на изкуството на овладяването на борбата с меч и българската практика в тази посока в наши дни. Заключителните части на труда обобщават основните резултати от изследването и очертават перспективи за бъдещи проучвания върху ранните исторически контакти между Българ</w:t>
      </w:r>
      <w:r w:rsidR="00C11288">
        <w:rPr>
          <w:szCs w:val="28"/>
        </w:rPr>
        <w:t xml:space="preserve">ия и Япония. </w:t>
      </w:r>
    </w:p>
    <w:p w:rsidR="00C11288" w:rsidRDefault="00C11288" w:rsidP="00FC4D69">
      <w:pPr>
        <w:ind w:left="708" w:right="-720" w:firstLine="708"/>
        <w:jc w:val="both"/>
        <w:rPr>
          <w:szCs w:val="28"/>
        </w:rPr>
      </w:pPr>
      <w:r>
        <w:rPr>
          <w:szCs w:val="28"/>
        </w:rPr>
        <w:lastRenderedPageBreak/>
        <w:t>В част „Приложения”</w:t>
      </w:r>
      <w:r w:rsidR="006A6230" w:rsidRPr="006A6230">
        <w:rPr>
          <w:szCs w:val="28"/>
        </w:rPr>
        <w:t xml:space="preserve"> са представени </w:t>
      </w:r>
      <w:r w:rsidR="004F2DBD">
        <w:rPr>
          <w:szCs w:val="28"/>
        </w:rPr>
        <w:t xml:space="preserve">15 </w:t>
      </w:r>
      <w:r w:rsidR="006A6230" w:rsidRPr="006A6230">
        <w:rPr>
          <w:szCs w:val="28"/>
        </w:rPr>
        <w:t xml:space="preserve">допълнителни </w:t>
      </w:r>
      <w:r w:rsidR="004F2DBD">
        <w:rPr>
          <w:szCs w:val="28"/>
        </w:rPr>
        <w:t>материала</w:t>
      </w:r>
      <w:r w:rsidR="006A6230" w:rsidRPr="006A6230">
        <w:rPr>
          <w:szCs w:val="28"/>
        </w:rPr>
        <w:t>, които са част от теренните изследвания, допринасящи за по-ясното разбиране на историческата ситуация към онзи момент, както</w:t>
      </w:r>
      <w:r>
        <w:rPr>
          <w:szCs w:val="28"/>
        </w:rPr>
        <w:t xml:space="preserve"> и технически бележки и преводи; в монографичното изследване има и огромен снимков материал, като изследването съдържа почти 89’000 думи.</w:t>
      </w:r>
    </w:p>
    <w:p w:rsidR="003813DB" w:rsidRDefault="003813DB" w:rsidP="003813DB">
      <w:pPr>
        <w:ind w:left="720" w:right="-720"/>
        <w:jc w:val="both"/>
        <w:rPr>
          <w:szCs w:val="28"/>
        </w:rPr>
      </w:pPr>
    </w:p>
    <w:p w:rsidR="006E3B72" w:rsidRPr="006E3B72" w:rsidRDefault="00C11288" w:rsidP="003813DB">
      <w:pPr>
        <w:ind w:left="720" w:right="-720"/>
        <w:jc w:val="both"/>
        <w:rPr>
          <w:lang w:val="en-US"/>
        </w:rPr>
      </w:pPr>
      <w:r w:rsidRPr="00C11288">
        <w:rPr>
          <w:b/>
          <w:szCs w:val="28"/>
        </w:rPr>
        <w:t>Актуалност и теоретична рамка.</w:t>
      </w:r>
      <w:r w:rsidRPr="00C11288">
        <w:rPr>
          <w:szCs w:val="28"/>
        </w:rPr>
        <w:t xml:space="preserve"> Изследването на</w:t>
      </w:r>
      <w:r>
        <w:rPr>
          <w:szCs w:val="28"/>
        </w:rPr>
        <w:t xml:space="preserve"> </w:t>
      </w:r>
      <w:r w:rsidRPr="00C11288">
        <w:rPr>
          <w:szCs w:val="28"/>
        </w:rPr>
        <w:t>присъствието и дейността на японския офицер Сейго Ямадзава в контекста на Руско-турската война</w:t>
      </w:r>
      <w:r>
        <w:rPr>
          <w:szCs w:val="28"/>
        </w:rPr>
        <w:t xml:space="preserve"> от </w:t>
      </w:r>
      <w:r w:rsidRPr="00C11288">
        <w:rPr>
          <w:szCs w:val="28"/>
        </w:rPr>
        <w:t>1877–1878 г</w:t>
      </w:r>
      <w:r>
        <w:rPr>
          <w:szCs w:val="28"/>
        </w:rPr>
        <w:t>. е</w:t>
      </w:r>
      <w:r w:rsidRPr="00C11288">
        <w:rPr>
          <w:szCs w:val="28"/>
        </w:rPr>
        <w:t xml:space="preserve"> разгледано в съчетание с културно-историческите особености на самурайската традиция през ранната епоха Мейджи</w:t>
      </w:r>
      <w:r>
        <w:rPr>
          <w:szCs w:val="28"/>
        </w:rPr>
        <w:t xml:space="preserve">. Това </w:t>
      </w:r>
      <w:r w:rsidRPr="00C11288">
        <w:rPr>
          <w:szCs w:val="28"/>
        </w:rPr>
        <w:t xml:space="preserve"> поставя </w:t>
      </w:r>
      <w:r>
        <w:rPr>
          <w:szCs w:val="28"/>
        </w:rPr>
        <w:t xml:space="preserve">на дневен ред един </w:t>
      </w:r>
      <w:r w:rsidRPr="00C11288">
        <w:rPr>
          <w:szCs w:val="28"/>
        </w:rPr>
        <w:t xml:space="preserve">сложен интердисциплинарен изследователски проблем. </w:t>
      </w:r>
      <w:r>
        <w:rPr>
          <w:szCs w:val="28"/>
        </w:rPr>
        <w:t>Изследователската проблематика</w:t>
      </w:r>
      <w:r w:rsidRPr="00C11288">
        <w:rPr>
          <w:szCs w:val="28"/>
        </w:rPr>
        <w:t xml:space="preserve"> се намира на пресечната точка между военната история, японистиката, историята на международните отношения и културната антропология. Това налага внимателно разграничение между документално установими факти, вероятни реконструкции и интерпретативни хипотези, както и критично отношение към различните типове исторически свидетелства. В настоящото изследване терминът </w:t>
      </w:r>
      <w:r w:rsidR="006E3B72">
        <w:rPr>
          <w:szCs w:val="28"/>
        </w:rPr>
        <w:t xml:space="preserve">„самурай” </w:t>
      </w:r>
      <w:r w:rsidRPr="00C11288">
        <w:rPr>
          <w:szCs w:val="28"/>
        </w:rPr>
        <w:t>се използва в културно-исторически смисъл, отчитайки преходния характер на периода Мейджи и мястото на Ямадзава като представител на самурайската традиция. Макар към периода на Руско-турската война Япония вече да изгражда модерна императорска армия, фигури като Сейго Ямадзава продължават да носят ценности, произход и социална идентичност, свързани със самурайската среда на Сацума</w:t>
      </w:r>
      <w:r w:rsidR="006E3B72">
        <w:rPr>
          <w:szCs w:val="28"/>
        </w:rPr>
        <w:t xml:space="preserve"> (дн. Кагошима)</w:t>
      </w:r>
      <w:r w:rsidRPr="00C11288">
        <w:rPr>
          <w:szCs w:val="28"/>
        </w:rPr>
        <w:t xml:space="preserve">. Присъствието на Сейго Ямадзава в българските земи до този момент остава сравнително ограничено представено в академичните изследвания, а по въпроса за характера и обхвата на неговата дейност по време на Руско-турската </w:t>
      </w:r>
      <w:r w:rsidRPr="006E3B72">
        <w:t>война</w:t>
      </w:r>
      <w:r w:rsidR="006E3B72" w:rsidRPr="006E3B72">
        <w:t xml:space="preserve"> </w:t>
      </w:r>
      <w:r w:rsidRPr="006E3B72">
        <w:t>1877–1878 г</w:t>
      </w:r>
      <w:r w:rsidR="006E3B72" w:rsidRPr="006E3B72">
        <w:t>.</w:t>
      </w:r>
      <w:r w:rsidRPr="006E3B72">
        <w:t xml:space="preserve"> продължават да се водят отделни научни дискусии.</w:t>
      </w:r>
    </w:p>
    <w:p w:rsidR="006E3B72" w:rsidRDefault="006E3B72" w:rsidP="006E3B72">
      <w:pPr>
        <w:ind w:left="720" w:right="-720" w:firstLine="567"/>
        <w:jc w:val="both"/>
      </w:pPr>
      <w:r w:rsidRPr="006E3B72">
        <w:t>Следва да се отбележи, че в изследването на Евгений Кандиларов и Вера Стефанова (2019)</w:t>
      </w:r>
      <w:r>
        <w:rPr>
          <w:lang w:val="en-US"/>
        </w:rPr>
        <w:t xml:space="preserve"> [2]</w:t>
      </w:r>
      <w:r w:rsidRPr="006E3B72">
        <w:t xml:space="preserve"> въз основа на верифицирана и документално потвърдена информация, за първи път </w:t>
      </w:r>
      <w:r>
        <w:t>е</w:t>
      </w:r>
      <w:r w:rsidRPr="006E3B72">
        <w:t xml:space="preserve"> систематично представено мястото и ролята на Ямадзава по време на войната, както и вписването на тази личност в историята на българо-японските отношения. </w:t>
      </w:r>
    </w:p>
    <w:p w:rsidR="00FC4D69" w:rsidRDefault="006E3B72" w:rsidP="004F2DBD">
      <w:pPr>
        <w:ind w:left="720" w:right="-720" w:firstLine="567"/>
        <w:jc w:val="both"/>
      </w:pPr>
      <w:r>
        <w:t>Изследването „Първият самурай”</w:t>
      </w:r>
      <w:r w:rsidRPr="006E3B72">
        <w:t xml:space="preserve"> надгражда тази изследователска основа чрез допълнителен архивен анализ, критически прочит на изворовия корпус и интерпретативна реконструкция, ясно маркирана като такава. В националните и социалните медии, както и в публицистични и художествени текстове, съществуват множество интерпретации, посветени на личността на Сейго Ямадзава; част от по-значимите публикации са обобщени от Кандиларов и Стефанова (2019). </w:t>
      </w:r>
    </w:p>
    <w:p w:rsidR="006E3B72" w:rsidRDefault="006E3B72" w:rsidP="00FC4D69">
      <w:pPr>
        <w:ind w:firstLine="708"/>
        <w:jc w:val="both"/>
      </w:pPr>
      <w:r w:rsidRPr="006E3B72">
        <w:lastRenderedPageBreak/>
        <w:t>Изрично следва да се подчертае, че значителна част от медийните материали в страната са фрагментарни, разнопосочно интерпретирани или основани на непълна фактологична база. Липсата на достатъчно проверима информация закономерно поражда митологизация и легендаризация на образа на Ямадзава. Ето защо настоящото изследване не разглежда темата като непозната за българското общество, а като обект на нов научен прочит, основан на верифицирани исторически източници</w:t>
      </w:r>
      <w:r>
        <w:t>.</w:t>
      </w:r>
    </w:p>
    <w:p w:rsidR="006E3B72" w:rsidRDefault="006E3B72" w:rsidP="006E3B72">
      <w:pPr>
        <w:ind w:firstLine="567"/>
        <w:jc w:val="both"/>
      </w:pPr>
    </w:p>
    <w:p w:rsidR="006E3B72" w:rsidRPr="006E3B72" w:rsidRDefault="006E3B72" w:rsidP="006E3B72">
      <w:pPr>
        <w:autoSpaceDE w:val="0"/>
        <w:autoSpaceDN w:val="0"/>
        <w:adjustRightInd w:val="0"/>
        <w:jc w:val="both"/>
        <w:rPr>
          <w:color w:val="000000" w:themeColor="text1"/>
          <w:szCs w:val="28"/>
          <w:lang w:eastAsia="en-US"/>
        </w:rPr>
      </w:pPr>
      <w:r w:rsidRPr="006E3B72">
        <w:rPr>
          <w:b/>
          <w:bCs/>
          <w:i/>
          <w:iCs/>
          <w:color w:val="000000" w:themeColor="text1"/>
          <w:szCs w:val="28"/>
          <w:lang w:eastAsia="en-US"/>
        </w:rPr>
        <w:t xml:space="preserve">Обект, предмет и изследователски проблем. </w:t>
      </w:r>
      <w:r w:rsidRPr="006E3B72">
        <w:rPr>
          <w:color w:val="000000" w:themeColor="text1"/>
          <w:szCs w:val="28"/>
          <w:lang w:eastAsia="en-US"/>
        </w:rPr>
        <w:t xml:space="preserve">Обект на изследването е личността на Сейго Ямадзава като исторически и културен феномен, разглеждан в контекста на транснационалните военни, политически и културни взаимодействия </w:t>
      </w:r>
      <w:r>
        <w:rPr>
          <w:color w:val="000000" w:themeColor="text1"/>
          <w:szCs w:val="28"/>
          <w:lang w:eastAsia="en-US"/>
        </w:rPr>
        <w:t xml:space="preserve">през втората половина на XIX-ти. </w:t>
      </w:r>
      <w:r w:rsidRPr="006E3B72">
        <w:rPr>
          <w:color w:val="000000" w:themeColor="text1"/>
          <w:szCs w:val="28"/>
          <w:lang w:eastAsia="en-US"/>
        </w:rPr>
        <w:t>Предмет на изследването е многомерната идентичност на Ямадзава: като самурай от Кагошима (Сацума), като офицер в но</w:t>
      </w:r>
      <w:r>
        <w:rPr>
          <w:color w:val="000000" w:themeColor="text1"/>
          <w:szCs w:val="28"/>
          <w:lang w:eastAsia="en-US"/>
        </w:rPr>
        <w:t>вата и</w:t>
      </w:r>
      <w:r w:rsidRPr="006E3B72">
        <w:rPr>
          <w:color w:val="000000" w:themeColor="text1"/>
          <w:szCs w:val="28"/>
          <w:lang w:eastAsia="en-US"/>
        </w:rPr>
        <w:t>мператорска армия на Япония и като военен наблюдател, прикрепен към руската армия. В рамките на предметния обхват се обсъждат и хипотези за характера на неговото присъствие и възможните форми на активност, доколкото това позволява наличният изворов материал. Изследването насочва вниманието, че Сейго Ямадзава е бил зачислен като подполковник от пехотата в IX-ти армейски корпус на Руската армия под командването на генерал-лейтенант барон Николай Криденер, който също е и началник на Западния руски отряд. В IX-ти корпус са включени 5-та и 31-ва пехотни руски дивизии с обща численост от около двадесет до двадесет и пет хиляди души.</w:t>
      </w:r>
    </w:p>
    <w:p w:rsidR="006E3B72" w:rsidRDefault="006E3B72" w:rsidP="006E3B72">
      <w:pPr>
        <w:ind w:firstLine="567"/>
        <w:jc w:val="both"/>
        <w:rPr>
          <w:color w:val="000000" w:themeColor="text1"/>
          <w:szCs w:val="28"/>
          <w:lang w:eastAsia="en-US"/>
        </w:rPr>
      </w:pPr>
      <w:r w:rsidRPr="006E3B72">
        <w:rPr>
          <w:color w:val="000000" w:themeColor="text1"/>
          <w:szCs w:val="28"/>
          <w:lang w:eastAsia="en-US"/>
        </w:rPr>
        <w:t xml:space="preserve">В исторически план ключовите битки на IX-ти армейски корпус са превземането на гр. Никопол след форсирането на река Дунав при Свищов през юли, 1877 г. и обсадата на Плевен пò късно през същата година. Важно е да се отбележи, че IX-ти армейски корпус се включва в изключително тежкото преминаване на Балкана през зимата под командването на генерал Йосиф Гурко и се движи до Цариград до самото подписване на Санстефанския мирен договор. </w:t>
      </w:r>
    </w:p>
    <w:p w:rsidR="00FC4D69" w:rsidRDefault="006E3B72" w:rsidP="004F2DBD">
      <w:pPr>
        <w:ind w:firstLine="567"/>
        <w:jc w:val="both"/>
        <w:rPr>
          <w:color w:val="000000" w:themeColor="text1"/>
          <w:szCs w:val="28"/>
          <w:lang w:eastAsia="en-US"/>
        </w:rPr>
      </w:pPr>
      <w:r w:rsidRPr="006E3B72">
        <w:rPr>
          <w:color w:val="000000" w:themeColor="text1"/>
          <w:szCs w:val="28"/>
          <w:lang w:eastAsia="en-US"/>
        </w:rPr>
        <w:t xml:space="preserve">Нещо повече – една от кръвопролитните и важни битки при обсадата на Плевен е и битката за прекъсване на комуникациите при Горни Дъбник (октомври, 1877 г.). </w:t>
      </w:r>
    </w:p>
    <w:p w:rsidR="00FC4D69" w:rsidRDefault="006E3B72" w:rsidP="004F2DBD">
      <w:pPr>
        <w:ind w:firstLine="567"/>
        <w:jc w:val="both"/>
        <w:rPr>
          <w:color w:val="000000" w:themeColor="text1"/>
          <w:szCs w:val="28"/>
          <w:lang w:eastAsia="en-US"/>
        </w:rPr>
      </w:pPr>
      <w:r w:rsidRPr="006E3B72">
        <w:rPr>
          <w:color w:val="000000" w:themeColor="text1"/>
          <w:szCs w:val="28"/>
          <w:lang w:eastAsia="en-US"/>
        </w:rPr>
        <w:t>Според японските архивни документи Сейго Ямадзава е имал за задача да следи и за състоянието на комуникациите по време на военните действия и това обстоятелство също навежда на мисълта, че като част от IX-ти армейски корпус, заедно с лейбгвардейските части (основно финландци) той също е би</w:t>
      </w:r>
      <w:r w:rsidR="00D63A24">
        <w:rPr>
          <w:color w:val="000000" w:themeColor="text1"/>
          <w:szCs w:val="28"/>
          <w:lang w:eastAsia="en-US"/>
        </w:rPr>
        <w:t>л на театъра на бойните действия</w:t>
      </w:r>
      <w:r w:rsidRPr="006E3B72">
        <w:rPr>
          <w:color w:val="000000" w:themeColor="text1"/>
          <w:szCs w:val="28"/>
          <w:lang w:eastAsia="en-US"/>
        </w:rPr>
        <w:t xml:space="preserve"> там в критичните моменти /няколко атаки през нощта срещу укрепленията на османската армия, включващи лазене по корем, придвижване на лакти и близък бой с хладно оръжие/. </w:t>
      </w:r>
    </w:p>
    <w:p w:rsidR="00FC4D69" w:rsidRDefault="00FC4D69" w:rsidP="004F2DBD">
      <w:pPr>
        <w:ind w:firstLine="567"/>
        <w:jc w:val="both"/>
        <w:rPr>
          <w:color w:val="000000" w:themeColor="text1"/>
          <w:szCs w:val="28"/>
          <w:lang w:eastAsia="en-US"/>
        </w:rPr>
      </w:pPr>
    </w:p>
    <w:p w:rsidR="009054E6" w:rsidRDefault="006E3B72" w:rsidP="00FC4D69">
      <w:pPr>
        <w:ind w:left="540" w:right="-810" w:firstLine="708"/>
        <w:jc w:val="both"/>
        <w:rPr>
          <w:color w:val="000000" w:themeColor="text1"/>
          <w:szCs w:val="28"/>
          <w:lang w:eastAsia="en-US"/>
        </w:rPr>
      </w:pPr>
      <w:r w:rsidRPr="006E3B72">
        <w:rPr>
          <w:color w:val="000000" w:themeColor="text1"/>
          <w:szCs w:val="28"/>
          <w:lang w:eastAsia="en-US"/>
        </w:rPr>
        <w:lastRenderedPageBreak/>
        <w:t>Предвид критичните битки при Плевен и въобще за цялостния ход на освободителната за българите война, научният проблем при настоящото изсл</w:t>
      </w:r>
      <w:r w:rsidR="003813DB">
        <w:rPr>
          <w:color w:val="000000" w:themeColor="text1"/>
          <w:szCs w:val="28"/>
          <w:lang w:eastAsia="en-US"/>
        </w:rPr>
        <w:t>едване има двустранен характер.</w:t>
      </w:r>
      <w:r w:rsidR="004F2DBD">
        <w:rPr>
          <w:color w:val="000000" w:themeColor="text1"/>
          <w:szCs w:val="28"/>
          <w:lang w:eastAsia="en-US"/>
        </w:rPr>
        <w:t xml:space="preserve"> </w:t>
      </w:r>
      <w:r w:rsidRPr="006E3B72">
        <w:rPr>
          <w:color w:val="000000" w:themeColor="text1"/>
          <w:szCs w:val="28"/>
          <w:lang w:eastAsia="en-US"/>
        </w:rPr>
        <w:t>От една страна, да се проследи участието на Сейго Ямадзава в т</w:t>
      </w:r>
      <w:r w:rsidR="004F2DBD">
        <w:rPr>
          <w:color w:val="000000" w:themeColor="text1"/>
          <w:szCs w:val="28"/>
          <w:lang w:eastAsia="en-US"/>
        </w:rPr>
        <w:t>ази война, изследвайки пътя на Г</w:t>
      </w:r>
      <w:r w:rsidRPr="006E3B72">
        <w:rPr>
          <w:color w:val="000000" w:themeColor="text1"/>
          <w:szCs w:val="28"/>
          <w:lang w:eastAsia="en-US"/>
        </w:rPr>
        <w:t>енералния щаб на руската армия при съществуваща асиметрия в източниците: японската страна предоставя сравнително компактни, но често трудни за интерпретация архивни данни, в българската историография липсват преки свидетелства за конкретните действия на Ямадзава в България, а в руските източници има сравнително ограничена информация за неговата личност. От друга страна, това поражда методологическо предизвикателство: необходимост от съпоставка на различни национални и жанрови корпуси: официални документи, архиви, материали за отличия, музейни артефакти, локална памет и популярни наративи – при високи изисквания за верификация.</w:t>
      </w:r>
    </w:p>
    <w:p w:rsidR="009054E6" w:rsidRDefault="009054E6" w:rsidP="009054E6">
      <w:pPr>
        <w:ind w:left="567" w:right="-720"/>
        <w:jc w:val="both"/>
        <w:rPr>
          <w:color w:val="000000" w:themeColor="text1"/>
          <w:szCs w:val="28"/>
          <w:lang w:eastAsia="en-US"/>
        </w:rPr>
      </w:pPr>
    </w:p>
    <w:p w:rsidR="004F2DBD" w:rsidRDefault="006E3B72" w:rsidP="004F2DBD">
      <w:pPr>
        <w:ind w:left="567" w:right="-720"/>
        <w:jc w:val="both"/>
        <w:rPr>
          <w:color w:val="000000" w:themeColor="text1"/>
          <w:szCs w:val="28"/>
          <w:lang w:eastAsia="en-US"/>
        </w:rPr>
      </w:pPr>
      <w:r w:rsidRPr="006E3B72">
        <w:rPr>
          <w:b/>
          <w:bCs/>
          <w:i/>
          <w:iCs/>
          <w:color w:val="000000"/>
          <w:szCs w:val="28"/>
          <w:lang w:eastAsia="en-US"/>
        </w:rPr>
        <w:t xml:space="preserve">Цел и задачи. </w:t>
      </w:r>
      <w:r w:rsidRPr="006E3B72">
        <w:rPr>
          <w:color w:val="000000"/>
          <w:szCs w:val="28"/>
          <w:lang w:eastAsia="en-US"/>
        </w:rPr>
        <w:t xml:space="preserve">Целта на монографичния труд е да предложи документално аргументирана реконструкция на най-вероятния сценарий за пребиваването и дейността на Сейго Ямадзава в </w:t>
      </w:r>
      <w:r w:rsidR="009054E6">
        <w:rPr>
          <w:color w:val="000000"/>
          <w:szCs w:val="28"/>
          <w:lang w:eastAsia="en-US"/>
        </w:rPr>
        <w:t>района на Руско-турската война 1877–1878 г.</w:t>
      </w:r>
      <w:r w:rsidRPr="006E3B72">
        <w:rPr>
          <w:color w:val="000000"/>
          <w:szCs w:val="28"/>
          <w:lang w:eastAsia="en-US"/>
        </w:rPr>
        <w:t>, като ясно разграничи доказаното от вероятното и от интерпретативното. Непосредствените задачи на</w:t>
      </w:r>
      <w:r w:rsidR="004F2DBD">
        <w:rPr>
          <w:color w:val="000000"/>
          <w:szCs w:val="28"/>
          <w:lang w:eastAsia="en-US"/>
        </w:rPr>
        <w:t xml:space="preserve"> изследването са свързани с установяването на приносите на Сейго Ямадзава в Освобождението на България. </w:t>
      </w:r>
    </w:p>
    <w:p w:rsidR="004F2DBD" w:rsidRDefault="004F2DBD" w:rsidP="004F2DBD">
      <w:pPr>
        <w:ind w:left="567" w:right="-720"/>
        <w:jc w:val="both"/>
        <w:rPr>
          <w:b/>
          <w:bCs/>
          <w:i/>
          <w:iCs/>
          <w:szCs w:val="28"/>
        </w:rPr>
      </w:pPr>
    </w:p>
    <w:p w:rsidR="00D63A24" w:rsidRDefault="00D63A24" w:rsidP="00D63A24">
      <w:pPr>
        <w:ind w:left="567" w:right="-720"/>
        <w:jc w:val="both"/>
        <w:rPr>
          <w:color w:val="000000"/>
          <w:szCs w:val="28"/>
          <w:lang w:eastAsia="en-US"/>
        </w:rPr>
      </w:pPr>
      <w:r>
        <w:rPr>
          <w:b/>
          <w:bCs/>
          <w:i/>
          <w:iCs/>
          <w:szCs w:val="28"/>
        </w:rPr>
        <w:t>Резултати от изследването и появата на с</w:t>
      </w:r>
      <w:r w:rsidR="009054E6" w:rsidRPr="009054E6">
        <w:rPr>
          <w:b/>
          <w:bCs/>
          <w:i/>
          <w:iCs/>
          <w:szCs w:val="28"/>
        </w:rPr>
        <w:t>пецифичен изследователски казус: мечът „уакизаши” в Пловдив</w:t>
      </w:r>
      <w:r>
        <w:rPr>
          <w:b/>
          <w:bCs/>
          <w:i/>
          <w:iCs/>
          <w:szCs w:val="28"/>
        </w:rPr>
        <w:t xml:space="preserve">. </w:t>
      </w:r>
      <w:r w:rsidR="009054E6" w:rsidRPr="009054E6">
        <w:rPr>
          <w:color w:val="000000"/>
          <w:szCs w:val="28"/>
          <w:lang w:eastAsia="en-US"/>
        </w:rPr>
        <w:t>Поради особеното обстоятелство, че за известен период от време Генералният щаб на руската армия е бил разположен в Пловдив и значителна част от българските воеводи и българи, участвали активно в опълчението са получавали заповеди от централното командване</w:t>
      </w:r>
      <w:r w:rsidR="004F2DBD">
        <w:rPr>
          <w:color w:val="000000"/>
          <w:szCs w:val="28"/>
          <w:lang w:eastAsia="en-US"/>
        </w:rPr>
        <w:t xml:space="preserve">. </w:t>
      </w:r>
      <w:r w:rsidR="009054E6" w:rsidRPr="009054E6">
        <w:rPr>
          <w:color w:val="000000"/>
          <w:szCs w:val="28"/>
          <w:lang w:eastAsia="en-US"/>
        </w:rPr>
        <w:t>Един от видните воеводи по това време е Капитан Петко Войвода, за ко</w:t>
      </w:r>
      <w:r w:rsidR="009054E6">
        <w:rPr>
          <w:color w:val="000000"/>
          <w:szCs w:val="28"/>
          <w:lang w:eastAsia="en-US"/>
        </w:rPr>
        <w:t>гото</w:t>
      </w:r>
      <w:r w:rsidR="009054E6" w:rsidRPr="009054E6">
        <w:rPr>
          <w:color w:val="000000"/>
          <w:szCs w:val="28"/>
          <w:lang w:eastAsia="en-US"/>
        </w:rPr>
        <w:t xml:space="preserve"> се знае, че се е познавал добре с генерал Михаил Скобелев и е получавал заповеди и указания за действия по време на войната. И поради това, че Сейго Ямадзава се е движил с генералния щаб (Н. Криденер, Й. Гурко, М. Скобелев, други) до Освобождението и е бил ясно разпознаваем, както от руските офицери (Ямадзава е комуникирал с руските офицери на френски език) така и от всички участващи – много вероятно е било да се е срещал и с български войводи и изявени български военни водачи като например Капитан Петко Войвода. Освен това при приключване на войната, носейки два самурайски меча, така както изискват традициите в Бушидо – катана и уакизаши, не би било учудващо, ако Сейго Ямадзава е запазил своя катана-меч за себе си, но е дарил личния си уакизаши-меч за спомен на присъстващите в Генералния щаб като ритуален знак в Пловдив да бъде запазен за поколеният</w:t>
      </w:r>
      <w:r w:rsidR="009054E6">
        <w:rPr>
          <w:color w:val="000000"/>
          <w:szCs w:val="28"/>
          <w:lang w:eastAsia="en-US"/>
        </w:rPr>
        <w:t>а самурайският „меч на победата”</w:t>
      </w:r>
      <w:r w:rsidR="009054E6" w:rsidRPr="009054E6">
        <w:rPr>
          <w:color w:val="000000"/>
          <w:szCs w:val="28"/>
          <w:lang w:eastAsia="en-US"/>
        </w:rPr>
        <w:t xml:space="preserve">. </w:t>
      </w:r>
    </w:p>
    <w:p w:rsidR="00D27150" w:rsidRPr="001B38A5" w:rsidRDefault="00D63A24" w:rsidP="001B38A5">
      <w:pPr>
        <w:ind w:left="-180" w:firstLine="888"/>
        <w:jc w:val="both"/>
        <w:rPr>
          <w:color w:val="000000"/>
          <w:szCs w:val="28"/>
          <w:lang w:eastAsia="en-US"/>
        </w:rPr>
      </w:pPr>
      <w:r w:rsidRPr="00D63A24">
        <w:rPr>
          <w:bCs/>
          <w:iCs/>
          <w:szCs w:val="28"/>
        </w:rPr>
        <w:lastRenderedPageBreak/>
        <w:t>Изследването</w:t>
      </w:r>
      <w:r>
        <w:rPr>
          <w:bCs/>
          <w:iCs/>
          <w:szCs w:val="28"/>
        </w:rPr>
        <w:t xml:space="preserve"> припомня и обстоятелството, че под командването на генерал-адютант Едуард Тотлебен се формира първото военно училище в освободена България и се окомплектова първата българска рота на Българската земска войска през месеците март-април, 1878 г. в гр. Пловдив. Днес официален правоприемник на това първо българско военно училище е Национален военен университет „Васил Левски” – гр. Велико Търново, а на основата на Българската земска войска е изградена Българската армия. </w:t>
      </w:r>
      <w:r w:rsidR="009054E6" w:rsidRPr="009054E6">
        <w:rPr>
          <w:color w:val="000000"/>
          <w:szCs w:val="28"/>
          <w:lang w:eastAsia="en-US"/>
        </w:rPr>
        <w:t xml:space="preserve">Ето защо </w:t>
      </w:r>
      <w:r>
        <w:rPr>
          <w:color w:val="000000"/>
          <w:szCs w:val="28"/>
          <w:lang w:eastAsia="en-US"/>
        </w:rPr>
        <w:t xml:space="preserve">изследването отдели </w:t>
      </w:r>
      <w:r w:rsidR="009054E6" w:rsidRPr="009054E6">
        <w:rPr>
          <w:color w:val="000000"/>
          <w:szCs w:val="28"/>
          <w:lang w:eastAsia="en-US"/>
        </w:rPr>
        <w:t>специално внимание в настоящата монография и на японския къс меч тип „</w:t>
      </w:r>
      <w:r w:rsidR="009054E6">
        <w:rPr>
          <w:color w:val="000000"/>
          <w:szCs w:val="28"/>
          <w:lang w:eastAsia="en-US"/>
        </w:rPr>
        <w:t>уакизаши”</w:t>
      </w:r>
      <w:r w:rsidR="009054E6" w:rsidRPr="009054E6">
        <w:rPr>
          <w:color w:val="000000"/>
          <w:szCs w:val="28"/>
          <w:lang w:eastAsia="en-US"/>
        </w:rPr>
        <w:t xml:space="preserve"> (XVII в.), съхраняван в Регионалния исторически музей – Пловдив.</w:t>
      </w:r>
      <w:r w:rsidR="001B38A5">
        <w:rPr>
          <w:color w:val="000000"/>
          <w:szCs w:val="28"/>
          <w:lang w:eastAsia="en-US"/>
        </w:rPr>
        <w:t xml:space="preserve"> </w:t>
      </w:r>
      <w:r w:rsidR="009054E6" w:rsidRPr="009054E6">
        <w:rPr>
          <w:color w:val="000000"/>
          <w:szCs w:val="28"/>
          <w:lang w:eastAsia="en-US"/>
        </w:rPr>
        <w:t xml:space="preserve">Проведените проучвания не предоставиха достатъчно доказателства, за да бъдат приети като установени следните работни хипотези: </w:t>
      </w:r>
      <w:r w:rsidR="00866BEC">
        <w:rPr>
          <w:color w:val="000000" w:themeColor="text1"/>
          <w:szCs w:val="28"/>
          <w:lang w:eastAsia="en-US"/>
        </w:rPr>
        <w:t>(</w:t>
      </w:r>
      <w:r w:rsidR="009054E6" w:rsidRPr="009054E6">
        <w:rPr>
          <w:color w:val="000000"/>
          <w:szCs w:val="28"/>
          <w:lang w:eastAsia="en-US"/>
        </w:rPr>
        <w:t xml:space="preserve">1) че мечът е принадлежал на Сейго Ямадзава; </w:t>
      </w:r>
      <w:r w:rsidR="00866BEC">
        <w:rPr>
          <w:color w:val="000000" w:themeColor="text1"/>
          <w:szCs w:val="28"/>
          <w:lang w:eastAsia="en-US"/>
        </w:rPr>
        <w:t>(</w:t>
      </w:r>
      <w:r w:rsidR="009054E6" w:rsidRPr="009054E6">
        <w:rPr>
          <w:color w:val="000000"/>
          <w:szCs w:val="28"/>
          <w:lang w:eastAsia="en-US"/>
        </w:rPr>
        <w:t xml:space="preserve">2) че е бил ритуално дарен в Пловдив; </w:t>
      </w:r>
      <w:r w:rsidR="00866BEC">
        <w:rPr>
          <w:color w:val="000000" w:themeColor="text1"/>
          <w:szCs w:val="28"/>
          <w:lang w:eastAsia="en-US"/>
        </w:rPr>
        <w:t>(</w:t>
      </w:r>
      <w:r w:rsidR="009054E6" w:rsidRPr="009054E6">
        <w:rPr>
          <w:color w:val="000000"/>
          <w:szCs w:val="28"/>
          <w:lang w:eastAsia="en-US"/>
        </w:rPr>
        <w:t>3) че е съществувала пряка лична среща между Ямадзава и Капитан Петко Войвода (и/или други български войводи), докато Генералният щаб на руската армия е бил разположен в Пловдив</w:t>
      </w:r>
      <w:r w:rsidR="00866BEC">
        <w:rPr>
          <w:color w:val="000000"/>
          <w:szCs w:val="28"/>
          <w:lang w:eastAsia="en-US"/>
        </w:rPr>
        <w:t>.</w:t>
      </w:r>
      <w:r w:rsidR="00866BEC">
        <w:rPr>
          <w:color w:val="000000" w:themeColor="text1"/>
          <w:szCs w:val="28"/>
          <w:lang w:eastAsia="en-US"/>
        </w:rPr>
        <w:t xml:space="preserve"> </w:t>
      </w:r>
      <w:r w:rsidR="009054E6" w:rsidRPr="009054E6">
        <w:rPr>
          <w:color w:val="000000"/>
          <w:szCs w:val="28"/>
          <w:lang w:eastAsia="en-US"/>
        </w:rPr>
        <w:t>Тези три въпроса остават открити за бъдещи изследвания пр</w:t>
      </w:r>
      <w:r w:rsidR="001B38A5">
        <w:rPr>
          <w:color w:val="000000"/>
          <w:szCs w:val="28"/>
          <w:lang w:eastAsia="en-US"/>
        </w:rPr>
        <w:t>и наличие на нови архивни данни.</w:t>
      </w:r>
    </w:p>
    <w:p w:rsidR="00D27150" w:rsidRPr="00866BEC" w:rsidRDefault="000449E3" w:rsidP="000449E3">
      <w:pPr>
        <w:ind w:left="708" w:firstLine="708"/>
        <w:rPr>
          <w:szCs w:val="28"/>
          <w:lang w:bidi="bg-BG"/>
        </w:rPr>
      </w:pPr>
      <w:r>
        <w:rPr>
          <w:szCs w:val="28"/>
          <w:lang w:bidi="bg-BG"/>
        </w:rPr>
        <w:t xml:space="preserve">    </w:t>
      </w:r>
      <w:r w:rsidR="00866BEC">
        <w:rPr>
          <w:szCs w:val="28"/>
          <w:lang w:bidi="bg-BG"/>
        </w:rPr>
        <w:t xml:space="preserve">   </w:t>
      </w:r>
      <w:r w:rsidR="00F40F77" w:rsidRPr="00F40F77">
        <w:rPr>
          <w:noProof/>
          <w:szCs w:val="28"/>
          <w:lang w:val="en-US" w:eastAsia="en-US"/>
        </w:rPr>
        <w:drawing>
          <wp:inline distT="0" distB="0" distL="0" distR="0">
            <wp:extent cx="2106083" cy="3196116"/>
            <wp:effectExtent l="247650" t="228600" r="237067" b="213834"/>
            <wp:docPr id="3" name="Picture 1" descr="Сейго Ямадзава за корицата-цветн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ейго Ямадзава за корицата-цветно.jpg"/>
                    <pic:cNvPicPr/>
                  </pic:nvPicPr>
                  <pic:blipFill>
                    <a:blip r:embed="rId8" cstate="print"/>
                    <a:stretch>
                      <a:fillRect/>
                    </a:stretch>
                  </pic:blipFill>
                  <pic:spPr>
                    <a:xfrm>
                      <a:off x="0" y="0"/>
                      <a:ext cx="2107381" cy="3198086"/>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0449E3" w:rsidRPr="00F40F77" w:rsidRDefault="00D27150" w:rsidP="001B38A5">
      <w:pPr>
        <w:pStyle w:val="NoSpacing"/>
        <w:ind w:left="540" w:firstLine="0"/>
        <w:jc w:val="center"/>
        <w:rPr>
          <w:i/>
          <w:color w:val="000000" w:themeColor="text1"/>
          <w:szCs w:val="28"/>
        </w:rPr>
      </w:pPr>
      <w:r w:rsidRPr="00F40F77">
        <w:rPr>
          <w:b/>
          <w:bCs/>
          <w:szCs w:val="28"/>
        </w:rPr>
        <w:t>Снимка 1</w:t>
      </w:r>
      <w:r w:rsidRPr="00F40F77">
        <w:rPr>
          <w:szCs w:val="28"/>
        </w:rPr>
        <w:t xml:space="preserve"> – </w:t>
      </w:r>
      <w:r w:rsidRPr="00F40F77">
        <w:rPr>
          <w:i/>
          <w:color w:val="000000" w:themeColor="text1"/>
          <w:szCs w:val="28"/>
        </w:rPr>
        <w:t>Първият самурай в България –</w:t>
      </w:r>
      <w:r>
        <w:rPr>
          <w:i/>
          <w:color w:val="000000" w:themeColor="text1"/>
          <w:szCs w:val="28"/>
        </w:rPr>
        <w:t xml:space="preserve"> </w:t>
      </w:r>
      <w:r w:rsidRPr="00F40F77">
        <w:rPr>
          <w:i/>
          <w:color w:val="000000" w:themeColor="text1"/>
          <w:szCs w:val="28"/>
        </w:rPr>
        <w:t>барон, генерал лейтенант Сейго Ямадзава (12.01.1846 г. – 30.03.1897 г., 51 години)</w:t>
      </w:r>
      <w:r>
        <w:rPr>
          <w:i/>
          <w:color w:val="000000" w:themeColor="text1"/>
          <w:szCs w:val="28"/>
        </w:rPr>
        <w:t xml:space="preserve"> </w:t>
      </w:r>
      <w:r w:rsidRPr="00F40F77">
        <w:rPr>
          <w:i/>
          <w:color w:val="000000" w:themeColor="text1"/>
          <w:szCs w:val="28"/>
        </w:rPr>
        <w:t xml:space="preserve">от Кагошима с </w:t>
      </w:r>
      <w:r>
        <w:rPr>
          <w:i/>
          <w:color w:val="000000" w:themeColor="text1"/>
          <w:szCs w:val="28"/>
        </w:rPr>
        <w:t>военните отличия</w:t>
      </w:r>
    </w:p>
    <w:p w:rsidR="000449E3" w:rsidRDefault="000449E3" w:rsidP="001B38A5">
      <w:pPr>
        <w:autoSpaceDE w:val="0"/>
        <w:autoSpaceDN w:val="0"/>
        <w:adjustRightInd w:val="0"/>
        <w:jc w:val="both"/>
        <w:rPr>
          <w:color w:val="000000" w:themeColor="text1"/>
          <w:szCs w:val="28"/>
        </w:rPr>
      </w:pPr>
      <w:r w:rsidRPr="00866BEC">
        <w:rPr>
          <w:iCs/>
          <w:color w:val="000000"/>
          <w:szCs w:val="28"/>
          <w:lang w:eastAsia="en-US"/>
        </w:rPr>
        <w:t xml:space="preserve">Отличията, които носи Сейго Ямадзава </w:t>
      </w:r>
      <w:r w:rsidR="00866BEC" w:rsidRPr="00866BEC">
        <w:rPr>
          <w:iCs/>
          <w:color w:val="000000"/>
          <w:szCs w:val="28"/>
          <w:lang w:eastAsia="en-US"/>
        </w:rPr>
        <w:t>на парадната си униформа са в следния ред: о</w:t>
      </w:r>
      <w:r w:rsidR="006E5078" w:rsidRPr="006E5078">
        <w:rPr>
          <w:iCs/>
          <w:color w:val="000000"/>
          <w:szCs w:val="28"/>
          <w:lang w:eastAsia="en-US"/>
        </w:rPr>
        <w:t xml:space="preserve">рден на Изгряващото слънце, </w:t>
      </w:r>
      <w:r w:rsidR="00866BEC" w:rsidRPr="00866BEC">
        <w:rPr>
          <w:iCs/>
          <w:color w:val="000000"/>
          <w:szCs w:val="28"/>
          <w:lang w:eastAsia="en-US"/>
        </w:rPr>
        <w:t xml:space="preserve">връчен от император на Япония; </w:t>
      </w:r>
      <w:r w:rsidR="00866BEC" w:rsidRPr="00866BEC">
        <w:rPr>
          <w:color w:val="000000" w:themeColor="text1"/>
          <w:szCs w:val="28"/>
        </w:rPr>
        <w:t>о</w:t>
      </w:r>
      <w:r w:rsidR="006E5078" w:rsidRPr="00866BEC">
        <w:rPr>
          <w:color w:val="000000" w:themeColor="text1"/>
          <w:szCs w:val="28"/>
        </w:rPr>
        <w:t>рден „Свети Владимир”, IV-та степен, с мечове</w:t>
      </w:r>
      <w:r w:rsidR="00866BEC" w:rsidRPr="00866BEC">
        <w:rPr>
          <w:color w:val="000000" w:themeColor="text1"/>
          <w:szCs w:val="28"/>
        </w:rPr>
        <w:t xml:space="preserve">, връчен от руския император Александър II; </w:t>
      </w:r>
      <w:r w:rsidR="006E5078" w:rsidRPr="00866BEC">
        <w:rPr>
          <w:color w:val="000000" w:themeColor="text1"/>
          <w:szCs w:val="28"/>
        </w:rPr>
        <w:t>Георгиевско-Андреевска лента с медал за „Храброст и заслуги”</w:t>
      </w:r>
      <w:r w:rsidR="00866BEC" w:rsidRPr="00866BEC">
        <w:rPr>
          <w:color w:val="000000" w:themeColor="text1"/>
          <w:szCs w:val="28"/>
        </w:rPr>
        <w:t>, връчени от руския император Александър II; и</w:t>
      </w:r>
      <w:r w:rsidR="006E5078" w:rsidRPr="00866BEC">
        <w:rPr>
          <w:color w:val="000000" w:themeColor="text1"/>
          <w:szCs w:val="28"/>
        </w:rPr>
        <w:t xml:space="preserve"> </w:t>
      </w:r>
      <w:r w:rsidR="00866BEC" w:rsidRPr="00866BEC">
        <w:rPr>
          <w:color w:val="000000" w:themeColor="text1"/>
          <w:szCs w:val="28"/>
        </w:rPr>
        <w:t>м</w:t>
      </w:r>
      <w:r w:rsidR="006E5078" w:rsidRPr="00866BEC">
        <w:rPr>
          <w:color w:val="000000" w:themeColor="text1"/>
          <w:szCs w:val="28"/>
        </w:rPr>
        <w:t xml:space="preserve">едал </w:t>
      </w:r>
      <w:r w:rsidR="00866BEC" w:rsidRPr="00866BEC">
        <w:rPr>
          <w:color w:val="000000" w:themeColor="text1"/>
          <w:szCs w:val="28"/>
        </w:rPr>
        <w:t xml:space="preserve">за </w:t>
      </w:r>
      <w:r w:rsidR="006E5078" w:rsidRPr="00866BEC">
        <w:rPr>
          <w:color w:val="000000" w:themeColor="text1"/>
          <w:szCs w:val="28"/>
        </w:rPr>
        <w:t>„Преминаване на Дунав” („Дунавски кръст”),</w:t>
      </w:r>
      <w:r w:rsidR="00866BEC" w:rsidRPr="00866BEC">
        <w:rPr>
          <w:color w:val="000000"/>
          <w:szCs w:val="28"/>
          <w:lang w:eastAsia="en-US"/>
        </w:rPr>
        <w:t xml:space="preserve"> връчен от Карл I – княз на </w:t>
      </w:r>
      <w:r w:rsidR="006E5078" w:rsidRPr="00866BEC">
        <w:rPr>
          <w:color w:val="000000" w:themeColor="text1"/>
          <w:szCs w:val="28"/>
        </w:rPr>
        <w:t>Княжество Румъния</w:t>
      </w:r>
      <w:r w:rsidR="00866BEC" w:rsidRPr="00866BEC">
        <w:rPr>
          <w:color w:val="000000" w:themeColor="text1"/>
          <w:szCs w:val="28"/>
        </w:rPr>
        <w:t>.</w:t>
      </w:r>
    </w:p>
    <w:p w:rsidR="00F40F77" w:rsidRPr="000449E3" w:rsidRDefault="00FC4D69" w:rsidP="000449E3">
      <w:pPr>
        <w:autoSpaceDE w:val="0"/>
        <w:autoSpaceDN w:val="0"/>
        <w:adjustRightInd w:val="0"/>
        <w:ind w:left="708" w:firstLine="708"/>
        <w:jc w:val="both"/>
        <w:rPr>
          <w:color w:val="000000" w:themeColor="text1"/>
          <w:szCs w:val="28"/>
        </w:rPr>
      </w:pPr>
      <w:r>
        <w:lastRenderedPageBreak/>
        <w:t xml:space="preserve">    </w:t>
      </w:r>
      <w:r w:rsidR="000449E3">
        <w:t xml:space="preserve">  </w:t>
      </w:r>
      <w:r>
        <w:t xml:space="preserve">   </w:t>
      </w:r>
      <w:r w:rsidR="000449E3">
        <w:t xml:space="preserve">   </w:t>
      </w:r>
      <w:r w:rsidR="00866BEC">
        <w:t xml:space="preserve"> </w:t>
      </w:r>
      <w:r w:rsidR="00F40F77" w:rsidRPr="00F40F77">
        <w:rPr>
          <w:noProof/>
          <w:bdr w:val="thinThickSmallGap" w:sz="24" w:space="0" w:color="auto"/>
          <w:lang w:val="en-US" w:eastAsia="en-US"/>
        </w:rPr>
        <w:drawing>
          <wp:inline distT="0" distB="0" distL="0" distR="0">
            <wp:extent cx="3184525" cy="1983628"/>
            <wp:effectExtent l="19050" t="0" r="0" b="0"/>
            <wp:docPr id="2" name="Picture 0" descr="00_Японският меч-уакизаши в РИМ-Пловдив-корица-гръ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_Японският меч-уакизаши в РИМ-Пловдив-корица-гръб.jpg"/>
                    <pic:cNvPicPr/>
                  </pic:nvPicPr>
                  <pic:blipFill>
                    <a:blip r:embed="rId9"/>
                    <a:stretch>
                      <a:fillRect/>
                    </a:stretch>
                  </pic:blipFill>
                  <pic:spPr>
                    <a:xfrm>
                      <a:off x="0" y="0"/>
                      <a:ext cx="3182730" cy="1982510"/>
                    </a:xfrm>
                    <a:prstGeom prst="rect">
                      <a:avLst/>
                    </a:prstGeom>
                  </pic:spPr>
                </pic:pic>
              </a:graphicData>
            </a:graphic>
          </wp:inline>
        </w:drawing>
      </w:r>
    </w:p>
    <w:p w:rsidR="00D27150" w:rsidRDefault="00FC4D69" w:rsidP="00D27150">
      <w:pPr>
        <w:jc w:val="center"/>
        <w:rPr>
          <w:szCs w:val="28"/>
        </w:rPr>
      </w:pPr>
      <w:r>
        <w:rPr>
          <w:b/>
          <w:bCs/>
          <w:szCs w:val="28"/>
        </w:rPr>
        <w:t xml:space="preserve">           </w:t>
      </w:r>
      <w:r w:rsidR="00D27150">
        <w:rPr>
          <w:b/>
          <w:bCs/>
          <w:szCs w:val="28"/>
        </w:rPr>
        <w:t>Снимка 2</w:t>
      </w:r>
      <w:r w:rsidR="00D27150" w:rsidRPr="00F814FB">
        <w:rPr>
          <w:szCs w:val="28"/>
        </w:rPr>
        <w:t> </w:t>
      </w:r>
      <w:r w:rsidR="00D27150">
        <w:rPr>
          <w:szCs w:val="28"/>
        </w:rPr>
        <w:t>– Японският меч „уакизаши” от клас „уазамоно”</w:t>
      </w:r>
    </w:p>
    <w:p w:rsidR="00D27150" w:rsidRDefault="00D27150" w:rsidP="00866BEC">
      <w:pPr>
        <w:ind w:left="708" w:firstLine="708"/>
      </w:pPr>
    </w:p>
    <w:p w:rsidR="0068074F" w:rsidRDefault="00F40F77" w:rsidP="00FC4D69">
      <w:pPr>
        <w:ind w:left="540" w:right="-810" w:firstLine="708"/>
        <w:jc w:val="both"/>
        <w:rPr>
          <w:szCs w:val="28"/>
        </w:rPr>
      </w:pPr>
      <w:r w:rsidRPr="00F40F77">
        <w:rPr>
          <w:szCs w:val="28"/>
        </w:rPr>
        <w:t xml:space="preserve">Мечът е </w:t>
      </w:r>
      <w:r w:rsidRPr="00F40F77">
        <w:rPr>
          <w:color w:val="000000" w:themeColor="text1"/>
          <w:szCs w:val="28"/>
        </w:rPr>
        <w:t>изкован от майстора на мечове</w:t>
      </w:r>
      <w:r w:rsidRPr="00F40F77">
        <w:rPr>
          <w:i/>
          <w:color w:val="000000" w:themeColor="text1"/>
          <w:szCs w:val="28"/>
        </w:rPr>
        <w:t xml:space="preserve"> Ишидо Морихиса </w:t>
      </w:r>
      <w:r w:rsidRPr="00F40F77">
        <w:rPr>
          <w:color w:val="000000" w:themeColor="text1"/>
          <w:szCs w:val="28"/>
        </w:rPr>
        <w:t>през XVII-ти век</w:t>
      </w:r>
      <w:r w:rsidRPr="00F40F77">
        <w:rPr>
          <w:szCs w:val="28"/>
        </w:rPr>
        <w:t xml:space="preserve">. </w:t>
      </w:r>
      <w:r w:rsidRPr="00F40F77">
        <w:rPr>
          <w:color w:val="000000" w:themeColor="text1"/>
          <w:szCs w:val="28"/>
        </w:rPr>
        <w:t>Надписът на острието гласи:</w:t>
      </w:r>
      <w:r w:rsidRPr="00F40F77">
        <w:rPr>
          <w:i/>
          <w:color w:val="000000" w:themeColor="text1"/>
          <w:szCs w:val="28"/>
        </w:rPr>
        <w:t xml:space="preserve"> Бушуджу Ишидо Хата Торен</w:t>
      </w:r>
      <w:r w:rsidRPr="00F40F77">
        <w:rPr>
          <w:szCs w:val="28"/>
        </w:rPr>
        <w:t>. Този меч е надлежно пазена символна връзка на три столетия между България и Япония. Не е известно на кого е принадлежал</w:t>
      </w:r>
      <w:r w:rsidR="005F1878">
        <w:rPr>
          <w:szCs w:val="28"/>
        </w:rPr>
        <w:t xml:space="preserve"> мечът. Към настоящия момент този меч се съхранява в</w:t>
      </w:r>
      <w:r w:rsidRPr="00F40F77">
        <w:rPr>
          <w:szCs w:val="28"/>
        </w:rPr>
        <w:t xml:space="preserve"> Регионален исторически музей – Пловдив.</w:t>
      </w:r>
    </w:p>
    <w:p w:rsidR="00866BEC" w:rsidRDefault="00866BEC" w:rsidP="00AD287B">
      <w:pPr>
        <w:ind w:left="540" w:firstLine="708"/>
        <w:jc w:val="both"/>
        <w:rPr>
          <w:szCs w:val="28"/>
        </w:rPr>
      </w:pPr>
    </w:p>
    <w:p w:rsidR="006A7C1E" w:rsidRDefault="006A7C1E" w:rsidP="003004BD">
      <w:pPr>
        <w:ind w:firstLine="567"/>
        <w:jc w:val="both"/>
        <w:rPr>
          <w:szCs w:val="28"/>
        </w:rPr>
      </w:pPr>
      <w:r w:rsidRPr="006A7C1E">
        <w:rPr>
          <w:b/>
          <w:bCs/>
          <w:szCs w:val="28"/>
        </w:rPr>
        <w:t>Благодарности и финансиране</w:t>
      </w:r>
    </w:p>
    <w:p w:rsidR="006A7C1E" w:rsidRDefault="00B1243F" w:rsidP="00866BEC">
      <w:pPr>
        <w:ind w:left="567" w:right="-810"/>
        <w:jc w:val="both"/>
        <w:rPr>
          <w:szCs w:val="28"/>
        </w:rPr>
      </w:pPr>
      <w:r>
        <w:rPr>
          <w:szCs w:val="28"/>
        </w:rPr>
        <w:t xml:space="preserve">Научното изследване е независимо и е извършено със собствени средства на авторите. Монографията </w:t>
      </w:r>
      <w:r w:rsidR="006A7C1E" w:rsidRPr="006A7C1E">
        <w:rPr>
          <w:szCs w:val="28"/>
        </w:rPr>
        <w:t>е подготвен</w:t>
      </w:r>
      <w:r>
        <w:rPr>
          <w:szCs w:val="28"/>
        </w:rPr>
        <w:t>а</w:t>
      </w:r>
      <w:r w:rsidR="006A7C1E" w:rsidRPr="006A7C1E">
        <w:rPr>
          <w:szCs w:val="28"/>
        </w:rPr>
        <w:t xml:space="preserve"> </w:t>
      </w:r>
      <w:r>
        <w:rPr>
          <w:szCs w:val="28"/>
        </w:rPr>
        <w:t xml:space="preserve">за издаване, маркетинг, реклама и разпространение </w:t>
      </w:r>
      <w:r w:rsidR="006A7C1E" w:rsidRPr="006A7C1E">
        <w:rPr>
          <w:szCs w:val="28"/>
        </w:rPr>
        <w:t>с</w:t>
      </w:r>
      <w:r>
        <w:rPr>
          <w:szCs w:val="28"/>
        </w:rPr>
        <w:t xml:space="preserve">ъгласно писмен договор от 28.08.2026 г. между авторите и издателство „Нитон медия”, гр. Пловдив. Регистрационната карта и </w:t>
      </w:r>
      <w:r>
        <w:rPr>
          <w:szCs w:val="28"/>
          <w:lang w:val="en-US"/>
        </w:rPr>
        <w:t>ISBN-</w:t>
      </w:r>
      <w:r>
        <w:rPr>
          <w:szCs w:val="28"/>
        </w:rPr>
        <w:t>номерът на монографията са издадени на 02.09.2026 г.</w:t>
      </w:r>
      <w:r w:rsidR="006A7C1E" w:rsidRPr="006A7C1E">
        <w:rPr>
          <w:szCs w:val="28"/>
        </w:rPr>
        <w:t xml:space="preserve"> </w:t>
      </w:r>
      <w:r>
        <w:rPr>
          <w:szCs w:val="28"/>
        </w:rPr>
        <w:t>Благодарностите за реализация на изследването са поименни и са посочени в изследването.</w:t>
      </w:r>
    </w:p>
    <w:p w:rsidR="006A7C1E" w:rsidRDefault="006A7C1E" w:rsidP="003004BD">
      <w:pPr>
        <w:ind w:firstLine="567"/>
        <w:jc w:val="both"/>
        <w:rPr>
          <w:szCs w:val="28"/>
        </w:rPr>
      </w:pPr>
    </w:p>
    <w:p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rsidR="00B3091F" w:rsidRPr="00B3091F" w:rsidRDefault="003813DB" w:rsidP="003004BD">
      <w:pPr>
        <w:ind w:firstLine="567"/>
        <w:jc w:val="both"/>
        <w:rPr>
          <w:szCs w:val="28"/>
        </w:rPr>
      </w:pPr>
      <w:r>
        <w:rPr>
          <w:szCs w:val="28"/>
          <w:lang w:val="en-US"/>
        </w:rPr>
        <w:t>---</w:t>
      </w:r>
    </w:p>
    <w:p w:rsidR="001F6E53" w:rsidRDefault="001F6E53" w:rsidP="003004BD">
      <w:pPr>
        <w:ind w:firstLine="567"/>
        <w:jc w:val="both"/>
        <w:rPr>
          <w:szCs w:val="28"/>
        </w:rPr>
      </w:pPr>
    </w:p>
    <w:p w:rsidR="007E2105" w:rsidRPr="0022685B" w:rsidRDefault="007E2105" w:rsidP="003004BD">
      <w:pPr>
        <w:ind w:firstLine="567"/>
        <w:jc w:val="both"/>
        <w:rPr>
          <w:b/>
          <w:szCs w:val="28"/>
        </w:rPr>
      </w:pPr>
      <w:r w:rsidRPr="0022685B">
        <w:rPr>
          <w:b/>
          <w:szCs w:val="28"/>
        </w:rPr>
        <w:t>ЛИТЕРАТУРА:</w:t>
      </w:r>
    </w:p>
    <w:p w:rsidR="006E3B72" w:rsidRPr="006E3B72" w:rsidRDefault="00694543" w:rsidP="00866BEC">
      <w:pPr>
        <w:ind w:left="567" w:right="-810"/>
        <w:jc w:val="both"/>
        <w:rPr>
          <w:szCs w:val="28"/>
          <w:lang w:bidi="bg-BG"/>
        </w:rPr>
      </w:pPr>
      <w:r w:rsidRPr="006E3B72">
        <w:rPr>
          <w:szCs w:val="28"/>
          <w:lang w:val="ru-RU"/>
        </w:rPr>
        <w:t>1</w:t>
      </w:r>
      <w:r w:rsidR="007041A3" w:rsidRPr="006E3B72">
        <w:rPr>
          <w:szCs w:val="28"/>
        </w:rPr>
        <w:t>.</w:t>
      </w:r>
      <w:r w:rsidR="006E3B72" w:rsidRPr="006E3B72">
        <w:rPr>
          <w:szCs w:val="28"/>
        </w:rPr>
        <w:t xml:space="preserve"> </w:t>
      </w:r>
      <w:r w:rsidR="00E52A22" w:rsidRPr="006E3B72">
        <w:rPr>
          <w:szCs w:val="28"/>
          <w:lang w:bidi="bg-BG"/>
        </w:rPr>
        <w:t xml:space="preserve">Владиков Ат., Ив. Ботев. </w:t>
      </w:r>
      <w:r w:rsidR="00E52A22" w:rsidRPr="006E3B72">
        <w:rPr>
          <w:i/>
          <w:szCs w:val="28"/>
          <w:lang w:bidi="bg-BG"/>
        </w:rPr>
        <w:t>Първият самурай. Монографично изследване на участието на Сейго Ямадзава от Кагошима в Освобождението на България</w:t>
      </w:r>
      <w:r w:rsidR="00E52A22" w:rsidRPr="006E3B72">
        <w:rPr>
          <w:szCs w:val="28"/>
          <w:lang w:bidi="bg-BG"/>
        </w:rPr>
        <w:t xml:space="preserve">, Пловдив, Издател „Нитон медия”, 2026 г. </w:t>
      </w:r>
      <w:r w:rsidR="00E52A22" w:rsidRPr="006E3B72">
        <w:rPr>
          <w:szCs w:val="28"/>
          <w:lang w:val="en-US" w:bidi="bg-BG"/>
        </w:rPr>
        <w:t xml:space="preserve">ISBN 978-954-347-153-9, </w:t>
      </w:r>
      <w:r w:rsidR="00E52A22" w:rsidRPr="006E3B72">
        <w:rPr>
          <w:szCs w:val="28"/>
          <w:lang w:bidi="bg-BG"/>
        </w:rPr>
        <w:t>под печат към м.септември, 2026 г.</w:t>
      </w:r>
    </w:p>
    <w:p w:rsidR="006E3B72" w:rsidRPr="006E3B72" w:rsidRDefault="006E3B72" w:rsidP="00866BEC">
      <w:pPr>
        <w:ind w:left="567" w:right="-810"/>
        <w:jc w:val="both"/>
        <w:rPr>
          <w:szCs w:val="28"/>
          <w:lang w:bidi="bg-BG"/>
        </w:rPr>
      </w:pPr>
      <w:r w:rsidRPr="006E3B72">
        <w:rPr>
          <w:szCs w:val="28"/>
          <w:lang w:bidi="bg-BG"/>
        </w:rPr>
        <w:t xml:space="preserve">2. </w:t>
      </w:r>
      <w:r w:rsidRPr="006E3B72">
        <w:rPr>
          <w:color w:val="000000"/>
          <w:szCs w:val="28"/>
          <w:lang w:val="en-US" w:eastAsia="en-US"/>
        </w:rPr>
        <w:t xml:space="preserve">Вутова-Стефанова, В., Кандиларов, Е. </w:t>
      </w:r>
      <w:r w:rsidRPr="006E3B72">
        <w:rPr>
          <w:i/>
          <w:iCs/>
          <w:color w:val="000000"/>
          <w:szCs w:val="28"/>
          <w:lang w:val="en-US" w:eastAsia="en-US"/>
        </w:rPr>
        <w:t xml:space="preserve">България и Япония. Политика, дипломация, личности и събития. </w:t>
      </w:r>
      <w:r>
        <w:rPr>
          <w:color w:val="000000"/>
          <w:szCs w:val="28"/>
          <w:lang w:val="en-US" w:eastAsia="en-US"/>
        </w:rPr>
        <w:t>София: Издателство „Изток</w:t>
      </w:r>
      <w:r>
        <w:rPr>
          <w:color w:val="000000"/>
          <w:szCs w:val="28"/>
          <w:lang w:eastAsia="en-US"/>
        </w:rPr>
        <w:t>-</w:t>
      </w:r>
      <w:r>
        <w:rPr>
          <w:color w:val="000000"/>
          <w:szCs w:val="28"/>
          <w:lang w:val="en-US" w:eastAsia="en-US"/>
        </w:rPr>
        <w:t>Запад</w:t>
      </w:r>
      <w:r>
        <w:rPr>
          <w:color w:val="000000"/>
          <w:szCs w:val="28"/>
          <w:lang w:eastAsia="en-US"/>
        </w:rPr>
        <w:t>”</w:t>
      </w:r>
      <w:r w:rsidRPr="006E3B72">
        <w:rPr>
          <w:color w:val="000000"/>
          <w:szCs w:val="28"/>
          <w:lang w:val="en-US" w:eastAsia="en-US"/>
        </w:rPr>
        <w:t xml:space="preserve">, </w:t>
      </w:r>
      <w:r>
        <w:rPr>
          <w:color w:val="000000"/>
          <w:szCs w:val="28"/>
          <w:lang w:eastAsia="en-US"/>
        </w:rPr>
        <w:t xml:space="preserve">2019 г., </w:t>
      </w:r>
      <w:r w:rsidRPr="006E3B72">
        <w:rPr>
          <w:color w:val="000000"/>
          <w:szCs w:val="28"/>
          <w:lang w:val="en-US" w:eastAsia="en-US"/>
        </w:rPr>
        <w:t>638 с</w:t>
      </w:r>
      <w:r>
        <w:rPr>
          <w:color w:val="000000"/>
          <w:szCs w:val="28"/>
          <w:lang w:eastAsia="en-US"/>
        </w:rPr>
        <w:t>тр</w:t>
      </w:r>
      <w:r w:rsidRPr="006E3B72">
        <w:rPr>
          <w:color w:val="000000"/>
          <w:szCs w:val="28"/>
          <w:lang w:val="en-US" w:eastAsia="en-US"/>
        </w:rPr>
        <w:t>.</w:t>
      </w:r>
      <w:r>
        <w:rPr>
          <w:color w:val="000000"/>
          <w:szCs w:val="28"/>
          <w:lang w:eastAsia="en-US"/>
        </w:rPr>
        <w:t>,</w:t>
      </w:r>
      <w:r>
        <w:rPr>
          <w:color w:val="000000"/>
          <w:szCs w:val="28"/>
          <w:lang w:val="en-US" w:eastAsia="en-US"/>
        </w:rPr>
        <w:t xml:space="preserve"> </w:t>
      </w:r>
      <w:r>
        <w:rPr>
          <w:color w:val="000000"/>
          <w:szCs w:val="28"/>
          <w:lang w:eastAsia="en-US"/>
        </w:rPr>
        <w:t>р</w:t>
      </w:r>
      <w:r w:rsidRPr="006E3B72">
        <w:rPr>
          <w:color w:val="000000"/>
          <w:szCs w:val="28"/>
          <w:lang w:val="en-US" w:eastAsia="en-US"/>
        </w:rPr>
        <w:t xml:space="preserve">ецензенти: проф. д-р Тецуя Сахара, проф. дфсн Нако Стефанов </w:t>
      </w:r>
    </w:p>
    <w:p w:rsidR="006E3B72" w:rsidRPr="00866BEC" w:rsidRDefault="006E3B72" w:rsidP="00E52A22">
      <w:pPr>
        <w:jc w:val="both"/>
        <w:rPr>
          <w:szCs w:val="28"/>
        </w:rPr>
      </w:pPr>
    </w:p>
    <w:p w:rsidR="007B5909" w:rsidRDefault="00E52A22" w:rsidP="003004BD">
      <w:pPr>
        <w:ind w:firstLine="567"/>
        <w:jc w:val="both"/>
        <w:rPr>
          <w:i/>
          <w:iCs/>
          <w:sz w:val="24"/>
        </w:rPr>
      </w:pPr>
      <w:r>
        <w:rPr>
          <w:i/>
          <w:iCs/>
          <w:sz w:val="24"/>
        </w:rPr>
        <w:t>Атанас Игнатов Владиков, доцент, доктор</w:t>
      </w:r>
    </w:p>
    <w:p w:rsidR="007B5909" w:rsidRDefault="00E52A22" w:rsidP="003004BD">
      <w:pPr>
        <w:ind w:firstLine="567"/>
        <w:jc w:val="both"/>
        <w:rPr>
          <w:i/>
          <w:iCs/>
          <w:sz w:val="24"/>
        </w:rPr>
      </w:pPr>
      <w:r>
        <w:rPr>
          <w:i/>
          <w:iCs/>
          <w:sz w:val="24"/>
        </w:rPr>
        <w:t>Пловдивски университет „Паисий Хилендарски”, гр. Пловдив</w:t>
      </w:r>
    </w:p>
    <w:p w:rsidR="00E52A22" w:rsidRDefault="00E52A22" w:rsidP="003004BD">
      <w:pPr>
        <w:ind w:firstLine="567"/>
        <w:jc w:val="both"/>
        <w:rPr>
          <w:i/>
          <w:iCs/>
          <w:sz w:val="24"/>
        </w:rPr>
      </w:pPr>
      <w:r>
        <w:rPr>
          <w:i/>
          <w:iCs/>
          <w:sz w:val="24"/>
        </w:rPr>
        <w:t xml:space="preserve">ул. „Цар Асен” № 24, Кабинет № 139, ет. 1, </w:t>
      </w:r>
    </w:p>
    <w:p w:rsidR="00E52A22" w:rsidRDefault="00E52A22" w:rsidP="003004BD">
      <w:pPr>
        <w:ind w:firstLine="567"/>
        <w:jc w:val="both"/>
        <w:rPr>
          <w:i/>
          <w:iCs/>
          <w:sz w:val="24"/>
        </w:rPr>
      </w:pPr>
      <w:r>
        <w:rPr>
          <w:i/>
          <w:iCs/>
          <w:sz w:val="24"/>
        </w:rPr>
        <w:t>Експерт „Нормативни документи”, Ректорат</w:t>
      </w:r>
    </w:p>
    <w:p w:rsidR="00866BEC" w:rsidRPr="005F1878" w:rsidRDefault="00E52A22" w:rsidP="005F1878">
      <w:pPr>
        <w:ind w:firstLine="567"/>
        <w:jc w:val="both"/>
        <w:rPr>
          <w:i/>
          <w:iCs/>
          <w:sz w:val="24"/>
        </w:rPr>
      </w:pPr>
      <w:r>
        <w:rPr>
          <w:i/>
          <w:iCs/>
          <w:sz w:val="24"/>
        </w:rPr>
        <w:t xml:space="preserve">Тел. централа (032) 261, вътр. 312, </w:t>
      </w:r>
      <w:r>
        <w:rPr>
          <w:i/>
          <w:iCs/>
          <w:sz w:val="24"/>
          <w:lang w:val="en-US"/>
        </w:rPr>
        <w:t>avladikov@uni-plovdiv.bg</w:t>
      </w:r>
    </w:p>
    <w:sectPr w:rsidR="00866BEC" w:rsidRPr="005F1878" w:rsidSect="00AD287B">
      <w:footnotePr>
        <w:numRestart w:val="eachSect"/>
      </w:footnotePr>
      <w:pgSz w:w="11906" w:h="16838"/>
      <w:pgMar w:top="1134" w:right="1286" w:bottom="900" w:left="207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442D" w:rsidRDefault="00AC442D" w:rsidP="00A0193A">
      <w:r>
        <w:separator/>
      </w:r>
    </w:p>
  </w:endnote>
  <w:endnote w:type="continuationSeparator" w:id="1">
    <w:p w:rsidR="00AC442D" w:rsidRDefault="00AC442D" w:rsidP="00A019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442D" w:rsidRDefault="00AC442D" w:rsidP="00A0193A">
      <w:r>
        <w:separator/>
      </w:r>
    </w:p>
  </w:footnote>
  <w:footnote w:type="continuationSeparator" w:id="1">
    <w:p w:rsidR="00AC442D" w:rsidRDefault="00AC442D" w:rsidP="00A019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nsid w:val="28340FF0"/>
    <w:multiLevelType w:val="hybridMultilevel"/>
    <w:tmpl w:val="605297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4D0509D"/>
    <w:multiLevelType w:val="hybridMultilevel"/>
    <w:tmpl w:val="866A1B16"/>
    <w:lvl w:ilvl="0" w:tplc="A9F47D54">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defaultTabStop w:val="708"/>
  <w:hyphenationZone w:val="425"/>
  <w:characterSpacingControl w:val="doNotCompress"/>
  <w:footnotePr>
    <w:numRestart w:val="eachSect"/>
    <w:footnote w:id="0"/>
    <w:footnote w:id="1"/>
  </w:footnotePr>
  <w:endnotePr>
    <w:endnote w:id="0"/>
    <w:endnote w:id="1"/>
  </w:endnotePr>
  <w:compat/>
  <w:rsids>
    <w:rsidRoot w:val="008D1109"/>
    <w:rsid w:val="000449E3"/>
    <w:rsid w:val="00051D66"/>
    <w:rsid w:val="0007387D"/>
    <w:rsid w:val="00091B51"/>
    <w:rsid w:val="000B2FA3"/>
    <w:rsid w:val="000F5CED"/>
    <w:rsid w:val="00121F6A"/>
    <w:rsid w:val="00124CF7"/>
    <w:rsid w:val="00127C45"/>
    <w:rsid w:val="001537E6"/>
    <w:rsid w:val="00155CA9"/>
    <w:rsid w:val="001712CF"/>
    <w:rsid w:val="00175B99"/>
    <w:rsid w:val="001B38A5"/>
    <w:rsid w:val="001B5649"/>
    <w:rsid w:val="001E6585"/>
    <w:rsid w:val="001E7737"/>
    <w:rsid w:val="001F6E53"/>
    <w:rsid w:val="00212537"/>
    <w:rsid w:val="00226429"/>
    <w:rsid w:val="0022685B"/>
    <w:rsid w:val="00237706"/>
    <w:rsid w:val="00241969"/>
    <w:rsid w:val="00245689"/>
    <w:rsid w:val="002521A9"/>
    <w:rsid w:val="002540F6"/>
    <w:rsid w:val="002565CF"/>
    <w:rsid w:val="0026135C"/>
    <w:rsid w:val="00261DCD"/>
    <w:rsid w:val="00274819"/>
    <w:rsid w:val="00276C0F"/>
    <w:rsid w:val="002847E4"/>
    <w:rsid w:val="002A7C9B"/>
    <w:rsid w:val="002B00F1"/>
    <w:rsid w:val="002B1FEE"/>
    <w:rsid w:val="003004BD"/>
    <w:rsid w:val="00371186"/>
    <w:rsid w:val="00377489"/>
    <w:rsid w:val="003813DB"/>
    <w:rsid w:val="00386A6A"/>
    <w:rsid w:val="003B1F44"/>
    <w:rsid w:val="003E4E40"/>
    <w:rsid w:val="003F3D08"/>
    <w:rsid w:val="003F7CCD"/>
    <w:rsid w:val="00415DF1"/>
    <w:rsid w:val="00466E9C"/>
    <w:rsid w:val="004F2DBD"/>
    <w:rsid w:val="004F589D"/>
    <w:rsid w:val="00503623"/>
    <w:rsid w:val="00520A1E"/>
    <w:rsid w:val="00534842"/>
    <w:rsid w:val="005B08DD"/>
    <w:rsid w:val="005C35F1"/>
    <w:rsid w:val="005F1878"/>
    <w:rsid w:val="0065613C"/>
    <w:rsid w:val="0068049F"/>
    <w:rsid w:val="0068074F"/>
    <w:rsid w:val="00686EAC"/>
    <w:rsid w:val="00694543"/>
    <w:rsid w:val="006A6230"/>
    <w:rsid w:val="006A7C1E"/>
    <w:rsid w:val="006C6904"/>
    <w:rsid w:val="006D7048"/>
    <w:rsid w:val="006E3B72"/>
    <w:rsid w:val="006E5078"/>
    <w:rsid w:val="006F2052"/>
    <w:rsid w:val="007041A3"/>
    <w:rsid w:val="00710DE2"/>
    <w:rsid w:val="00763C2E"/>
    <w:rsid w:val="0077663F"/>
    <w:rsid w:val="007973BD"/>
    <w:rsid w:val="007B5909"/>
    <w:rsid w:val="007B686C"/>
    <w:rsid w:val="007E2105"/>
    <w:rsid w:val="008129C2"/>
    <w:rsid w:val="008652CB"/>
    <w:rsid w:val="00866BEC"/>
    <w:rsid w:val="00877F5E"/>
    <w:rsid w:val="00893B42"/>
    <w:rsid w:val="008B22A4"/>
    <w:rsid w:val="008B7B8F"/>
    <w:rsid w:val="008C7A58"/>
    <w:rsid w:val="008D1109"/>
    <w:rsid w:val="009003B5"/>
    <w:rsid w:val="00901270"/>
    <w:rsid w:val="009054E6"/>
    <w:rsid w:val="0091243D"/>
    <w:rsid w:val="00925081"/>
    <w:rsid w:val="009375B6"/>
    <w:rsid w:val="00940E4A"/>
    <w:rsid w:val="00957EAF"/>
    <w:rsid w:val="009605D7"/>
    <w:rsid w:val="00967173"/>
    <w:rsid w:val="0098344D"/>
    <w:rsid w:val="00996456"/>
    <w:rsid w:val="009B47A1"/>
    <w:rsid w:val="009C0C5E"/>
    <w:rsid w:val="009E6451"/>
    <w:rsid w:val="009F29F2"/>
    <w:rsid w:val="009F6B0F"/>
    <w:rsid w:val="00A0193A"/>
    <w:rsid w:val="00A86955"/>
    <w:rsid w:val="00A8717A"/>
    <w:rsid w:val="00AC442D"/>
    <w:rsid w:val="00AD287B"/>
    <w:rsid w:val="00B1243F"/>
    <w:rsid w:val="00B245AD"/>
    <w:rsid w:val="00B3091F"/>
    <w:rsid w:val="00B41AF1"/>
    <w:rsid w:val="00B601CF"/>
    <w:rsid w:val="00B9433C"/>
    <w:rsid w:val="00B97CDE"/>
    <w:rsid w:val="00BC2FB1"/>
    <w:rsid w:val="00BD084C"/>
    <w:rsid w:val="00C11288"/>
    <w:rsid w:val="00C26597"/>
    <w:rsid w:val="00C46C28"/>
    <w:rsid w:val="00CA7C37"/>
    <w:rsid w:val="00CB7B8B"/>
    <w:rsid w:val="00CF19F3"/>
    <w:rsid w:val="00D1767C"/>
    <w:rsid w:val="00D27150"/>
    <w:rsid w:val="00D63A24"/>
    <w:rsid w:val="00D940F8"/>
    <w:rsid w:val="00DF315E"/>
    <w:rsid w:val="00E019C5"/>
    <w:rsid w:val="00E0218D"/>
    <w:rsid w:val="00E0714D"/>
    <w:rsid w:val="00E16576"/>
    <w:rsid w:val="00E26ABF"/>
    <w:rsid w:val="00E52A22"/>
    <w:rsid w:val="00E746D1"/>
    <w:rsid w:val="00E766EE"/>
    <w:rsid w:val="00E8797D"/>
    <w:rsid w:val="00EA28F3"/>
    <w:rsid w:val="00EA48CD"/>
    <w:rsid w:val="00ED1FBC"/>
    <w:rsid w:val="00EF5F53"/>
    <w:rsid w:val="00F0297C"/>
    <w:rsid w:val="00F40F77"/>
    <w:rsid w:val="00F43811"/>
    <w:rsid w:val="00F64D1C"/>
    <w:rsid w:val="00F814FB"/>
    <w:rsid w:val="00F930D7"/>
    <w:rsid w:val="00FC4D69"/>
    <w:rsid w:val="00FE5A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link w:val="NoSpacingChar"/>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paragraph" w:customStyle="1" w:styleId="Default">
    <w:name w:val="Default"/>
    <w:rsid w:val="00520A1E"/>
    <w:pPr>
      <w:autoSpaceDE w:val="0"/>
      <w:autoSpaceDN w:val="0"/>
      <w:adjustRightInd w:val="0"/>
      <w:spacing w:after="0" w:line="240" w:lineRule="auto"/>
    </w:pPr>
    <w:rPr>
      <w:rFonts w:ascii="Times New Roman" w:eastAsiaTheme="minorHAnsi" w:hAnsi="Times New Roman" w:cs="Times New Roman"/>
      <w:color w:val="000000"/>
      <w:sz w:val="24"/>
      <w:szCs w:val="24"/>
      <w:lang w:val="en-US"/>
    </w:rPr>
  </w:style>
  <w:style w:type="paragraph" w:styleId="BalloonText">
    <w:name w:val="Balloon Text"/>
    <w:basedOn w:val="Normal"/>
    <w:link w:val="BalloonTextChar"/>
    <w:uiPriority w:val="99"/>
    <w:semiHidden/>
    <w:unhideWhenUsed/>
    <w:rsid w:val="00F40F77"/>
    <w:rPr>
      <w:rFonts w:ascii="Tahoma" w:hAnsi="Tahoma" w:cs="Tahoma"/>
      <w:sz w:val="16"/>
      <w:szCs w:val="16"/>
    </w:rPr>
  </w:style>
  <w:style w:type="character" w:customStyle="1" w:styleId="BalloonTextChar">
    <w:name w:val="Balloon Text Char"/>
    <w:basedOn w:val="DefaultParagraphFont"/>
    <w:link w:val="BalloonText"/>
    <w:uiPriority w:val="99"/>
    <w:semiHidden/>
    <w:rsid w:val="00F40F77"/>
    <w:rPr>
      <w:rFonts w:ascii="Tahoma" w:hAnsi="Tahoma" w:cs="Tahoma"/>
      <w:sz w:val="16"/>
      <w:szCs w:val="16"/>
      <w:lang w:eastAsia="bg-BG"/>
    </w:rPr>
  </w:style>
  <w:style w:type="character" w:customStyle="1" w:styleId="NoSpacingChar">
    <w:name w:val="No Spacing Char"/>
    <w:basedOn w:val="DefaultParagraphFont"/>
    <w:link w:val="NoSpacing"/>
    <w:uiPriority w:val="1"/>
    <w:rsid w:val="00F40F77"/>
    <w:rPr>
      <w:rFonts w:ascii="Times New Roman" w:hAnsi="Times New Roman" w:cs="Times New Roman"/>
      <w:sz w:val="28"/>
      <w:szCs w:val="24"/>
      <w:lang w:eastAsia="bg-BG"/>
    </w:rPr>
  </w:style>
  <w:style w:type="character" w:customStyle="1" w:styleId="s1">
    <w:name w:val="s1"/>
    <w:basedOn w:val="DefaultParagraphFont"/>
    <w:rsid w:val="00866BE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8"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75BAAD-A4EE-4781-9275-01983512BC7F}">
      <dsp:nvSpPr>
        <dsp:cNvPr id="0" name=""/>
        <dsp:cNvSpPr/>
      </dsp:nvSpPr>
      <dsp:spPr>
        <a:xfrm>
          <a:off x="0" y="47942"/>
          <a:ext cx="856615" cy="856615"/>
        </a:xfrm>
        <a:prstGeom prst="diamond">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0485A9E5-77C2-4F89-8953-4EB232801A88}">
      <dsp:nvSpPr>
        <dsp:cNvPr id="0" name=""/>
        <dsp:cNvSpPr/>
      </dsp:nvSpPr>
      <dsp:spPr>
        <a:xfrm>
          <a:off x="81378" y="129320"/>
          <a:ext cx="334079" cy="33407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endParaRPr lang="bg-BG" sz="600" kern="1200">
            <a:latin typeface="Times New Roman" panose="02020603050405020304" pitchFamily="18" charset="0"/>
            <a:cs typeface="Times New Roman" panose="02020603050405020304" pitchFamily="18" charset="0"/>
          </a:endParaRPr>
        </a:p>
      </dsp:txBody>
      <dsp:txXfrm>
        <a:off x="97686" y="145628"/>
        <a:ext cx="301463" cy="301463"/>
      </dsp:txXfrm>
    </dsp:sp>
    <dsp:sp modelId="{499539D9-097D-4EC8-9D90-993AB8F4EE57}">
      <dsp:nvSpPr>
        <dsp:cNvPr id="0" name=""/>
        <dsp:cNvSpPr/>
      </dsp:nvSpPr>
      <dsp:spPr>
        <a:xfrm>
          <a:off x="441156" y="119796"/>
          <a:ext cx="334079" cy="33407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endParaRPr lang="bg-BG" sz="600" kern="1200">
            <a:latin typeface="Times New Roman" panose="02020603050405020304" pitchFamily="18" charset="0"/>
            <a:cs typeface="Times New Roman" panose="02020603050405020304" pitchFamily="18" charset="0"/>
          </a:endParaRPr>
        </a:p>
      </dsp:txBody>
      <dsp:txXfrm>
        <a:off x="457464" y="136104"/>
        <a:ext cx="301463" cy="301463"/>
      </dsp:txXfrm>
    </dsp:sp>
    <dsp:sp modelId="{0A225D92-4202-4D7D-9492-875584054325}">
      <dsp:nvSpPr>
        <dsp:cNvPr id="0" name=""/>
        <dsp:cNvSpPr/>
      </dsp:nvSpPr>
      <dsp:spPr>
        <a:xfrm>
          <a:off x="81378" y="489099"/>
          <a:ext cx="334079" cy="33407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endParaRPr lang="bg-BG" sz="600" kern="1200">
            <a:latin typeface="Times New Roman" panose="02020603050405020304" pitchFamily="18" charset="0"/>
            <a:cs typeface="Times New Roman" panose="02020603050405020304" pitchFamily="18" charset="0"/>
          </a:endParaRPr>
        </a:p>
      </dsp:txBody>
      <dsp:txXfrm>
        <a:off x="97686" y="505407"/>
        <a:ext cx="301463" cy="301463"/>
      </dsp:txXfrm>
    </dsp:sp>
    <dsp:sp modelId="{476B5C7E-F897-41EE-AC1F-1573DDCE0699}">
      <dsp:nvSpPr>
        <dsp:cNvPr id="0" name=""/>
        <dsp:cNvSpPr/>
      </dsp:nvSpPr>
      <dsp:spPr>
        <a:xfrm>
          <a:off x="427977" y="502278"/>
          <a:ext cx="334079" cy="33407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just" defTabSz="266700">
            <a:lnSpc>
              <a:spcPct val="90000"/>
            </a:lnSpc>
            <a:spcBef>
              <a:spcPct val="0"/>
            </a:spcBef>
            <a:spcAft>
              <a:spcPct val="35000"/>
            </a:spcAft>
            <a:buNone/>
          </a:pPr>
          <a:endParaRPr lang="bg-BG" sz="600" kern="1200">
            <a:latin typeface="Times New Roman" panose="02020603050405020304" pitchFamily="18" charset="0"/>
            <a:cs typeface="Times New Roman" panose="02020603050405020304" pitchFamily="18" charset="0"/>
          </a:endParaRPr>
        </a:p>
      </dsp:txBody>
      <dsp:txXfrm>
        <a:off x="444285" y="518586"/>
        <a:ext cx="301463" cy="301463"/>
      </dsp:txXfrm>
    </dsp:sp>
  </dsp:spTree>
</dsp:drawing>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1</Pages>
  <Words>3703</Words>
  <Characters>21113</Characters>
  <Application>Microsoft Office Word</Application>
  <DocSecurity>0</DocSecurity>
  <Lines>175</Lines>
  <Paragraphs>49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24767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 Христова</dc:creator>
  <cp:lastModifiedBy>Nasko</cp:lastModifiedBy>
  <cp:revision>18</cp:revision>
  <cp:lastPrinted>2026-09-09T07:52:00Z</cp:lastPrinted>
  <dcterms:created xsi:type="dcterms:W3CDTF">2026-09-08T14:00:00Z</dcterms:created>
  <dcterms:modified xsi:type="dcterms:W3CDTF">2026-09-09T07:53:00Z</dcterms:modified>
</cp:coreProperties>
</file>