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1">
      <w:pPr>
        <w:pStyle w:val="ReportTitle"/>
        <w:rPr/>
      </w:pPr>
      <w:r>
        <w:rPr>
          <w:b w:val="off"/>
        </w:rPr>
        <w:t xml:space="preserve">ТРЕВОЖНОСТ И ДЕПРЕСИЯТА - </w:t>
      </w:r>
      <w:r>
        <w:rPr>
          <w:b w:val="off"/>
          <w:lang w:val="bg-BG"/>
        </w:rPr>
        <w:t>ИСТОРИЯ</w:t>
      </w:r>
    </w:p>
    <w:p w14:paraId="00000002"/>
    <w:p w14:paraId="00000003"/>
    <w:p w14:paraId="00000004">
      <w:pPr>
        <w:pStyle w:val="Author"/>
        <w:rPr>
          <w:lang w:val="bg-BG"/>
        </w:rPr>
      </w:pPr>
      <w:r>
        <w:rPr>
          <w:b w:val="off"/>
          <w:lang w:val="bg-BG"/>
        </w:rPr>
        <w:t>Атанас Атанасов</w:t>
      </w:r>
    </w:p>
    <w:p w14:paraId="00000005">
      <w:pPr>
        <w:pStyle w:val="ReportTitle"/>
        <w:rPr>
          <w:b w:val="off"/>
        </w:rPr>
      </w:pPr>
    </w:p>
    <w:p w14:paraId="00000006">
      <w:pPr>
        <w:pStyle w:val="ReportTitle"/>
        <w:rPr/>
      </w:pPr>
      <w:r>
        <w:rPr>
          <w:b w:val="off"/>
        </w:rPr>
        <w:t>ANXIETY AND DEPRESSION -HISTORY</w:t>
      </w:r>
    </w:p>
    <w:p w14:paraId="00000007"/>
    <w:p w14:paraId="00000008">
      <w:pPr>
        <w:pStyle w:val="Author"/>
        <w:rPr>
          <w:lang w:val="en-US"/>
        </w:rPr>
      </w:pPr>
      <w:r>
        <w:rPr>
          <w:b w:val="off"/>
          <w:lang w:val="en-US"/>
        </w:rPr>
        <w:t>Atanas</w:t>
      </w:r>
      <w:r>
        <w:rPr>
          <w:b w:val="off"/>
          <w:lang w:val="en-US"/>
        </w:rPr>
        <w:t xml:space="preserve"> </w:t>
      </w:r>
      <w:r>
        <w:rPr>
          <w:b w:val="off"/>
          <w:lang w:val="en-US"/>
        </w:rPr>
        <w:t>Atanasov</w:t>
      </w:r>
    </w:p>
    <w:p w14:paraId="00000009">
      <w:pPr>
        <w:rPr>
          <w:lang w:val="bg-BG"/>
        </w:rPr>
      </w:pPr>
    </w:p>
    <w:p w14:paraId="0000000A">
      <w:pPr>
        <w:rPr>
          <w:lang w:val="bg-BG"/>
        </w:rPr>
      </w:pPr>
    </w:p>
    <w:p w14:paraId="0000000B">
      <w:pPr>
        <w:rPr>
          <w:lang w:val="bg-BG"/>
        </w:rPr>
      </w:pPr>
      <w:r>
        <w:rPr>
          <w:i/>
          <w:sz w:val="24"/>
          <w:lang w:val="bg-BG"/>
        </w:rPr>
        <w:t>Резюме: Историята на тревожността и депресията проследява прехода от религиозни и магически обяснения към медицински и психологически модели. От Хипократовата меланхолия, през средновековните възгледи, Ренесанса, психоанализата и когнитивните теории, разбирането постепенно се усложнява. Днес тези състояния се разглеждат био-психо-социално и се повлияват чрез психотерапия и медикаментозно лечение.</w:t>
      </w:r>
    </w:p>
    <w:p w14:paraId="0000000C">
      <w:pPr>
        <w:rPr>
          <w:lang w:val="bg-BG"/>
        </w:rPr>
      </w:pPr>
    </w:p>
    <w:p w14:paraId="0000000D">
      <w:pPr>
        <w:rPr>
          <w:lang w:val="bg-BG"/>
        </w:rPr>
      </w:pPr>
      <w:r>
        <w:rPr>
          <w:i/>
          <w:sz w:val="24"/>
          <w:lang w:val="bg-BG"/>
        </w:rPr>
        <w:t>Ключови думи: тревожност, депресия, психотерапевтични методи</w:t>
      </w:r>
    </w:p>
    <w:p w14:paraId="0000000E">
      <w:pPr>
        <w:rPr>
          <w:lang w:val="bg-BG"/>
        </w:rPr>
      </w:pPr>
    </w:p>
    <w:p w14:paraId="0000000F">
      <w:pPr>
        <w:rPr>
          <w:lang w:val="en-US"/>
        </w:rPr>
      </w:pPr>
      <w:r>
        <w:rPr>
          <w:i/>
          <w:sz w:val="24"/>
          <w:lang w:val="en-US"/>
        </w:rPr>
        <w:t>Abstract: The history of anxiety and depression reflects the transition from religious and magical explanations to medical and psychological models. From Hippocratic melancholy through medieval views, the Renaissance, psychoanalysis and cognitive theories, understanding became increasingly complex. Today these conditions are approached through a biopsychosocial framework and managed with evidence-based psychotherapy and pharmacological treatment.</w:t>
      </w:r>
    </w:p>
    <w:p w14:paraId="00000010">
      <w:pPr>
        <w:rPr>
          <w:lang w:val="en-US"/>
        </w:rPr>
      </w:pPr>
    </w:p>
    <w:p w14:paraId="00000011">
      <w:pPr>
        <w:rPr>
          <w:lang w:val="en-US"/>
        </w:rPr>
      </w:pPr>
      <w:r>
        <w:rPr>
          <w:i/>
          <w:sz w:val="24"/>
          <w:lang w:val="en-US"/>
        </w:rPr>
        <w:t>Keywords: anxiety, depression, psychotherapeutic methods</w:t>
      </w:r>
    </w:p>
    <w:p w14:paraId="00000012">
      <w:pPr>
        <w:rPr>
          <w:lang w:val="en-US"/>
        </w:rPr>
      </w:pPr>
    </w:p>
    <w:p w14:paraId="00000013">
      <w:pPr>
        <w:rPr>
          <w:lang w:val="en-US"/>
        </w:rPr>
      </w:pPr>
    </w:p>
    <w:p w14:paraId="00000014">
      <w:pPr>
        <w:pStyle w:val="Section"/>
        <w:spacing w:before="160" w:after="60"/>
        <w:rPr>
          <w:lang w:val="bg-BG"/>
        </w:rPr>
      </w:pPr>
      <w:r>
        <w:rPr>
          <w:b w:val="off"/>
          <w:lang w:val="bg-BG"/>
        </w:rPr>
        <w:t>ВЪВЕДЕНИЕ</w:t>
      </w:r>
    </w:p>
    <w:p w14:paraId="00000015">
      <w:pPr>
        <w:ind w:firstLine="709"/>
        <w:rPr>
          <w:lang w:val="bg-BG"/>
        </w:rPr>
      </w:pPr>
      <w:r>
        <w:rPr>
          <w:lang w:val="bg-BG"/>
        </w:rPr>
        <w:t>Тревожността и депресията принадлежат към най-разпознаваемите прояви на психично страдание и едновременно с това са преживявания, които в различна степен присъстват в нормалния човешки живот. Историческото им осмисляне показва как представите за психиката се променят заедно с философията, медицината и културните норми. В ранните общества тревогата и потиснатостта често се тълкуват чрез свръхестествени сили, вина или морално отклонение. Постепенно се формира медицински език, който позволява тези феномени да бъдат описвани като състояния със собствени закономерности, симптоми и механизми.</w:t>
      </w:r>
    </w:p>
    <w:p w14:paraId="00000016">
      <w:pPr>
        <w:ind w:firstLine="709"/>
        <w:rPr>
          <w:lang w:val="bg-BG"/>
        </w:rPr>
      </w:pPr>
      <w:r>
        <w:rPr>
          <w:lang w:val="bg-BG"/>
        </w:rPr>
        <w:t xml:space="preserve">Целта на настоящия доклад е да проследи основните исторически линии в разбирането на тревожността и депресията и да покаже как философските, психодинамичните, поведенческите и когнитивните концепции допринасят за съвременния комплексен поглед към тях. Изложението е преструктурирано върху съдържанието на изходния </w:t>
      </w:r>
      <w:r>
        <w:rPr>
          <w:lang w:val="bg-BG"/>
        </w:rPr>
        <w:t>материал, като акцентът е поставен върху развитието на идеите, а не върху буквалното им възпроизвеждане.</w:t>
      </w:r>
    </w:p>
    <w:p w14:paraId="00000017">
      <w:pPr>
        <w:pStyle w:val="Section"/>
        <w:spacing w:before="160" w:after="60"/>
        <w:rPr>
          <w:lang w:val="bg-BG"/>
        </w:rPr>
      </w:pPr>
      <w:r>
        <w:rPr>
          <w:b w:val="off"/>
          <w:lang w:val="bg-BG"/>
        </w:rPr>
        <w:t>1. РАННИ ПРЕДСТАВИ: ОТ МИТА КЪМ МЕДИЦИНСКОТО ОБЯСНЕНИЕ</w:t>
      </w:r>
    </w:p>
    <w:p w14:paraId="00000018">
      <w:pPr>
        <w:ind w:firstLine="709"/>
        <w:rPr>
          <w:lang w:val="bg-BG"/>
        </w:rPr>
      </w:pPr>
      <w:r>
        <w:rPr>
          <w:lang w:val="bg-BG"/>
        </w:rPr>
        <w:t>Описания на тревога, страх от смъртта и преживяване на загуба се откриват още в древните литературни традиции. Разказът за Гилгамеш например може да бъде прочетен като ранно свидетелство за човешката конфронтация със смъртността и несигурността. В античната култура тревожността постепенно се свързва не само с външна заплаха, но и със самосъзнанието, избора и индивидуалната отговорност.</w:t>
      </w:r>
    </w:p>
    <w:p w14:paraId="00000019">
      <w:pPr>
        <w:ind w:firstLine="709"/>
        <w:rPr>
          <w:lang w:val="bg-BG"/>
        </w:rPr>
      </w:pPr>
      <w:r>
        <w:rPr>
          <w:lang w:val="bg-BG"/>
        </w:rPr>
        <w:t>Съществена промяна настъпва с Хипократ, който поставя страданието в рамките на естествено, телесно обяснение.</w:t>
      </w:r>
      <w:r>
        <w:rPr>
          <w:lang w:val="bg-BG"/>
        </w:rPr>
        <w:t>В далечното минало м</w:t>
      </w:r>
      <w:r>
        <w:rPr>
          <w:lang w:val="bg-BG"/>
        </w:rPr>
        <w:t>еланхолията е свързана с предполагаем излишък на „черна жлъчка“. Макар тази теория да е несъвместима със съвременната медицина, историческото ѝ значение е голямо: психичното страдание започва да се разглежда като явление, което може да има природни причини. По-късно Гален развива античната медицинска традиция и свързва меланхоличните прояви с нарушения във функционирането на организма и мозъка .</w:t>
      </w:r>
    </w:p>
    <w:p w14:paraId="0000001A">
      <w:pPr>
        <w:ind w:firstLine="709"/>
        <w:rPr>
          <w:lang w:val="bg-BG"/>
        </w:rPr>
      </w:pPr>
      <w:r>
        <w:rPr>
          <w:lang w:val="bg-BG"/>
        </w:rPr>
        <w:t xml:space="preserve">Философските школи също предлагат модели за овладяване на тревогата. Стоицизмът насочва вниманието към отношението на човека към събитията, а не само към самите събития. </w:t>
      </w:r>
      <w:r>
        <w:rPr>
          <w:lang w:val="bg-BG"/>
        </w:rPr>
        <w:t xml:space="preserve">Стоиците считат, че тревожността у човека се поражда от фиксцията и инвестирането твръде много в личните постижения. </w:t>
      </w:r>
      <w:r>
        <w:rPr>
          <w:lang w:val="bg-BG"/>
        </w:rPr>
        <w:t>В ранното християнство тревожността се преплита с въпросите за вината, нравствения идеал и личната отговорност. Така още в Античността се оформят две линии, които ще останат трайни: телесно-медицинска и психологическо-нравствена.</w:t>
      </w:r>
    </w:p>
    <w:p w14:paraId="0000001B">
      <w:pPr>
        <w:pStyle w:val="Section"/>
        <w:spacing w:before="160" w:after="60"/>
        <w:rPr>
          <w:lang w:val="bg-BG"/>
        </w:rPr>
      </w:pPr>
      <w:r>
        <w:rPr>
          <w:b w:val="off"/>
          <w:lang w:val="bg-BG"/>
        </w:rPr>
        <w:t>2. СРЕДНОВЕКОВИЕ, РЕНЕСАНС И ПРОСВЕЩЕНИЕ</w:t>
      </w:r>
    </w:p>
    <w:p w14:paraId="0000001C">
      <w:pPr>
        <w:ind w:firstLine="709"/>
        <w:rPr>
          <w:lang w:val="bg-BG"/>
        </w:rPr>
      </w:pPr>
      <w:r>
        <w:rPr>
          <w:lang w:val="bg-BG"/>
        </w:rPr>
        <w:t>През Средновековието в европейската култура обясненията за психичните разстройства често се пречупват през религиозни и демонологични представи. Практики, насочени към прогонване на предполагаеми външни сили, могат да изместят наблюдението на индивидуалните симптоми. Този период не е еднороден, но в общата историческа линия медицинското разбиране на психичното страдание отстъпва пред морални и религиозни интерпретации. Паралелно с това в ислямския свят се съхраняват медицински традиции и по-хуманни форми на грижа за хората с психични нарушения.</w:t>
      </w:r>
    </w:p>
    <w:p w14:paraId="0000001D">
      <w:pPr>
        <w:ind w:firstLine="709"/>
        <w:rPr>
          <w:lang w:val="bg-BG"/>
        </w:rPr>
      </w:pPr>
      <w:r>
        <w:rPr>
          <w:lang w:val="bg-BG"/>
        </w:rPr>
        <w:t>Ренесансът възстановява интереса към човека като самостоятелен предмет на медицинско и философско изследване. Трактатите върху меланхолията от края на XVI и началото на XVII век свидетелстват за стремеж към по-системно описание на преживяванията и поведението. През XVII век Спиноза разглежда тревогата във връзка с надеждата и несигурността, а Джон Лок я включва в по-широки разсъждения за мотивацията и човешкото действие.</w:t>
      </w:r>
    </w:p>
    <w:p w14:paraId="0000001E">
      <w:pPr>
        <w:ind w:firstLine="709"/>
        <w:rPr>
          <w:lang w:val="bg-BG"/>
        </w:rPr>
      </w:pPr>
      <w:r>
        <w:rPr>
          <w:lang w:val="bg-BG"/>
        </w:rPr>
        <w:t>През XVIII и XIX век постепенно се налага идеята, че хората с психични разстройства следва да бъдат наблюдавани и лекувани в по-хуманна среда. Т.нар. морално лечение поставя акцент върху отношението към пациента, ежедневния режим и социалната среда. Наред с това медицината започва по-системно да класифицира симптомите и да търси разграничения между различни клинични картини.</w:t>
      </w:r>
    </w:p>
    <w:p w14:paraId="0000001F">
      <w:pPr>
        <w:pStyle w:val="Section"/>
        <w:spacing w:before="160" w:after="60"/>
        <w:rPr>
          <w:lang w:val="bg-BG"/>
        </w:rPr>
      </w:pPr>
      <w:r>
        <w:rPr>
          <w:b w:val="off"/>
          <w:lang w:val="bg-BG"/>
        </w:rPr>
        <w:t>3. XIX ВЕК: ТРЕВОЖНОСТТА КАТО ЕКЗИСТЕНЦИАЛЕН И ПСИХОЛОГИЧЕН ПРОБЛЕМ</w:t>
      </w:r>
    </w:p>
    <w:p w14:paraId="00000020">
      <w:pPr>
        <w:ind w:firstLine="709"/>
        <w:rPr>
          <w:lang w:val="bg-BG"/>
        </w:rPr>
      </w:pPr>
      <w:r>
        <w:rPr>
          <w:lang w:val="bg-BG"/>
        </w:rPr>
        <w:t>В средата на XIX век Сьорен Киркегор поставя тревожността в центъра на анализа на човешката свобода. Изборът предполага възможност за грешка, а свободата е неотделима от отговорността. В този смисъл тревожността не е непременно патологична: тя може да бъде естествено следствие от осъзнаването на собствените възможности и ограничения. Разграничението между нормална и проблемна тревожност подготвя по-късните психологически дискусии за адаптивната и дезадаптивната функция на емоцията.</w:t>
      </w:r>
    </w:p>
    <w:p w14:paraId="00000021">
      <w:pPr>
        <w:ind w:firstLine="709"/>
        <w:rPr>
          <w:lang w:val="bg-BG"/>
        </w:rPr>
      </w:pPr>
      <w:r>
        <w:rPr>
          <w:lang w:val="bg-BG"/>
        </w:rPr>
        <w:t>Еволюционният възглед допълва тази перспектива. В рамките на идеите на Дарвин страхът и тревожността могат да се разбират като реакции с приспособителна стойност, които подпомагат разпознаването на опасност и мобилизират организма. Така се създава основа тревожността да бъде мислена едновременно като нормален защитен механизъм и като симптом, когато е прекомерна, продължителна или несъответстваща на реалната заплаха.</w:t>
      </w:r>
    </w:p>
    <w:p w14:paraId="00000022">
      <w:pPr>
        <w:pStyle w:val="Section"/>
        <w:spacing w:before="160" w:after="60"/>
        <w:rPr>
          <w:lang w:val="bg-BG"/>
        </w:rPr>
      </w:pPr>
      <w:r>
        <w:rPr>
          <w:b w:val="off"/>
          <w:lang w:val="bg-BG"/>
        </w:rPr>
        <w:t>4. НАЧАЛОТО НА XX ВЕК: НОЗОЛОГИЯ И ПСИХОАНАЛИТИЧЕН ПОВРАТ</w:t>
      </w:r>
    </w:p>
    <w:p w14:paraId="00000023">
      <w:pPr>
        <w:ind w:firstLine="709"/>
        <w:rPr>
          <w:lang w:val="bg-BG"/>
        </w:rPr>
      </w:pPr>
      <w:r>
        <w:rPr>
          <w:lang w:val="bg-BG"/>
        </w:rPr>
        <w:t>Систематизирането на психичните разстройства в края на XIX и началото на XX век е свързано с опитите на Емил Крепелин да изгради нозологична класификация. Разграничаването на маниакално-депресивните състояния от други тежки психични разстройства подпомага по-точното клинично описание на афективната патология.</w:t>
      </w:r>
    </w:p>
    <w:p w14:paraId="00000024">
      <w:pPr>
        <w:ind w:firstLine="709"/>
        <w:rPr>
          <w:lang w:val="bg-BG"/>
        </w:rPr>
      </w:pPr>
      <w:r>
        <w:rPr>
          <w:lang w:val="bg-BG"/>
        </w:rPr>
        <w:t>Зигмунд Фройд променя посоката на дискусията, като поставя акцент върху несъзнаваните конфликти и защитните механизми. В ранните си разработки той отделя „тревожната невроза“ като клиничен проблем, а по-късно разглежда тревожността като сигнал за опасност, който активира психични защити. Разграничението между обективна и невротична тревожност позволява да се мисли за случаи, при които субективната заплаха не може да бъде сведена до непосредствен външен стимул.</w:t>
      </w:r>
    </w:p>
    <w:p w14:paraId="00000025">
      <w:pPr>
        <w:ind w:firstLine="709"/>
        <w:rPr>
          <w:lang w:val="bg-BG"/>
        </w:rPr>
      </w:pPr>
      <w:r>
        <w:rPr>
          <w:lang w:val="bg-BG"/>
        </w:rPr>
        <w:t>В труда „Скръб и меланхолия“ Фройд анализира разликата между нормалната реакция на загуба и патологичната меланхолия. Психоаналитичната традиция подчертава значението на загубата, вътрешния конфликт и начина, по който отношението към значимия обект се преработва психично. Макар съвременните модели да не свеждат депресията до един-единствен психогенен механизъм, този подход има трайно влияние върху психотерапевтичната теория.</w:t>
      </w:r>
    </w:p>
    <w:p w14:paraId="00000026">
      <w:pPr>
        <w:pStyle w:val="Section"/>
        <w:spacing w:before="160" w:after="60"/>
        <w:rPr>
          <w:lang w:val="bg-BG"/>
        </w:rPr>
      </w:pPr>
      <w:r>
        <w:rPr>
          <w:b w:val="off"/>
          <w:lang w:val="bg-BG"/>
        </w:rPr>
        <w:t>5. ПСИХОФАРМАКОЛОГИЧНАТА РЕВОЛЮЦИЯ И ПРОМЯНАТА В ЛЕЧЕНИЕТО</w:t>
      </w:r>
    </w:p>
    <w:p w14:paraId="00000027">
      <w:pPr>
        <w:ind w:firstLine="709"/>
        <w:rPr>
          <w:lang w:val="bg-BG"/>
        </w:rPr>
      </w:pPr>
      <w:r>
        <w:rPr>
          <w:lang w:val="bg-BG"/>
        </w:rPr>
        <w:t>През 1950-те години започва съществена промяна в лечението на депресивните и тревожните разстройства. Появата на първите антидепресанти и медикаменти с анксиолитичен ефект разширява терапевтичните възможности и подкрепя биологичното изследване на афективните състояния. Медикаментозното лечение не отменя психологическите обяснения, а постепенно допринася за разбирането, че клиничната картина възниква от взаимодействието между биологични, психични и средови фактори.</w:t>
      </w:r>
    </w:p>
    <w:p w14:paraId="00000028">
      <w:pPr>
        <w:ind w:firstLine="709"/>
        <w:rPr>
          <w:lang w:val="bg-BG"/>
        </w:rPr>
      </w:pPr>
      <w:r>
        <w:rPr>
          <w:lang w:val="bg-BG"/>
        </w:rPr>
        <w:t>Този период е важен и поради промяната в статута на пациента. Тревожността и депресията все по-малко се интерпретират като морален недостатък и все повече като състояния, които подлежат на клинична оценка и лечение. В практиката се оформя необходимост от диференциране между нормални реакции на стрес и загуба, от една страна, и устойчиви синдроми с функционално нарушение, от друга.</w:t>
      </w:r>
    </w:p>
    <w:p w14:paraId="00000029">
      <w:pPr>
        <w:pStyle w:val="Section"/>
        <w:spacing w:before="160" w:after="60"/>
        <w:rPr>
          <w:lang w:val="bg-BG"/>
        </w:rPr>
      </w:pPr>
      <w:r>
        <w:rPr>
          <w:b w:val="off"/>
          <w:lang w:val="bg-BG"/>
        </w:rPr>
        <w:t>6. СЪВРЕМЕННИ ПСИХОЛОГИЧНИ КОНЦЕПЦИИ ЗА ТРЕВОЖНОСТТА</w:t>
      </w:r>
    </w:p>
    <w:p w14:paraId="0000002A">
      <w:pPr>
        <w:ind w:firstLine="709"/>
        <w:rPr>
          <w:lang w:val="bg-BG"/>
        </w:rPr>
      </w:pPr>
      <w:r>
        <w:rPr>
          <w:lang w:val="bg-BG"/>
        </w:rPr>
        <w:t>Съвременните психологически модели не разглеждат тревожността като еднородно явление. Част от теориите поставят акцент върху стимула, който предизвиква емоционалната реакция, а други — върху характеристиките на самата реакция. При стимулно ориентирания подход се анализират ситуациите, мислите и преживяванията, които се оценяват като заплашващи. При реактивния подход вниманието е насочено към интензивността, продължителността и физиологичните компоненти на тревожността.</w:t>
      </w:r>
    </w:p>
    <w:p w14:paraId="0000002B">
      <w:pPr>
        <w:ind w:firstLine="709"/>
        <w:rPr>
          <w:lang w:val="bg-BG"/>
        </w:rPr>
      </w:pPr>
      <w:r>
        <w:rPr>
          <w:lang w:val="bg-BG"/>
        </w:rPr>
        <w:t>Курт Голдщайн свързва тревожността с т.нар. „катастрофално състояние“ — преживяване, при което е застрашена цялостта на индивида и способността му да се ориентира адекватно в средата. В този модел страхът има по-конкретен обект, докато тревожността е по-вътрешна и неспецифична. Същевременно тревожността не се разглежда само негативно: срещата с ограниченията и несигурността може да участва в личностното развитие.</w:t>
      </w:r>
    </w:p>
    <w:p w14:paraId="0000002C">
      <w:pPr>
        <w:ind w:firstLine="709"/>
        <w:rPr>
          <w:lang w:val="bg-BG"/>
        </w:rPr>
      </w:pPr>
      <w:r>
        <w:rPr>
          <w:lang w:val="bg-BG"/>
        </w:rPr>
        <w:t>Особено влиятелно е разграничението между тревожност като състояние и тревожност като черта. Cattell и Scheier поставят основата на това различие, а Spielberger го разработва операционално чрез State-Trait Anxiety Inventory. Тревожността като състояние е временна и варира според ситуацията, докато тревожността като черта описва относително устойчива склонност човек да възприема по-широк кръг ситуации като заплашващи.</w:t>
      </w:r>
    </w:p>
    <w:p w14:paraId="0000002D">
      <w:pPr>
        <w:pStyle w:val="Section"/>
        <w:spacing w:before="160" w:after="60"/>
        <w:rPr>
          <w:lang w:val="bg-BG"/>
        </w:rPr>
      </w:pPr>
      <w:r>
        <w:rPr>
          <w:b w:val="off"/>
          <w:lang w:val="bg-BG"/>
        </w:rPr>
        <w:t>7. КОГНИТИВНА ОЦЕНКА, ТРЕВОЖНОСТ И ДЕПРЕСИЯ</w:t>
      </w:r>
    </w:p>
    <w:p w14:paraId="0000002E">
      <w:pPr>
        <w:ind w:firstLine="709"/>
        <w:rPr>
          <w:lang w:val="bg-BG"/>
        </w:rPr>
      </w:pPr>
      <w:r>
        <w:rPr>
          <w:lang w:val="bg-BG"/>
        </w:rPr>
        <w:t xml:space="preserve">Когнитивните модели насочват вниманието към начина, по който човек интерпретира събитията. При модела на Lazarus значението на стресора не се определя само от неговите обективни характеристики, а от </w:t>
      </w:r>
      <w:r>
        <w:rPr>
          <w:lang w:val="bg-BG"/>
        </w:rPr>
        <w:t>оценката на индивида. Първичната оценка определя дали дадено събитие е неутрално, положително или заплашващо, а вторичната е свързана с наличните ресурси и стратегии за справяне.</w:t>
      </w:r>
    </w:p>
    <w:p w14:paraId="0000002F">
      <w:pPr>
        <w:ind w:firstLine="709"/>
        <w:rPr>
          <w:lang w:val="bg-BG"/>
        </w:rPr>
      </w:pPr>
      <w:r>
        <w:rPr>
          <w:lang w:val="bg-BG"/>
        </w:rPr>
        <w:t>В когнитивната теория на Aaron Beck тревожността се поддържа от систематично насочване към опасността и от тенденция двусмислените ситуации да се интерпретират като заплашващи. При депресията централно място заемат устойчиви негативни схеми. Класическият модел описва негативни представи за себе си, за света и за бъдещето. От тази гледна точка психотерапевтичната работа цели разпознаване на автоматичните мисли и дисфункционалните убеждения, проверка на тяхната валидност и изграждане на по-адаптивни когнитивни и поведенчески стратегии.</w:t>
      </w:r>
    </w:p>
    <w:p w14:paraId="00000030">
      <w:pPr>
        <w:ind w:firstLine="709"/>
        <w:rPr>
          <w:lang w:val="bg-BG"/>
        </w:rPr>
      </w:pPr>
      <w:r>
        <w:rPr>
          <w:lang w:val="bg-BG"/>
        </w:rPr>
        <w:t>Практическото значение на когнитивния подход е в превръщането на абстрактната теория в структурирана терапевтична процедура. Терапевтът подпомага пациента да идентифицира повтарящи се мисловни модели, да проследи връзката им с емоциите и поведението и да експериментира с алтернативни интерпретации. Така психотерапията се ориентира не само към произхода на симптома, но и към механизмите, които го поддържат в настоящето.</w:t>
      </w:r>
    </w:p>
    <w:p w14:paraId="00000031">
      <w:pPr>
        <w:pStyle w:val="Section"/>
        <w:spacing w:before="160" w:after="60"/>
        <w:rPr>
          <w:lang w:val="bg-BG"/>
        </w:rPr>
      </w:pPr>
      <w:r>
        <w:rPr>
          <w:b w:val="off"/>
          <w:lang w:val="bg-BG"/>
        </w:rPr>
        <w:t>8. МОДЕЛЪТ НА ЗАУЧЕНАТА БЕЗПОМОЩНОСТ</w:t>
      </w:r>
    </w:p>
    <w:p w14:paraId="00000032">
      <w:pPr>
        <w:ind w:firstLine="709"/>
        <w:rPr>
          <w:lang w:val="bg-BG"/>
        </w:rPr>
      </w:pPr>
      <w:r>
        <w:rPr>
          <w:lang w:val="bg-BG"/>
        </w:rPr>
        <w:t>Мартин Селигман развива модела на заучената безпомощност въз основа на експериментални наблюдения върху поведението при неконтролируеми неблагоприятни стимули. Когато организмът многократно преживява липса на контрол, може да намалее вероятността да предприема ефективни действия дори в ситуации, в които промяна вече е възможна. По-късно моделът е приложен към депресивната симптоматика при човека като обяснителна рамка за пасивността, понижената мотивация и очакването, че усилията няма да доведат до резултат.</w:t>
      </w:r>
    </w:p>
    <w:p w14:paraId="00000033">
      <w:pPr>
        <w:ind w:firstLine="709"/>
        <w:rPr>
          <w:lang w:val="bg-BG"/>
        </w:rPr>
      </w:pPr>
      <w:r>
        <w:rPr>
          <w:lang w:val="bg-BG"/>
        </w:rPr>
        <w:t>Пренасянето на експериментални резултати от животински модели към човешката депресия има ограничения, което е отбелязано и в изходния материал. Въпреки това концепцията е значима, защото поставя контрола, очакванията и научените зависимости между действие и резултат в центъра на психологическото обяснение.</w:t>
      </w:r>
    </w:p>
    <w:p w14:paraId="00000034">
      <w:pPr>
        <w:pStyle w:val="Section"/>
        <w:spacing w:before="160" w:after="60"/>
        <w:rPr>
          <w:lang w:val="bg-BG"/>
        </w:rPr>
      </w:pPr>
      <w:r>
        <w:rPr>
          <w:b w:val="off"/>
          <w:lang w:val="bg-BG"/>
        </w:rPr>
        <w:t>9. БИО-ПСИХО-СОЦИАЛЕН МОДЕЛ И СЪВРЕМЕННА ПСИХОЛОГИЧНА ПРАКТИКА</w:t>
      </w:r>
    </w:p>
    <w:p w14:paraId="00000035">
      <w:pPr>
        <w:ind w:firstLine="709"/>
        <w:rPr>
          <w:lang w:val="bg-BG"/>
        </w:rPr>
      </w:pPr>
      <w:r>
        <w:rPr>
          <w:lang w:val="bg-BG"/>
        </w:rPr>
        <w:t>Днешното разбиране за тревожните и депресивните разстройства се основава на взаимодействие между множество равнища. Биологичната уязвимост, наследствените фактори и невробиологичните процеси се преплитат с личностовите особености, ранния опит, когнитивните модели, актуалните загуби, хроничния стрес и социалната подкрепа. Следователно нито чисто биологичното, нито изцяло психогенното обяснение е достатъчно само по себе си.</w:t>
      </w:r>
    </w:p>
    <w:p w14:paraId="00000036">
      <w:pPr>
        <w:ind w:firstLine="709"/>
        <w:rPr>
          <w:lang w:val="bg-BG"/>
        </w:rPr>
      </w:pPr>
      <w:r>
        <w:rPr>
          <w:lang w:val="bg-BG"/>
        </w:rPr>
        <w:t>От психологическа гледна точка оценката изисква внимание към съдържанието и функцията на симптомите. Тревожността може да бъде адаптивна, когато сигнализира за реална опасност и мобилизира поведение за справяне, но става клинично значима, когато е прекомерна, устойчива и ограничава функционирането. Аналогично, тъгата и скръбта са част от нормалния емоционален живот, докато депресивното разстройство предполага по-широка и трайна промяна в настроението, мотивацията, когнитивното функциониране и ежедневната активност.</w:t>
      </w:r>
    </w:p>
    <w:p w14:paraId="00000037">
      <w:pPr>
        <w:ind w:firstLine="709"/>
        <w:rPr>
          <w:lang w:val="bg-BG"/>
        </w:rPr>
      </w:pPr>
      <w:r>
        <w:rPr>
          <w:lang w:val="bg-BG"/>
        </w:rPr>
        <w:t>Съвременната терапевтична практика комбинира методи според клиничната картина и индивидуалните потребности. Психотерапевтичните подходи — включително когнитивно-поведенческите и психодинамичните — предлагат различни пътища за работа с мисловни модели, емоционални конфликти, поведение и междуличностни отношения. При определени клинични състояния медикаментозната терапия е съществен компонент на лечението. Комбинирането на подходи отразява именно био-психо-социалната логика, според която ефективната помощ се основава на интегрирана оценка, а не на един универсален причинен модел.</w:t>
      </w:r>
    </w:p>
    <w:p w14:paraId="00000038">
      <w:pPr>
        <w:pStyle w:val="Section"/>
        <w:spacing w:before="160" w:after="60"/>
        <w:rPr>
          <w:lang w:val="bg-BG"/>
        </w:rPr>
      </w:pPr>
      <w:r>
        <w:rPr>
          <w:b w:val="off"/>
          <w:lang w:val="bg-BG"/>
        </w:rPr>
        <w:t>ЗАКЛЮЧЕНИЕ</w:t>
      </w:r>
    </w:p>
    <w:p w14:paraId="00000039">
      <w:pPr>
        <w:ind w:firstLine="709"/>
        <w:rPr>
          <w:lang w:val="bg-BG"/>
        </w:rPr>
      </w:pPr>
      <w:r>
        <w:rPr>
          <w:lang w:val="bg-BG"/>
        </w:rPr>
        <w:t>Историята на тревожността и депресията е история на постепенното преминаване от митологични, религиозни и морални обяснения към систематично медицинско и психологическо познание. Хипократовата меланхолия поставя началото на натуралистичния подход; философските концепции изследват връзката между тревога, свобода и отговорност; нозологията въвежда клинична систематизация; психоанализата насочва вниманието към несъзнаваните конфликти; когнитивните и поведенческите модели показват ролята на оценката, научаването и убежденията.</w:t>
      </w:r>
    </w:p>
    <w:p w14:paraId="0000003A">
      <w:pPr>
        <w:ind w:firstLine="709"/>
        <w:rPr>
          <w:lang w:val="bg-BG"/>
        </w:rPr>
      </w:pPr>
      <w:r>
        <w:rPr>
          <w:lang w:val="bg-BG"/>
        </w:rPr>
        <w:t>Психофармакологичният напредък през XX век и развитието на доказани психотерапевтични методи разширяват възможностите за лечение. В съвременната перспектива тревожността и депресията се разбират като комплексни състояния, чието възникване и поддържане се влияят от биологични, психологически и социални фактори. За психологическата практика това означава необходимост от индивидуализирана оценка, диференциране между нормално преживяване и клинично нарушение и избор на интервенции, съобразени с конкретния човек и неговия контекст.</w:t>
      </w:r>
    </w:p>
    <w:p w14:paraId="0000003B">
      <w:pPr>
        <w:rPr>
          <w:lang w:val="bg-BG"/>
        </w:rPr>
      </w:pPr>
    </w:p>
    <w:p w14:paraId="0000003C">
      <w:pPr>
        <w:pStyle w:val="Section"/>
        <w:spacing w:before="160" w:after="60"/>
        <w:rPr>
          <w:lang w:val="bg-BG"/>
        </w:rPr>
      </w:pPr>
      <w:r>
        <w:rPr>
          <w:b w:val="off"/>
          <w:lang w:val="bg-BG"/>
        </w:rPr>
        <w:t>ИЗПОЛЗВАНИ ИЗТОЧНИЦИ</w:t>
      </w:r>
    </w:p>
    <w:p w14:paraId="0000003D">
      <w:pPr>
        <w:rPr>
          <w:lang w:val="bg-BG"/>
        </w:rPr>
      </w:pPr>
      <w:r>
        <w:rPr>
          <w:lang w:val="bg-BG"/>
        </w:rPr>
        <w:t>1</w:t>
      </w:r>
      <w:r>
        <w:rPr>
          <w:lang w:val="bg-BG"/>
        </w:rPr>
        <w:t>. CATTELL, R. B.; SCHEIER, I. H. The Meaning and Measurement of Neuroticism and Anxiety. New York: Ronald Press, 1961.</w:t>
      </w:r>
    </w:p>
    <w:p w14:paraId="0000003E">
      <w:pPr>
        <w:rPr>
          <w:lang w:val="bg-BG"/>
        </w:rPr>
      </w:pPr>
      <w:r>
        <w:rPr>
          <w:lang w:val="bg-BG"/>
        </w:rPr>
        <w:t>2</w:t>
      </w:r>
      <w:r>
        <w:rPr>
          <w:lang w:val="bg-BG"/>
        </w:rPr>
        <w:t>. SELIGMAN, M. E. P. Depression and learned helplessness. In: FRIEDMAN, R. J.; KATZ, M. M. (eds.). The Psychology of Depression: Contemporary Theory and Research. New York: Wiley, 1974.</w:t>
      </w:r>
    </w:p>
    <w:p w14:paraId="0000003F">
      <w:pPr>
        <w:rPr>
          <w:lang w:val="bg-BG"/>
        </w:rPr>
      </w:pPr>
      <w:r>
        <w:rPr>
          <w:lang w:val="bg-BG"/>
        </w:rPr>
        <w:t>3</w:t>
      </w:r>
      <w:r>
        <w:rPr>
          <w:lang w:val="bg-BG"/>
        </w:rPr>
        <w:t>. SPIELBERGER, C. D. Anxiety as an emotional state. In: SPIELBERGER, C. D. (ed.). Anxiety: Current Trends in Theory and Research. Vol. 1. New York: Academic Press, 1972, pp. 23–49.</w:t>
      </w:r>
    </w:p>
    <w:p w14:paraId="00000040">
      <w:pPr>
        <w:rPr>
          <w:lang w:val="bg-BG"/>
        </w:rPr>
      </w:pPr>
      <w:r>
        <w:rPr>
          <w:lang w:val="bg-BG"/>
        </w:rPr>
        <w:t>4</w:t>
      </w:r>
      <w:r>
        <w:rPr>
          <w:lang w:val="bg-BG"/>
        </w:rPr>
        <w:t>. SPIELBERGER, C. D.; GORSUCH, R. L.; LUSHENE, R. E. Test Manual for the State-Trait Anxiety Inventory. Palo Alto, CA: Consulting Psychologists Press, 1970.</w:t>
      </w:r>
    </w:p>
    <w:p w14:paraId="00000041">
      <w:pPr>
        <w:rPr>
          <w:lang w:val="bg-BG"/>
        </w:rPr>
      </w:pPr>
    </w:p>
    <w:p w14:paraId="00000042">
      <w:pPr>
        <w:rPr>
          <w:i/>
          <w:sz w:val="24"/>
          <w:lang w:val="bg-BG"/>
        </w:rPr>
      </w:pPr>
      <w:bookmarkStart w:id="0" w:name="_GoBack"/>
      <w:bookmarkEnd w:id="0"/>
      <w:r>
        <w:rPr>
          <w:i/>
          <w:sz w:val="24"/>
          <w:lang w:val="bg-BG"/>
        </w:rPr>
        <w:t>А</w:t>
      </w:r>
      <w:r>
        <w:rPr>
          <w:i/>
          <w:sz w:val="24"/>
          <w:lang w:val="bg-BG"/>
        </w:rPr>
        <w:t>ДРЕС ЗА КОРЕСПОНДЕНЦИЯ:</w:t>
      </w:r>
    </w:p>
    <w:p w14:paraId="00000043">
      <w:pPr>
        <w:rPr>
          <w:i/>
          <w:sz w:val="24"/>
          <w:lang w:val="bg-BG"/>
        </w:rPr>
      </w:pPr>
      <w:r>
        <w:rPr>
          <w:i/>
          <w:sz w:val="24"/>
          <w:lang w:val="bg-BG"/>
        </w:rPr>
        <w:t xml:space="preserve">Атанас Павлов Атанасов, д-р по психология, Бургаски държавен университет „Проф. д-р Асен Златаров“ </w:t>
      </w:r>
    </w:p>
    <w:p w14:paraId="00000044">
      <w:pPr>
        <w:rPr>
          <w:i/>
          <w:sz w:val="24"/>
          <w:lang w:val="bg-BG"/>
        </w:rPr>
      </w:pPr>
      <w:r>
        <w:rPr>
          <w:i/>
          <w:sz w:val="24"/>
          <w:lang w:val="bg-BG"/>
        </w:rPr>
        <w:t>гр. Пловдив, бул. „Цариградско шосе“ 43, ет. 3, ап. 9</w:t>
      </w:r>
    </w:p>
    <w:p w14:paraId="00000045">
      <w:pPr>
        <w:rPr>
          <w:i/>
          <w:sz w:val="24"/>
          <w:lang w:val="bg-BG"/>
        </w:rPr>
      </w:pPr>
      <w:r>
        <w:rPr>
          <w:i/>
          <w:sz w:val="24"/>
          <w:lang w:val="bg-BG"/>
        </w:rPr>
        <w:t xml:space="preserve">0897 56 84 82 </w:t>
      </w:r>
    </w:p>
    <w:p w14:paraId="00000046">
      <w:pPr>
        <w:rPr>
          <w:lang w:val="bg-BG"/>
        </w:rPr>
      </w:pPr>
      <w:r>
        <w:rPr>
          <w:i/>
          <w:sz w:val="24"/>
          <w:lang w:val="bg-BG"/>
        </w:rPr>
        <w:t>atanasov.atanas.1982@gmail.com</w:t>
      </w:r>
    </w:p>
    <w:p w14:paraId="00000047">
      <w:pPr>
        <w:rPr>
          <w:lang w:val="bg-BG"/>
        </w:rPr>
      </w:pPr>
      <w:r>
        <w:rPr>
          <w:i/>
          <w:sz w:val="24"/>
          <w:lang w:val="bg-BG"/>
        </w:rPr>
        <w:t xml:space="preserve"> </w:t>
      </w:r>
    </w:p>
    <w:sectPr>
      <w:pgSz w:w="11906" w:h="16838"/>
      <w:pgMar w:top="1134" w:right="1134" w:bottom="850"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19f" w:csb1="00000000"/>
  </w:font>
  <w:font w:name="MS Mincho">
    <w:altName w:val="Yu Gothic UI"/>
    <w:panose1 w:val="02020609040205080304"/>
    <w:charset w:val="80"/>
    <w:family w:val="roman"/>
    <w:notTrueType w:val="on"/>
    <w:pitch w:val="fixed"/>
    <w:sig w:usb0="00000001" w:usb1="08070000" w:usb2="00000010" w:usb3="00000000" w:csb0="00020000" w:csb1="00000000"/>
  </w:font>
  <w:font w:name="Calibri">
    <w:panose1 w:val="020f0502020204030204"/>
    <w:charset w:val="00"/>
    <w:family w:val="swiss"/>
    <w:pitch w:val="variable"/>
    <w:sig w:usb0="00000000" w:usb1="4000acff" w:usb2="00000001" w:usb3="00000000" w:csb0="000001ff" w:csb1="00000000"/>
  </w:font>
  <w:font w:name="MS Gothic">
    <w:altName w:val="ＭＳ ゴシック"/>
    <w:panose1 w:val="020b0609070205080204"/>
    <w:charset w:val="80"/>
    <w:family w:val="modern"/>
    <w:pitch w:val="fixed"/>
    <w:sig w:usb0="00000000"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decimal"/>
      <w:lvlText w:val="%1."/>
      <w:lvlJc w:val="left"/>
      <w:pPr>
        <w:tabs>
          <w:tab w:val="num" w:pos="1800"/>
        </w:tabs>
        <w:ind w:left="1800" w:hanging="360"/>
      </w:pPr>
    </w:lvl>
  </w:abstractNum>
  <w:abstractNum w:abstractNumId="1">
    <w:multiLevelType w:val="singleLevel"/>
    <w:lvl w:ilvl="0" w:tentative="0">
      <w:start w:val="1"/>
      <w:numFmt w:val="decimal"/>
      <w:lvlText w:val="%1."/>
      <w:lvlJc w:val="left"/>
      <w:pPr>
        <w:tabs>
          <w:tab w:val="num" w:pos="1440"/>
        </w:tabs>
        <w:ind w:left="1440" w:hanging="360"/>
      </w:pPr>
    </w:lvl>
  </w:abstractNum>
  <w:abstractNum w:abstractNumId="2">
    <w:multiLevelType w:val="singleLevel"/>
    <w:lvl w:ilvl="0" w:tentative="0">
      <w:start w:val="1"/>
      <w:numFmt w:val="decimal"/>
      <w:pStyle w:val="ListNumber3"/>
      <w:lvlText w:val="%1."/>
      <w:lvlJc w:val="left"/>
      <w:pPr>
        <w:tabs>
          <w:tab w:val="num" w:pos="1080"/>
        </w:tabs>
        <w:ind w:left="1080" w:hanging="360"/>
      </w:pPr>
    </w:lvl>
  </w:abstractNum>
  <w:abstractNum w:abstractNumId="3">
    <w:multiLevelType w:val="singleLevel"/>
    <w:lvl w:ilvl="0" w:tentative="0">
      <w:start w:val="1"/>
      <w:numFmt w:val="decimal"/>
      <w:pStyle w:val="ListNumber2"/>
      <w:lvlText w:val="%1."/>
      <w:lvlJc w:val="left"/>
      <w:pPr>
        <w:tabs>
          <w:tab w:val="num" w:pos="720"/>
        </w:tabs>
        <w:ind w:left="720" w:hanging="360"/>
      </w:pPr>
    </w:lvl>
  </w:abstractNum>
  <w:abstractNum w:abstractNumId="4">
    <w:multiLevelType w:val="singleLevel"/>
    <w:lvl w:ilvl="0" w:tentative="0">
      <w:start w:val="1"/>
      <w:numFmt w:val="bullet"/>
      <w:lvlText w:val=""/>
      <w:lvlJc w:val="left"/>
      <w:pPr>
        <w:tabs>
          <w:tab w:val="num" w:pos="1440"/>
        </w:tabs>
        <w:ind w:left="1440" w:hanging="360"/>
      </w:pPr>
      <w:rPr>
        <w:rFonts w:ascii="Symbol" w:hAnsi="Symbol" w:hint="default"/>
      </w:rPr>
    </w:lvl>
  </w:abstractNum>
  <w:abstractNum w:abstractNumId="5">
    <w:multiLevelType w:val="singleLevel"/>
    <w:lvl w:ilvl="0" w:tentative="0">
      <w:start w:val="1"/>
      <w:numFmt w:val="bullet"/>
      <w:pStyle w:val="ListBullet3"/>
      <w:lvlText w:val=""/>
      <w:lvlJc w:val="left"/>
      <w:pPr>
        <w:tabs>
          <w:tab w:val="num" w:pos="1080"/>
        </w:tabs>
        <w:ind w:left="1080" w:hanging="360"/>
      </w:pPr>
      <w:rPr>
        <w:rFonts w:ascii="Symbol" w:hAnsi="Symbol" w:hint="default"/>
      </w:rPr>
    </w:lvl>
  </w:abstractNum>
  <w:abstractNum w:abstractNumId="6">
    <w:multiLevelType w:val="singleLevel"/>
    <w:lvl w:ilvl="0" w:tentative="0">
      <w:start w:val="1"/>
      <w:numFmt w:val="bullet"/>
      <w:pStyle w:val="ListBullet2"/>
      <w:lvlText w:val=""/>
      <w:lvlJc w:val="left"/>
      <w:pPr>
        <w:tabs>
          <w:tab w:val="num" w:pos="720"/>
        </w:tabs>
        <w:ind w:left="720" w:hanging="360"/>
      </w:pPr>
      <w:rPr>
        <w:rFonts w:ascii="Symbol" w:hAnsi="Symbol" w:hint="default"/>
      </w:rPr>
    </w:lvl>
  </w:abstractNum>
  <w:abstractNum w:abstractNumId="7">
    <w:multiLevelType w:val="singleLevel"/>
    <w:lvl w:ilvl="0" w:tentative="0">
      <w:start w:val="1"/>
      <w:numFmt w:val="decimal"/>
      <w:pStyle w:val="ListNumber"/>
      <w:lvlText w:val="%1."/>
      <w:lvlJc w:val="left"/>
      <w:pPr>
        <w:tabs>
          <w:tab w:val="num" w:pos="360"/>
        </w:tabs>
        <w:ind w:left="360" w:hanging="360"/>
      </w:pPr>
    </w:lvl>
  </w:abstractNum>
  <w:abstractNum w:abstractNumId="8">
    <w:multiLevelType w:val="singleLevel"/>
    <w:lvl w:ilvl="0" w:tentative="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943A7"/>
    <w:rsid w:val="0029639D"/>
    <w:rsid w:val="00326F90"/>
    <w:rsid w:val="00AA1D8D"/>
    <w:rsid w:val="00B14B91"/>
    <w:rsid w:val="00B47730"/>
    <w:rsid w:val="00BD1B2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F1FDB"/>
  <w14:defaultImageDpi w14:val="300"/>
  <w15:docId w15:val="{2AA80F7C-3FB4-4274-8A1A-7765F5B324CD}"/>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en-US" w:bidi="ar-SA" w:eastAsia="en-US"/>
      </w:rPr>
    </w:rPrDefault>
    <w:pPrDefault>
      <w:pPr>
        <w:spacing w:after="200" w:line="276" w:lineRule="auto"/>
      </w:pPr>
    </w:pPrDefault>
  </w:docDefaults>
  <w:style w:type="character" w:customStyle="1" w:styleId="Heading1Char">
    <w:name w:val="Heading 1 Char"/>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uiPriority w:val="9"/>
    <w:rPr>
      <w:rFonts w:asciiTheme="majorHAnsi" w:cstheme="majorBidi" w:eastAsiaTheme="majorEastAsia" w:hAnsiTheme="majorHAnsi"/>
      <w:b/>
      <w:bCs/>
      <w:color w:val="4f81bd" w:themeColor="accent1"/>
    </w:rPr>
  </w:style>
  <w:style w:type="character" w:customStyle="1" w:styleId="Heading4Char">
    <w:name w:val="Heading 4 Char"/>
    <w:uiPriority w:val="9"/>
    <w:rPr>
      <w:rFonts w:asciiTheme="majorHAnsi" w:cstheme="majorBidi" w:eastAsiaTheme="majorEastAsia" w:hAnsiTheme="majorHAnsi"/>
      <w:b/>
      <w:bCs/>
      <w:i/>
      <w:iCs/>
      <w:color w:val="4f81bd" w:themeColor="accent1"/>
    </w:rPr>
  </w:style>
  <w:style w:type="character" w:customStyle="1" w:styleId="Heading5Char">
    <w:name w:val="Heading 5 Char"/>
    <w:uiPriority w:val="9"/>
    <w:rPr>
      <w:rFonts w:asciiTheme="majorHAnsi" w:cstheme="majorBidi" w:eastAsiaTheme="majorEastAsia" w:hAnsiTheme="majorHAnsi"/>
      <w:color w:val="243f60" w:themeColor="accent1" w:themeShade="7f"/>
    </w:rPr>
  </w:style>
  <w:style w:type="character" w:customStyle="1" w:styleId="Heading6Char">
    <w:name w:val="Heading 6 Char"/>
    <w:uiPriority w:val="9"/>
    <w:rPr>
      <w:rFonts w:asciiTheme="majorHAnsi" w:cstheme="majorBidi" w:eastAsiaTheme="majorEastAsia" w:hAnsiTheme="majorHAnsi"/>
      <w:i/>
      <w:iCs/>
      <w:color w:val="243f6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f81bd"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Hyperlink">
    <w:name w:val="Hyperlink"/>
    <w:uiPriority w:val="99"/>
    <w:unhideWhenUsed w:val="on"/>
    <w:rPr>
      <w:color w:val="0000ff" w:themeColor="hyperlink"/>
      <w:u w:val="single"/>
    </w:rPr>
  </w:style>
  <w:style w:type="character" w:styleId="FollowedHyperlink">
    <w:name w:val="FollowedHyperlink"/>
    <w:uiPriority w:val="99"/>
    <w:semiHidden w:val="on"/>
    <w:unhideWhenUsed w:val="on"/>
    <w:rPr>
      <w:color w:val="800080" w:themeColor="followedHyperlink"/>
      <w:u w:val="single"/>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default="1" w:styleId="Normal">
    <w:name w:val="Normal"/>
    <w:uiPriority w:val="99"/>
    <w:qFormat w:val="on"/>
    <w:pPr>
      <w:spacing w:after="0" w:line="240" w:lineRule="auto"/>
      <w:jc w:val="both"/>
    </w:pPr>
    <w:rPr>
      <w:rFonts w:ascii="Times New Roman" w:eastAsia="Times New Roman" w:hAnsi="Times New Roman"/>
      <w:sz w:val="28"/>
    </w:rPr>
  </w:style>
  <w:style w:type="paragraph" w:styleId="Heading1">
    <w:name w:val="Heading 1"/>
    <w:basedOn w:val="Normal"/>
    <w:next w:val="Normal"/>
    <w:link w:val="Заглавие1Знак"/>
    <w:uiPriority w:val="9"/>
    <w:qFormat w:val="on"/>
    <w:pPr>
      <w:keepNext w:val="on"/>
      <w:keepLines w:val="on"/>
      <w:spacing w:before="480"/>
    </w:pPr>
    <w:rPr>
      <w:rFonts w:asciiTheme="majorHAnsi" w:cstheme="majorBidi" w:eastAsiaTheme="majorEastAsia" w:hAnsiTheme="majorHAnsi"/>
      <w:b/>
      <w:bCs/>
      <w:color w:val="376091" w:themeColor="accent1" w:themeShade="bf"/>
      <w:szCs w:val="28"/>
    </w:rPr>
  </w:style>
  <w:style w:type="paragraph" w:styleId="Heading2">
    <w:name w:val="Heading 2"/>
    <w:basedOn w:val="Normal"/>
    <w:next w:val="Normal"/>
    <w:link w:val="Заглавие2Знак"/>
    <w:uiPriority w:val="9"/>
    <w:unhideWhenUsed w:val="on"/>
    <w:qFormat w:val="on"/>
    <w:pPr>
      <w:keepNext w:val="on"/>
      <w:keepLines w:val="on"/>
      <w:spacing w:before="20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Заглавие3Знак"/>
    <w:uiPriority w:val="9"/>
    <w:unhideWhenUsed w:val="on"/>
    <w:qFormat w:val="on"/>
    <w:pPr>
      <w:keepNext w:val="on"/>
      <w:keepLines w:val="on"/>
      <w:spacing w:before="200"/>
    </w:pPr>
    <w:rPr>
      <w:rFonts w:asciiTheme="majorHAnsi" w:cstheme="majorBidi" w:eastAsiaTheme="majorEastAsia" w:hAnsiTheme="majorHAnsi"/>
      <w:b/>
      <w:bCs/>
      <w:color w:val="4f81bd" w:themeColor="accent1"/>
    </w:rPr>
  </w:style>
  <w:style w:type="paragraph" w:styleId="Heading4">
    <w:name w:val="Heading 4"/>
    <w:basedOn w:val="Normal"/>
    <w:next w:val="Normal"/>
    <w:link w:val="Заглавие4Знак"/>
    <w:uiPriority w:val="9"/>
    <w:semiHidden w:val="on"/>
    <w:unhideWhenUsed w:val="on"/>
    <w:qFormat w:val="on"/>
    <w:pPr>
      <w:keepNext w:val="on"/>
      <w:keepLines w:val="on"/>
      <w:spacing w:before="20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Заглавие5Знак"/>
    <w:uiPriority w:val="9"/>
    <w:semiHidden w:val="on"/>
    <w:unhideWhenUsed w:val="on"/>
    <w:qFormat w:val="on"/>
    <w:pPr>
      <w:keepNext w:val="on"/>
      <w:keepLines w:val="on"/>
      <w:spacing w:before="200"/>
    </w:pPr>
    <w:rPr>
      <w:rFonts w:asciiTheme="majorHAnsi" w:cstheme="majorBidi" w:eastAsiaTheme="majorEastAsia" w:hAnsiTheme="majorHAnsi"/>
      <w:color w:val="243f60" w:themeColor="accent1" w:themeShade="7f"/>
    </w:rPr>
  </w:style>
  <w:style w:type="paragraph" w:styleId="Heading6">
    <w:name w:val="Heading 6"/>
    <w:basedOn w:val="Normal"/>
    <w:next w:val="Normal"/>
    <w:link w:val="Заглавие6Знак"/>
    <w:uiPriority w:val="9"/>
    <w:semiHidden w:val="on"/>
    <w:unhideWhenUsed w:val="on"/>
    <w:qFormat w:val="on"/>
    <w:pPr>
      <w:keepNext w:val="on"/>
      <w:keepLines w:val="on"/>
      <w:spacing w:before="20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Заглавие7Знак"/>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Заглавие8Знак"/>
    <w:uiPriority w:val="9"/>
    <w:semiHidden w:val="on"/>
    <w:unhideWhenUsed w:val="on"/>
    <w:qFormat w:val="on"/>
    <w:pPr>
      <w:keepNext w:val="on"/>
      <w:keepLines w:val="on"/>
      <w:spacing w:before="200"/>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Заглавие9Знак"/>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Header">
    <w:name w:val="Header"/>
    <w:basedOn w:val="Normal"/>
    <w:link w:val="ГоренколонтитулЗнак"/>
    <w:uiPriority w:val="99"/>
    <w:unhideWhenUsed w:val="on"/>
    <w:pPr>
      <w:tabs>
        <w:tab w:val="center" w:pos="4680"/>
        <w:tab w:val="right" w:pos="9360"/>
      </w:tabs>
    </w:pPr>
  </w:style>
  <w:style w:type="character" w:customStyle="1" w:styleId="ГоренколонтитулЗнак">
    <w:name w:val="Горен колонтитул Знак"/>
    <w:basedOn w:val="DefaultParagraphFont"/>
    <w:link w:val="Header"/>
    <w:uiPriority w:val="99"/>
  </w:style>
  <w:style w:type="paragraph" w:styleId="Footer">
    <w:name w:val="Footer"/>
    <w:basedOn w:val="Normal"/>
    <w:link w:val="ДоленколонтитулЗнак"/>
    <w:uiPriority w:val="99"/>
    <w:unhideWhenUsed w:val="on"/>
    <w:pPr>
      <w:tabs>
        <w:tab w:val="center" w:pos="4680"/>
        <w:tab w:val="right" w:pos="9360"/>
      </w:tabs>
    </w:pPr>
  </w:style>
  <w:style w:type="character" w:customStyle="1" w:styleId="ДоленколонтитулЗнак">
    <w:name w:val="Долен колонтитул Знак"/>
    <w:basedOn w:val="DefaultParagraphFont"/>
    <w:link w:val="Footer"/>
    <w:uiPriority w:val="99"/>
  </w:style>
  <w:style w:type="paragraph" w:styleId="NoSpacing">
    <w:name w:val="No Spacing"/>
    <w:uiPriority w:val="1"/>
    <w:qFormat w:val="on"/>
    <w:pPr>
      <w:spacing w:after="0" w:line="240" w:lineRule="auto"/>
    </w:pPr>
  </w:style>
  <w:style w:type="character" w:customStyle="1" w:styleId="Заглавие1Знак">
    <w:name w:val="Заглавие 1 Знак"/>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Заглавие2Знак">
    <w:name w:val="Заглавие 2 Знак"/>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Заглавие3Знак">
    <w:name w:val="Заглавие 3 Знак"/>
    <w:basedOn w:val="DefaultParagraphFont"/>
    <w:link w:val="Heading3"/>
    <w:uiPriority w:val="9"/>
    <w:rPr>
      <w:rFonts w:asciiTheme="majorHAnsi" w:cstheme="majorBidi" w:eastAsiaTheme="majorEastAsia" w:hAnsiTheme="majorHAnsi"/>
      <w:b/>
      <w:bCs/>
      <w:color w:val="4f81bd" w:themeColor="accent1"/>
    </w:rPr>
  </w:style>
  <w:style w:type="paragraph" w:styleId="Title">
    <w:name w:val="Title"/>
    <w:basedOn w:val="Normal"/>
    <w:next w:val="Normal"/>
    <w:link w:val="ЗаглавиеЗнак"/>
    <w:uiPriority w:val="10"/>
    <w:qFormat w:val="on"/>
    <w:pPr>
      <w:pBdr>
        <w:bottom w:val="single" w:color="4f81bd" w:themeColor="accent1" w:sz="8" w:space="4"/>
      </w:pBdr>
      <w:spacing w:after="300"/>
      <w:contextualSpacing w:val="on"/>
    </w:pPr>
    <w:rPr>
      <w:rFonts w:asciiTheme="majorHAnsi" w:cstheme="majorBidi" w:eastAsiaTheme="majorEastAsia" w:hAnsiTheme="majorHAnsi"/>
      <w:color w:val="17375d" w:themeColor="text2" w:themeShade="bf"/>
      <w:spacing w:val="5"/>
      <w:sz w:val="52"/>
      <w:szCs w:val="52"/>
    </w:rPr>
  </w:style>
  <w:style w:type="character" w:customStyle="1" w:styleId="ЗаглавиеЗнак">
    <w:name w:val="Заглавие Знак"/>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ПодзаглавиеЗнак"/>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ПодзаглавиеЗнак">
    <w:name w:val="Подзаглавие Знак"/>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val="on"/>
    <w:pPr>
      <w:ind w:left="720"/>
      <w:contextualSpacing w:val="on"/>
    </w:pPr>
  </w:style>
  <w:style w:type="paragraph" w:styleId="BodyText">
    <w:name w:val="Body Text"/>
    <w:basedOn w:val="Normal"/>
    <w:link w:val="ОсновентекстЗнак"/>
    <w:uiPriority w:val="99"/>
    <w:unhideWhenUsed w:val="on"/>
    <w:pPr>
      <w:spacing w:after="120"/>
    </w:pPr>
  </w:style>
  <w:style w:type="character" w:customStyle="1" w:styleId="ОсновентекстЗнак">
    <w:name w:val="Основен текст Знак"/>
    <w:basedOn w:val="DefaultParagraphFont"/>
    <w:link w:val="BodyText"/>
    <w:uiPriority w:val="99"/>
  </w:style>
  <w:style w:type="paragraph" w:styleId="BodyText2">
    <w:name w:val="Body Text 2"/>
    <w:basedOn w:val="Normal"/>
    <w:link w:val="Основентекст2Знак"/>
    <w:uiPriority w:val="99"/>
    <w:unhideWhenUsed w:val="on"/>
    <w:pPr>
      <w:spacing w:after="120" w:line="480" w:lineRule="auto"/>
    </w:pPr>
  </w:style>
  <w:style w:type="character" w:customStyle="1" w:styleId="Основентекст2Знак">
    <w:name w:val="Основен текст 2 Знак"/>
    <w:basedOn w:val="DefaultParagraphFont"/>
    <w:link w:val="BodyText2"/>
    <w:uiPriority w:val="99"/>
  </w:style>
  <w:style w:type="paragraph" w:styleId="BodyText3">
    <w:name w:val="Body Text 3"/>
    <w:basedOn w:val="Normal"/>
    <w:link w:val="Основентекст3Знак"/>
    <w:uiPriority w:val="99"/>
    <w:unhideWhenUsed w:val="on"/>
    <w:pPr>
      <w:spacing w:after="120"/>
    </w:pPr>
    <w:rPr>
      <w:sz w:val="16"/>
      <w:szCs w:val="16"/>
    </w:rPr>
  </w:style>
  <w:style w:type="character" w:customStyle="1" w:styleId="Основентекст3Знак">
    <w:name w:val="Основен текст 3 Знак"/>
    <w:basedOn w:val="DefaultParagraphFont"/>
    <w:link w:val="BodyText3"/>
    <w:uiPriority w:val="99"/>
    <w:rPr>
      <w:sz w:val="16"/>
      <w:szCs w:val="16"/>
    </w:rPr>
  </w:style>
  <w:style w:type="paragraph" w:styleId="List">
    <w:name w:val="List"/>
    <w:basedOn w:val="Normal"/>
    <w:uiPriority w:val="99"/>
    <w:unhideWhenUsed w:val="on"/>
    <w:pPr>
      <w:ind w:left="360" w:hanging="360"/>
      <w:contextualSpacing w:val="on"/>
    </w:pPr>
  </w:style>
  <w:style w:type="paragraph" w:styleId="List2">
    <w:name w:val="List 2"/>
    <w:basedOn w:val="Normal"/>
    <w:uiPriority w:val="99"/>
    <w:unhideWhenUsed w:val="on"/>
    <w:pPr>
      <w:ind w:left="720" w:hanging="360"/>
      <w:contextualSpacing w:val="on"/>
    </w:pPr>
  </w:style>
  <w:style w:type="paragraph" w:styleId="List3">
    <w:name w:val="List 3"/>
    <w:basedOn w:val="Normal"/>
    <w:uiPriority w:val="99"/>
    <w:unhideWhenUsed w:val="on"/>
    <w:pPr>
      <w:ind w:left="1080" w:hanging="360"/>
      <w:contextualSpacing w:val="on"/>
    </w:pPr>
  </w:style>
  <w:style w:type="paragraph" w:styleId="ListBullet">
    <w:name w:val="List Bullet"/>
    <w:basedOn w:val="Normal"/>
    <w:uiPriority w:val="99"/>
    <w:unhideWhenUsed w:val="on"/>
    <w:pPr>
      <w:numPr>
        <w:ilvl w:val="0"/>
        <w:numId w:val="1"/>
      </w:numPr>
      <w:contextualSpacing w:val="on"/>
    </w:pPr>
  </w:style>
  <w:style w:type="paragraph" w:styleId="ListBullet2">
    <w:name w:val="List Bullet 2"/>
    <w:basedOn w:val="Normal"/>
    <w:uiPriority w:val="99"/>
    <w:unhideWhenUsed w:val="on"/>
    <w:pPr>
      <w:numPr>
        <w:ilvl w:val="0"/>
        <w:numId w:val="2"/>
      </w:numPr>
      <w:contextualSpacing w:val="on"/>
    </w:pPr>
  </w:style>
  <w:style w:type="paragraph" w:styleId="ListBullet3">
    <w:name w:val="List Bullet 3"/>
    <w:basedOn w:val="Normal"/>
    <w:uiPriority w:val="99"/>
    <w:unhideWhenUsed w:val="on"/>
    <w:pPr>
      <w:numPr>
        <w:ilvl w:val="0"/>
        <w:numId w:val="3"/>
      </w:numPr>
      <w:contextualSpacing w:val="on"/>
    </w:pPr>
  </w:style>
  <w:style w:type="paragraph" w:styleId="ListNumber">
    <w:name w:val="List Number"/>
    <w:basedOn w:val="Normal"/>
    <w:uiPriority w:val="99"/>
    <w:unhideWhenUsed w:val="on"/>
    <w:pPr>
      <w:numPr>
        <w:ilvl w:val="0"/>
        <w:numId w:val="5"/>
      </w:numPr>
      <w:contextualSpacing w:val="on"/>
    </w:pPr>
  </w:style>
  <w:style w:type="paragraph" w:styleId="ListNumber2">
    <w:name w:val="List Number 2"/>
    <w:basedOn w:val="Normal"/>
    <w:uiPriority w:val="99"/>
    <w:unhideWhenUsed w:val="on"/>
    <w:pPr>
      <w:numPr>
        <w:ilvl w:val="0"/>
        <w:numId w:val="6"/>
      </w:numPr>
      <w:contextualSpacing w:val="on"/>
    </w:pPr>
  </w:style>
  <w:style w:type="paragraph" w:styleId="ListNumber3">
    <w:name w:val="List Number 3"/>
    <w:basedOn w:val="Normal"/>
    <w:uiPriority w:val="99"/>
    <w:unhideWhenUsed w:val="on"/>
    <w:pPr>
      <w:numPr>
        <w:ilvl w:val="0"/>
        <w:numId w:val="7"/>
      </w:numPr>
      <w:contextualSpacing w:val="on"/>
    </w:pPr>
  </w:style>
  <w:style w:type="paragraph" w:styleId="ListContinue">
    <w:name w:val="List Continue"/>
    <w:basedOn w:val="Normal"/>
    <w:uiPriority w:val="99"/>
    <w:unhideWhenUsed w:val="on"/>
    <w:pPr>
      <w:spacing w:after="120"/>
      <w:ind w:left="360"/>
      <w:contextualSpacing w:val="on"/>
    </w:pPr>
  </w:style>
  <w:style w:type="paragraph" w:styleId="ListContinue2">
    <w:name w:val="List Continue 2"/>
    <w:basedOn w:val="Normal"/>
    <w:uiPriority w:val="99"/>
    <w:unhideWhenUsed w:val="on"/>
    <w:pPr>
      <w:spacing w:after="120"/>
      <w:ind w:left="720"/>
      <w:contextualSpacing w:val="on"/>
    </w:pPr>
  </w:style>
  <w:style w:type="paragraph" w:styleId="ListContinue3">
    <w:name w:val="List Continue 3"/>
    <w:basedOn w:val="Normal"/>
    <w:uiPriority w:val="99"/>
    <w:unhideWhenUsed w:val="on"/>
    <w:pPr>
      <w:spacing w:after="120"/>
      <w:ind w:left="1080"/>
      <w:contextualSpacing w:val="on"/>
    </w:pPr>
  </w:style>
  <w:style w:type="paragraph" w:styleId="Macro">
    <w:name w:val="Macro"/>
    <w:link w:val="ТекстнамакросЗнак"/>
    <w:uiPriority w:val="99"/>
    <w:unhideWhenUsed w:val="on"/>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ТекстнамакросЗнак">
    <w:name w:val="Текст на макрос Знак"/>
    <w:basedOn w:val="DefaultParagraphFont"/>
    <w:link w:val="Macro"/>
    <w:uiPriority w:val="99"/>
    <w:rPr>
      <w:rFonts w:ascii="Courier" w:hAnsi="Courier"/>
      <w:sz w:val="20"/>
      <w:szCs w:val="20"/>
    </w:rPr>
  </w:style>
  <w:style w:type="paragraph" w:styleId="Quote">
    <w:name w:val="Quote"/>
    <w:basedOn w:val="Normal"/>
    <w:next w:val="Normal"/>
    <w:link w:val="ЦитатЗнак"/>
    <w:uiPriority w:val="29"/>
    <w:qFormat w:val="on"/>
    <w:rPr>
      <w:i/>
      <w:iCs/>
      <w:color w:val="000000" w:themeColor="text1"/>
    </w:rPr>
  </w:style>
  <w:style w:type="character" w:customStyle="1" w:styleId="ЦитатЗнак">
    <w:name w:val="Цитат Знак"/>
    <w:basedOn w:val="DefaultParagraphFont"/>
    <w:link w:val="Quote"/>
    <w:uiPriority w:val="29"/>
    <w:rPr>
      <w:i/>
      <w:iCs/>
      <w:color w:val="000000" w:themeColor="text1"/>
    </w:rPr>
  </w:style>
  <w:style w:type="character" w:customStyle="1" w:styleId="Заглавие4Знак">
    <w:name w:val="Заглавие 4 Знак"/>
    <w:basedOn w:val="DefaultParagraphFont"/>
    <w:link w:val="Heading4"/>
    <w:uiPriority w:val="9"/>
    <w:semiHidden w:val="on"/>
    <w:rPr>
      <w:rFonts w:asciiTheme="majorHAnsi" w:cstheme="majorBidi" w:eastAsiaTheme="majorEastAsia" w:hAnsiTheme="majorHAnsi"/>
      <w:b/>
      <w:bCs/>
      <w:i/>
      <w:iCs/>
      <w:color w:val="4f81bd" w:themeColor="accent1"/>
    </w:rPr>
  </w:style>
  <w:style w:type="character" w:customStyle="1" w:styleId="Заглавие5Знак">
    <w:name w:val="Заглавие 5 Знак"/>
    <w:basedOn w:val="DefaultParagraphFont"/>
    <w:link w:val="Heading5"/>
    <w:uiPriority w:val="9"/>
    <w:semiHidden w:val="on"/>
    <w:rPr>
      <w:rFonts w:asciiTheme="majorHAnsi" w:cstheme="majorBidi" w:eastAsiaTheme="majorEastAsia" w:hAnsiTheme="majorHAnsi"/>
      <w:color w:val="243f60" w:themeColor="accent1" w:themeShade="7f"/>
    </w:rPr>
  </w:style>
  <w:style w:type="character" w:customStyle="1" w:styleId="Заглавие6Знак">
    <w:name w:val="Заглавие 6 Знак"/>
    <w:basedOn w:val="DefaultParagraphFont"/>
    <w:link w:val="Heading6"/>
    <w:uiPriority w:val="9"/>
    <w:semiHidden w:val="on"/>
    <w:rPr>
      <w:rFonts w:asciiTheme="majorHAnsi" w:cstheme="majorBidi" w:eastAsiaTheme="majorEastAsia" w:hAnsiTheme="majorHAnsi"/>
      <w:i/>
      <w:iCs/>
      <w:color w:val="243f60" w:themeColor="accent1" w:themeShade="7f"/>
    </w:rPr>
  </w:style>
  <w:style w:type="character" w:customStyle="1" w:styleId="Заглавие7Знак">
    <w:name w:val="Заглавие 7 Знак"/>
    <w:basedOn w:val="DefaultParagraphFont"/>
    <w:link w:val="Heading7"/>
    <w:uiPriority w:val="9"/>
    <w:semiHidden w:val="on"/>
    <w:rPr>
      <w:rFonts w:asciiTheme="majorHAnsi" w:cstheme="majorBidi" w:eastAsiaTheme="majorEastAsia" w:hAnsiTheme="majorHAnsi"/>
      <w:i/>
      <w:iCs/>
      <w:color w:val="404040" w:themeColor="text1" w:themeTint="bf"/>
    </w:rPr>
  </w:style>
  <w:style w:type="character" w:customStyle="1" w:styleId="Заглавие8Знак">
    <w:name w:val="Заглавие 8 Знак"/>
    <w:basedOn w:val="DefaultParagraphFont"/>
    <w:link w:val="Heading8"/>
    <w:uiPriority w:val="9"/>
    <w:semiHidden w:val="on"/>
    <w:rPr>
      <w:rFonts w:asciiTheme="majorHAnsi" w:cstheme="majorBidi" w:eastAsiaTheme="majorEastAsia" w:hAnsiTheme="majorHAnsi"/>
      <w:color w:val="4f81bd" w:themeColor="accent1"/>
      <w:sz w:val="20"/>
      <w:szCs w:val="20"/>
    </w:rPr>
  </w:style>
  <w:style w:type="character" w:customStyle="1" w:styleId="Заглавие9Знак">
    <w:name w:val="Заглавие 9 Знак"/>
    <w:basedOn w:val="DefaultParagraphFont"/>
    <w:link w:val="Heading9"/>
    <w:uiPriority w:val="9"/>
    <w:semiHidden w:val="on"/>
    <w:rPr>
      <w:rFonts w:asciiTheme="majorHAnsi" w:cstheme="majorBidi" w:eastAsiaTheme="majorEastAsia" w:hAnsiTheme="majorHAnsi"/>
      <w:i/>
      <w:iCs/>
      <w:color w:val="404040" w:themeColor="text1" w:themeTint="bf"/>
      <w:sz w:val="20"/>
      <w:szCs w:val="20"/>
    </w:rPr>
  </w:style>
  <w:style w:type="paragraph" w:styleId="Caption">
    <w:name w:val="Caption"/>
    <w:basedOn w:val="Normal"/>
    <w:next w:val="Normal"/>
    <w:uiPriority w:val="35"/>
    <w:semiHidden w:val="on"/>
    <w:unhideWhenUsed w:val="on"/>
    <w:qFormat w:val="on"/>
    <w:rPr>
      <w:b/>
      <w:bCs/>
      <w:color w:val="4f81bd" w:themeColor="accent1"/>
      <w:sz w:val="18"/>
      <w:szCs w:val="18"/>
    </w:rPr>
  </w:style>
  <w:style w:type="character" w:styleId="Strong">
    <w:name w:val="Strong"/>
    <w:basedOn w:val="DefaultParagraphFont"/>
    <w:uiPriority w:val="22"/>
    <w:qFormat w:val="on"/>
    <w:rPr>
      <w:b/>
      <w:bCs/>
    </w:rPr>
  </w:style>
  <w:style w:type="character" w:styleId="Emphasis">
    <w:name w:val="Emphasis"/>
    <w:basedOn w:val="DefaultParagraphFont"/>
    <w:uiPriority w:val="20"/>
    <w:qFormat w:val="on"/>
    <w:rPr>
      <w:i/>
      <w:iCs/>
    </w:rPr>
  </w:style>
  <w:style w:type="paragraph" w:styleId="IntenseQuote">
    <w:name w:val="Intense Quote"/>
    <w:basedOn w:val="Normal"/>
    <w:next w:val="Normal"/>
    <w:link w:val="ИнтензивноцитиранеЗнак"/>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ИнтензивноцитиранеЗнак">
    <w:name w:val="Интензивно цитиране Знак"/>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TOCHeading">
    <w:name w:val="TOC Heading"/>
    <w:basedOn w:val="Heading1"/>
    <w:next w:val="Normal"/>
    <w:uiPriority w:val="39"/>
    <w:semiHidden w:val="on"/>
    <w:unhideWhenUsed w:val="on"/>
    <w:qFormat w:val="on"/>
    <w:pPr/>
  </w:style>
  <w:style w:type="table" w:styleId="TableGrid">
    <w:name w:val="Table Grid"/>
    <w:basedOn w:val="NormalTable"/>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NormalTable"/>
    <w:uiPriority w:val="60"/>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left w:val="nil" w:sz="4" w:space="0"/>
          <w:right w:val="nil" w:sz="4" w:space="0"/>
          <w:insideH w:val="nil" w:sz="4" w:space="0"/>
          <w:insideV w:val="nil" w:sz="4" w:space="0"/>
        </w:tcBorders>
        <w:shd w:val="clear" w:color="auto" w:fill="c0c0c0" w:themeFill="text1" w:themeFillTint="3f"/>
      </w:tcPr>
    </w:tblStylePr>
  </w:style>
  <w:style w:type="table" w:styleId="LightShadingAccent1">
    <w:name w:val="Light Shading Accent 1"/>
    <w:basedOn w:val="NormalTable"/>
    <w:uiPriority w:val="60"/>
    <w:pPr>
      <w:spacing w:after="0" w:line="240" w:lineRule="auto"/>
    </w:pPr>
    <w:rPr>
      <w:color w:val="3760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left w:val="nil" w:sz="4" w:space="0"/>
          <w:right w:val="nil" w:sz="4" w:space="0"/>
          <w:insideH w:val="nil" w:sz="4" w:space="0"/>
          <w:insideV w:val="nil" w:sz="4" w:space="0"/>
        </w:tcBorders>
        <w:shd w:val="clear" w:color="auto" w:fill="d3e0ef" w:themeFill="accent1" w:themeFillTint="3f"/>
      </w:tcPr>
    </w:tblStylePr>
  </w:style>
  <w:style w:type="table" w:styleId="LightShadingAccent2">
    <w:name w:val="Light Shading Accent 2"/>
    <w:basedOn w:val="NormalTable"/>
    <w:uiPriority w:val="60"/>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la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left w:val="nil" w:sz="4" w:space="0"/>
          <w:right w:val="nil" w:sz="4" w:space="0"/>
          <w:insideH w:val="nil" w:sz="4" w:space="0"/>
          <w:insideV w:val="nil" w:sz="4" w:space="0"/>
        </w:tcBorders>
        <w:shd w:val="clear" w:color="auto" w:fill="efd4d3" w:themeFill="accent2" w:themeFillTint="3f"/>
      </w:tcPr>
    </w:tblStylePr>
  </w:style>
  <w:style w:type="table" w:styleId="LightShadingAccent3">
    <w:name w:val="Light Shading Accent 3"/>
    <w:basedOn w:val="NormalTable"/>
    <w:uiPriority w:val="60"/>
    <w:pPr>
      <w:spacing w:after="0" w:line="240" w:lineRule="auto"/>
    </w:pPr>
    <w:rPr>
      <w:color w:val="75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la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left w:val="nil" w:sz="4" w:space="0"/>
          <w:right w:val="nil" w:sz="4" w:space="0"/>
          <w:insideH w:val="nil" w:sz="4" w:space="0"/>
          <w:insideV w:val="nil" w:sz="4" w:space="0"/>
        </w:tcBorders>
        <w:shd w:val="clear" w:color="auto" w:fill="e6eed6" w:themeFill="accent3" w:themeFillTint="3f"/>
      </w:tcPr>
    </w:tblStylePr>
  </w:style>
  <w:style w:type="table" w:styleId="LightShadingAccent4">
    <w:name w:val="Light Shading Accent 4"/>
    <w:basedOn w:val="NormalTable"/>
    <w:uiPriority w:val="60"/>
    <w:pPr>
      <w:spacing w:after="0" w:line="240" w:lineRule="auto"/>
    </w:pPr>
    <w:rPr>
      <w:color w:val="60497b"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la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left w:val="nil" w:sz="4" w:space="0"/>
          <w:right w:val="nil" w:sz="4" w:space="0"/>
          <w:insideH w:val="nil" w:sz="4" w:space="0"/>
          <w:insideV w:val="nil" w:sz="4" w:space="0"/>
        </w:tcBorders>
        <w:shd w:val="clear" w:color="auto" w:fill="dfd8e8" w:themeFill="accent4" w:themeFillTint="3f"/>
      </w:tcPr>
    </w:tblStyle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left w:val="nil" w:sz="4" w:space="0"/>
          <w:right w:val="nil" w:sz="4" w:space="0"/>
          <w:insideH w:val="nil" w:sz="4" w:space="0"/>
          <w:insideV w:val="nil" w:sz="4" w:space="0"/>
        </w:tcBorders>
        <w:shd w:val="clear" w:color="auto" w:fill="d1eaf1" w:themeFill="accent5" w:themeFillTint="3f"/>
      </w:tcPr>
    </w:tblStylePr>
  </w:style>
  <w:style w:type="table" w:styleId="LightShadingAccent6">
    <w:name w:val="Light Shading Accent 6"/>
    <w:basedOn w:val="NormalTable"/>
    <w:uiPriority w:val="60"/>
    <w:pPr>
      <w:spacing w:after="0" w:line="240" w:lineRule="auto"/>
    </w:pPr>
    <w:rPr>
      <w:color w:val="e2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la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left w:val="nil" w:sz="4" w:space="0"/>
          <w:right w:val="nil" w:sz="4" w:space="0"/>
          <w:insideH w:val="nil" w:sz="4" w:space="0"/>
          <w:insideV w:val="nil" w:sz="4" w:space="0"/>
        </w:tcBorders>
        <w:shd w:val="clear" w:color="auto" w:fill="fde5d1" w:themeFill="accent6" w:themeFillTint="3f"/>
      </w:tcPr>
    </w:tblStylePr>
  </w:style>
  <w:style w:type="table" w:styleId="LightList">
    <w:name w:val="Light List"/>
    <w:basedOn w:val="NormalTable"/>
    <w:uiPriority w:val="61"/>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
    <w:uiPriority w:val="61"/>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
    <w:uiPriority w:val="61"/>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
    <w:uiPriority w:val="61"/>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
    <w:uiPriority w:val="61"/>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
    <w:uiPriority w:val="61"/>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
    <w:uiPriority w:val="61"/>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
    <w:uiPriority w:val="62"/>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sz="4" w:space="0"/>
          <w:insideV w:val="single" w:color="000000" w:themeColor="tex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sz="4" w:space="0"/>
          <w:insideV w:val="single" w:color="000000" w:themeColor="tex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
    <w:uiPriority w:val="6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sz="4" w:space="0"/>
          <w:insideV w:val="single" w:color="4f81bd" w:themeColor="accen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sz="4" w:space="0"/>
          <w:insideV w:val="single" w:color="4f81bd" w:themeColor="accen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e0ef"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e0ef"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
    <w:uiPriority w:val="62"/>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sz="4" w:space="0"/>
          <w:insideV w:val="single" w:color="c0504d" w:themeColor="accent2"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sz="4" w:space="0"/>
          <w:insideV w:val="single" w:color="c0504d" w:themeColor="accent2"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4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4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
    <w:uiPriority w:val="62"/>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sz="4" w:space="0"/>
          <w:insideV w:val="single" w:color="9bbb59" w:themeColor="accent3"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sz="4" w:space="0"/>
          <w:insideV w:val="single" w:color="9bbb59" w:themeColor="accent3"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6"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6"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
    <w:uiPriority w:val="62"/>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sz="4" w:space="0"/>
          <w:insideV w:val="single" w:color="8064a2" w:themeColor="accent4"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sz="4" w:space="0"/>
          <w:insideV w:val="single" w:color="8064a2" w:themeColor="accent4"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
    <w:uiPriority w:val="62"/>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sz="4" w:space="0"/>
          <w:insideV w:val="single" w:color="4bacc6" w:themeColor="accent5"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sz="4" w:space="0"/>
          <w:insideV w:val="single" w:color="4bacc6" w:themeColor="accent5"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1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1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
    <w:uiPriority w:val="62"/>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sz="4" w:space="0"/>
          <w:insideV w:val="single" w:color="f79646" w:themeColor="accent6"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sz="4" w:space="0"/>
          <w:insideV w:val="single" w:color="f79646" w:themeColor="accent6"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
    <w:uiPriority w:val="63"/>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sz="4" w:space="0"/>
          <w:insideV w:val="nil" w:sz="4" w:space="0"/>
        </w:tcBorders>
        <w:shd w:val="clear" w:color="auto" w:fill="c0c0c0" w:themeFill="text1" w:themeFillTint="3f"/>
      </w:tcPr>
    </w:tblStylePr>
    <w:tblStylePr w:type="band2Horz">
      <w:tblPr/>
      <w:tcPr>
        <w:tcBorders>
          <w:insideH w:val="nil" w:sz="4" w:space="0"/>
          <w:insideV w:val="nil" w:sz="4" w:space="0"/>
        </w:tcBorders>
      </w:tcPr>
    </w:tblStylePr>
  </w:style>
  <w:style w:type="table" w:styleId="MediumShading1Accent1">
    <w:name w:val="Medium Shading 1 Accent 1"/>
    <w:basedOn w:val="NormalTable"/>
    <w:uiPriority w:val="63"/>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sz="4" w:space="0"/>
          <w:insideV w:val="nil" w:sz="4" w:space="0"/>
        </w:tcBorders>
        <w:shd w:val="clear" w:color="auto" w:fill="d3e0ef" w:themeFill="accent1" w:themeFillTint="3f"/>
      </w:tcPr>
    </w:tblStylePr>
    <w:tblStylePr w:type="band2Horz">
      <w:tblPr/>
      <w:tcPr>
        <w:tcBorders>
          <w:insideH w:val="nil" w:sz="4" w:space="0"/>
          <w:insideV w:val="nil" w:sz="4" w:space="0"/>
        </w:tcBorders>
      </w:tcPr>
    </w:tblStylePr>
  </w:style>
  <w:style w:type="table" w:styleId="MediumShading1Accent2">
    <w:name w:val="Medium Shading 1 Accent 2"/>
    <w:basedOn w:val="NormalTable"/>
    <w:uiPriority w:val="63"/>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tblBorders>
    </w:tblPr>
    <w:tblStylePr w:type="firstRow">
      <w:pPr>
        <w:spacing w:before="0" w:after="0" w:line="240" w:lineRule="auto"/>
      </w:pPr>
      <w:rPr>
        <w:b/>
        <w:bCs/>
        <w:color w:val="ffffff" w:themeColor="background1"/>
      </w:rPr>
      <w:tblPr/>
      <w:tcPr>
        <w:tc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shd w:val="clear" w:color="auto" w:fill="c0504d" w:themeFill="accent2"/>
      </w:tcPr>
    </w:tblStylePr>
    <w:tblStylePr w:type="lastRow">
      <w:pPr>
        <w:spacing w:before="0" w:after="0" w:line="240" w:lineRule="auto"/>
      </w:pPr>
      <w:rPr>
        <w:b/>
        <w:bCs/>
      </w:rPr>
      <w:tblPr/>
      <w:tcPr>
        <w:tcBorders>
          <w:top w:val="double" w:color="d07a78" w:themeColor="accent2" w:themeTint="bf" w:sz="6"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fd4d3" w:themeFill="accent2" w:themeFillTint="3f"/>
      </w:tcPr>
    </w:tblStylePr>
    <w:tblStylePr w:type="band1Horz">
      <w:tblPr/>
      <w:tcPr>
        <w:tcBorders>
          <w:insideH w:val="nil" w:sz="4" w:space="0"/>
          <w:insideV w:val="nil" w:sz="4" w:space="0"/>
        </w:tcBorders>
        <w:shd w:val="clear" w:color="auto" w:fill="efd4d3" w:themeFill="accent2" w:themeFillTint="3f"/>
      </w:tcPr>
    </w:tblStylePr>
    <w:tblStylePr w:type="band2Horz">
      <w:tblPr/>
      <w:tcPr>
        <w:tcBorders>
          <w:insideH w:val="nil" w:sz="4" w:space="0"/>
          <w:insideV w:val="nil" w:sz="4" w:space="0"/>
        </w:tcBorders>
      </w:tcPr>
    </w:tblStylePr>
  </w:style>
  <w:style w:type="table" w:styleId="MediumShading1Accent3">
    <w:name w:val="Medium Shading 1 Accent 3"/>
    <w:basedOn w:val="NormalTable"/>
    <w:uiPriority w:val="63"/>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6eed6" w:themeFill="accent3" w:themeFillTint="3f"/>
      </w:tcPr>
    </w:tblStylePr>
    <w:tblStylePr w:type="band1Horz">
      <w:tblPr/>
      <w:tcPr>
        <w:tcBorders>
          <w:insideH w:val="nil" w:sz="4" w:space="0"/>
          <w:insideV w:val="nil" w:sz="4" w:space="0"/>
        </w:tcBorders>
        <w:shd w:val="clear" w:color="auto" w:fill="e6eed6" w:themeFill="accent3" w:themeFillTint="3f"/>
      </w:tcPr>
    </w:tblStylePr>
    <w:tblStylePr w:type="band2Horz">
      <w:tblPr/>
      <w:tcPr>
        <w:tcBorders>
          <w:insideH w:val="nil" w:sz="4" w:space="0"/>
          <w:insideV w:val="nil" w:sz="4" w:space="0"/>
        </w:tcBorders>
      </w:tcPr>
    </w:tblStylePr>
  </w:style>
  <w:style w:type="table" w:styleId="MediumShading1Accent4">
    <w:name w:val="Medium Shading 1 Accent 4"/>
    <w:basedOn w:val="NormalTable"/>
    <w:uiPriority w:val="63"/>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tblBorders>
    </w:tblPr>
    <w:tblStylePr w:type="firstRow">
      <w:pPr>
        <w:spacing w:before="0" w:after="0" w:line="240" w:lineRule="auto"/>
      </w:pPr>
      <w:rPr>
        <w:b/>
        <w:bCs/>
        <w:color w:val="ffffff" w:themeColor="background1"/>
      </w:rPr>
      <w:tblPr/>
      <w:tcPr>
        <w:tc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shd w:val="clear" w:color="auto" w:fill="8064a2" w:themeFill="accent4"/>
      </w:tcPr>
    </w:tblStylePr>
    <w:tblStylePr w:type="lastRow">
      <w:pPr>
        <w:spacing w:before="0" w:after="0" w:line="240" w:lineRule="auto"/>
      </w:pPr>
      <w:rPr>
        <w:b/>
        <w:bCs/>
      </w:rPr>
      <w:tblPr/>
      <w:tcPr>
        <w:tcBorders>
          <w:top w:val="double" w:color="a08bb9" w:themeColor="accent4" w:themeTint="bf" w:sz="6"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sz="4" w:space="0"/>
          <w:insideV w:val="nil" w:sz="4" w:space="0"/>
        </w:tcBorders>
        <w:shd w:val="clear" w:color="auto" w:fill="dfd8e8" w:themeFill="accent4" w:themeFillTint="3f"/>
      </w:tcPr>
    </w:tblStylePr>
    <w:tblStylePr w:type="band2Horz">
      <w:tblPr/>
      <w:tcPr>
        <w:tcBorders>
          <w:insideH w:val="nil" w:sz="4" w:space="0"/>
          <w:insideV w:val="nil" w:sz="4" w:space="0"/>
        </w:tcBorders>
      </w:tcPr>
    </w:tblStylePr>
  </w:style>
  <w:style w:type="table" w:styleId="MediumShading1Accent5">
    <w:name w:val="Medium Shading 1 Accent 5"/>
    <w:basedOn w:val="NormalTable"/>
    <w:uiPriority w:val="63"/>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tblBorders>
    </w:tblPr>
    <w:tblStylePr w:type="firstRow">
      <w:pPr>
        <w:spacing w:before="0" w:after="0" w:line="240" w:lineRule="auto"/>
      </w:pPr>
      <w:rPr>
        <w:b/>
        <w:bCs/>
        <w:color w:val="ffffff" w:themeColor="background1"/>
      </w:rPr>
      <w:tblPr/>
      <w:tcPr>
        <w:tc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shd w:val="clear" w:color="auto" w:fill="4bacc6" w:themeFill="accent5"/>
      </w:tcPr>
    </w:tblStylePr>
    <w:tblStylePr w:type="lastRow">
      <w:pPr>
        <w:spacing w:before="0" w:after="0" w:line="240" w:lineRule="auto"/>
      </w:pPr>
      <w:rPr>
        <w:b/>
        <w:bCs/>
      </w:rPr>
      <w:tblPr/>
      <w:tcPr>
        <w:tcBorders>
          <w:top w:val="double" w:color="76c0d4" w:themeColor="accent5" w:themeTint="bf" w:sz="6"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1eaf1" w:themeFill="accent5" w:themeFillTint="3f"/>
      </w:tcPr>
    </w:tblStylePr>
    <w:tblStylePr w:type="band1Horz">
      <w:tblPr/>
      <w:tcPr>
        <w:tcBorders>
          <w:insideH w:val="nil" w:sz="4" w:space="0"/>
          <w:insideV w:val="nil" w:sz="4" w:space="0"/>
        </w:tcBorders>
        <w:shd w:val="clear" w:color="auto" w:fill="d1eaf1" w:themeFill="accent5" w:themeFillTint="3f"/>
      </w:tcPr>
    </w:tblStylePr>
    <w:tblStylePr w:type="band2Horz">
      <w:tblPr/>
      <w:tcPr>
        <w:tcBorders>
          <w:insideH w:val="nil" w:sz="4" w:space="0"/>
          <w:insideV w:val="nil" w:sz="4" w:space="0"/>
        </w:tcBorders>
      </w:tcPr>
    </w:tblStylePr>
  </w:style>
  <w:style w:type="table" w:styleId="MediumShading1Accent6">
    <w:name w:val="Medium Shading 1 Accent 6"/>
    <w:basedOn w:val="NormalTable"/>
    <w:uiPriority w:val="63"/>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tblBorders>
    </w:tblPr>
    <w:tblStylePr w:type="firstRow">
      <w:pPr>
        <w:spacing w:before="0" w:after="0" w:line="240" w:lineRule="auto"/>
      </w:pPr>
      <w:rPr>
        <w:b/>
        <w:bCs/>
        <w:color w:val="ffffff" w:themeColor="background1"/>
      </w:rPr>
      <w:tblPr/>
      <w:tcPr>
        <w:tc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shd w:val="clear" w:color="auto" w:fill="f79646" w:themeFill="accent6"/>
      </w:tcPr>
    </w:tblStylePr>
    <w:tblStylePr w:type="lastRow">
      <w:pPr>
        <w:spacing w:before="0" w:after="0" w:line="240" w:lineRule="auto"/>
      </w:pPr>
      <w:rPr>
        <w:b/>
        <w:bCs/>
      </w:rPr>
      <w:tblPr/>
      <w:tcPr>
        <w:tcBorders>
          <w:top w:val="double" w:color="f9b073" w:themeColor="accent6" w:themeTint="bf" w:sz="6"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sz="4" w:space="0"/>
          <w:insideV w:val="nil" w:sz="4" w:space="0"/>
        </w:tcBorders>
        <w:shd w:val="clear" w:color="auto" w:fill="fde5d1" w:themeFill="accent6" w:themeFillTint="3f"/>
      </w:tcPr>
    </w:tblStylePr>
    <w:tblStylePr w:type="band2Horz">
      <w:tblPr/>
      <w:tcPr>
        <w:tcBorders>
          <w:insideH w:val="nil" w:sz="4" w:space="0"/>
          <w:insideV w:val="nil" w:sz="4" w:space="0"/>
        </w:tcBorders>
      </w:tcPr>
    </w:tblStylePr>
  </w:style>
  <w:style w:type="table" w:styleId="MediumShading2">
    <w:name w:val="Medium Shading 2"/>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000000" w:themeFill="tex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000000" w:themeFill="tex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000000" w:themeFill="tex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1">
    <w:name w:val="Medium Shading 2 Accent 1"/>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f81bd" w:themeFill="accen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f81bd" w:themeFill="accen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f81bd" w:themeFill="accen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2">
    <w:name w:val="Medium Shading 2 Accent 2"/>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c0504d" w:themeFill="accent2"/>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c0504d" w:themeFill="accent2"/>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c0504d" w:themeFill="accent2"/>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3">
    <w:name w:val="Medium Shading 2 Accent 3"/>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9bbb59" w:themeFill="accent3"/>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9bbb59" w:themeFill="accent3"/>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9bbb59" w:themeFill="accent3"/>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4">
    <w:name w:val="Medium Shading 2 Accent 4"/>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8064a2" w:themeFill="accent4"/>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8064a2" w:themeFill="accent4"/>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8064a2" w:themeFill="accent4"/>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5">
    <w:name w:val="Medium Shading 2 Accent 5"/>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bacc6" w:themeFill="accent5"/>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bacc6" w:themeFill="accent5"/>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bacc6" w:themeFill="accent5"/>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6">
    <w:name w:val="Medium Shading 2 Accent 6"/>
    <w:basedOn w:val="NormalTable"/>
    <w:uiPriority w:val="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f79646" w:themeFill="accent6"/>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f79646" w:themeFill="accent6"/>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f79646" w:themeFill="accent6"/>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List1">
    <w:name w:val="Medium List 1"/>
    <w:basedOn w:val="NormalTable"/>
    <w:uiPriority w:val="65"/>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cstheme="majorBidi" w:eastAsiaTheme="majorEastAsia" w:hAnsiTheme="majorHAnsi"/>
      </w:rPr>
      <w:tblPr/>
      <w:tcPr>
        <w:tcBorders>
          <w:top w:val="nil" w:sz="4" w:space="0"/>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
    <w:uiPriority w:val="65"/>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cstheme="majorBidi" w:eastAsiaTheme="majorEastAsia" w:hAnsiTheme="majorHAnsi"/>
      </w:rPr>
      <w:tblPr/>
      <w:tcPr>
        <w:tcBorders>
          <w:top w:val="nil" w:sz="4" w:space="0"/>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e0ef" w:themeFill="accent1" w:themeFillTint="3f"/>
      </w:tcPr>
    </w:tblStylePr>
    <w:tblStylePr w:type="band1Horz">
      <w:tblPr/>
      <w:tcPr>
        <w:shd w:val="clear" w:color="auto" w:fill="d3e0ef" w:themeFill="accent1" w:themeFillTint="3f"/>
      </w:tcPr>
    </w:tblStylePr>
  </w:style>
  <w:style w:type="table" w:styleId="MediumList1Accent2">
    <w:name w:val="Medium List 1 Accent 2"/>
    <w:basedOn w:val="NormalTable"/>
    <w:uiPriority w:val="65"/>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cstheme="majorBidi" w:eastAsiaTheme="majorEastAsia" w:hAnsiTheme="majorHAnsi"/>
      </w:rPr>
      <w:tblPr/>
      <w:tcPr>
        <w:tcBorders>
          <w:top w:val="nil" w:sz="4" w:space="0"/>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4d3" w:themeFill="accent2" w:themeFillTint="3f"/>
      </w:tcPr>
    </w:tblStylePr>
    <w:tblStylePr w:type="band1Horz">
      <w:tblPr/>
      <w:tcPr>
        <w:shd w:val="clear" w:color="auto" w:fill="efd4d3" w:themeFill="accent2" w:themeFillTint="3f"/>
      </w:tcPr>
    </w:tblStylePr>
  </w:style>
  <w:style w:type="table" w:styleId="MediumList1Accent3">
    <w:name w:val="Medium List 1 Accent 3"/>
    <w:basedOn w:val="NormalTable"/>
    <w:uiPriority w:val="65"/>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cstheme="majorBidi" w:eastAsiaTheme="majorEastAsia" w:hAnsiTheme="majorHAnsi"/>
      </w:rPr>
      <w:tblPr/>
      <w:tcPr>
        <w:tcBorders>
          <w:top w:val="nil" w:sz="4" w:space="0"/>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6" w:themeFill="accent3" w:themeFillTint="3f"/>
      </w:tcPr>
    </w:tblStylePr>
    <w:tblStylePr w:type="band1Horz">
      <w:tblPr/>
      <w:tcPr>
        <w:shd w:val="clear" w:color="auto" w:fill="e6eed6" w:themeFill="accent3" w:themeFillTint="3f"/>
      </w:tcPr>
    </w:tblStylePr>
  </w:style>
  <w:style w:type="table" w:styleId="MediumList1Accent4">
    <w:name w:val="Medium List 1 Accent 4"/>
    <w:basedOn w:val="NormalTable"/>
    <w:uiPriority w:val="65"/>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cstheme="majorBidi" w:eastAsiaTheme="majorEastAsia" w:hAnsiTheme="majorHAnsi"/>
      </w:rPr>
      <w:tblPr/>
      <w:tcPr>
        <w:tcBorders>
          <w:top w:val="nil" w:sz="4" w:space="0"/>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
    <w:uiPriority w:val="65"/>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cstheme="majorBidi" w:eastAsiaTheme="majorEastAsia" w:hAnsiTheme="majorHAnsi"/>
      </w:rPr>
      <w:tblPr/>
      <w:tcPr>
        <w:tcBorders>
          <w:top w:val="nil" w:sz="4" w:space="0"/>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1eaf1" w:themeFill="accent5" w:themeFillTint="3f"/>
      </w:tcPr>
    </w:tblStylePr>
    <w:tblStylePr w:type="band1Horz">
      <w:tblPr/>
      <w:tcPr>
        <w:shd w:val="clear" w:color="auto" w:fill="d1eaf1" w:themeFill="accent5" w:themeFillTint="3f"/>
      </w:tcPr>
    </w:tblStylePr>
  </w:style>
  <w:style w:type="table" w:styleId="MediumList1Accent6">
    <w:name w:val="Medium List 1 Accent 6"/>
    <w:basedOn w:val="NormalTable"/>
    <w:uiPriority w:val="65"/>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cstheme="majorBidi" w:eastAsiaTheme="majorEastAsia" w:hAnsiTheme="majorHAnsi"/>
      </w:rPr>
      <w:tblPr/>
      <w:tcPr>
        <w:tcBorders>
          <w:top w:val="nil" w:sz="4" w:space="0"/>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sz="4" w:space="0"/>
          <w:left w:val="nil" w:sz="4" w:space="0"/>
          <w:bottom w:val="single" w:color="000000" w:themeColor="text1" w:sz="24" w:space="0"/>
          <w:right w:val="nil" w:sz="4" w:space="0"/>
          <w:insideH w:val="nil" w:sz="4" w:space="0"/>
          <w:insideV w:val="nil" w:sz="4" w:space="0"/>
        </w:tcBorders>
        <w:shd w:val="clear" w:color="auto" w:fill="ffffff" w:themeFill="background1"/>
      </w:tcPr>
    </w:tblStylePr>
    <w:tblStylePr w:type="lastRow">
      <w:tblPr/>
      <w:tcPr>
        <w:tcBorders>
          <w:top w:val="single" w:color="000000" w:themeColor="tex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000000" w:themeColor="text1" w:sz="8" w:space="0"/>
          <w:insideH w:val="nil" w:sz="4" w:space="0"/>
          <w:insideV w:val="nil" w:sz="4" w:space="0"/>
        </w:tcBorders>
        <w:shd w:val="clear" w:color="auto" w:fill="ffffff" w:themeFill="background1"/>
      </w:tcPr>
    </w:tblStylePr>
    <w:tblStylePr w:type="lastCol">
      <w:tblPr/>
      <w:tcPr>
        <w:tcBorders>
          <w:top w:val="nil" w:sz="4" w:space="0"/>
          <w:left w:val="single" w:color="000000" w:themeColor="tex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top w:val="nil" w:sz="4" w:space="0"/>
          <w:bottom w:val="nil" w:sz="4" w:space="0"/>
          <w:insideH w:val="nil" w:sz="4" w:space="0"/>
          <w:insideV w:val="nil" w:sz="4" w:space="0"/>
        </w:tcBorders>
        <w:shd w:val="clear" w:color="auto" w:fill="c0c0c0" w:themeFill="tex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1">
    <w:name w:val="Medium List 2 Accent 1"/>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sz="4" w:space="0"/>
          <w:left w:val="nil" w:sz="4" w:space="0"/>
          <w:bottom w:val="single" w:color="4f81bd" w:themeColor="accent1" w:sz="24" w:space="0"/>
          <w:right w:val="nil" w:sz="4" w:space="0"/>
          <w:insideH w:val="nil" w:sz="4" w:space="0"/>
          <w:insideV w:val="nil" w:sz="4" w:space="0"/>
        </w:tcBorders>
        <w:shd w:val="clear" w:color="auto" w:fill="ffffff" w:themeFill="background1"/>
      </w:tcPr>
    </w:tblStylePr>
    <w:tblStylePr w:type="lastRow">
      <w:tblPr/>
      <w:tcPr>
        <w:tcBorders>
          <w:top w:val="single" w:color="4f81bd" w:themeColor="accen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f81bd" w:themeColor="accent1" w:sz="8" w:space="0"/>
          <w:insideH w:val="nil" w:sz="4" w:space="0"/>
          <w:insideV w:val="nil" w:sz="4" w:space="0"/>
        </w:tcBorders>
        <w:shd w:val="clear" w:color="auto" w:fill="ffffff" w:themeFill="background1"/>
      </w:tcPr>
    </w:tblStylePr>
    <w:tblStylePr w:type="lastCol">
      <w:tblPr/>
      <w:tcPr>
        <w:tcBorders>
          <w:top w:val="nil" w:sz="4" w:space="0"/>
          <w:left w:val="single" w:color="4f81bd" w:themeColor="accen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top w:val="nil" w:sz="4" w:space="0"/>
          <w:bottom w:val="nil" w:sz="4" w:space="0"/>
          <w:insideH w:val="nil" w:sz="4" w:space="0"/>
          <w:insideV w:val="nil" w:sz="4" w:space="0"/>
        </w:tcBorders>
        <w:shd w:val="clear" w:color="auto" w:fill="d3e0ef" w:themeFill="accen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2">
    <w:name w:val="Medium List 2 Accen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tblPr/>
      <w:tcPr>
        <w:tcBorders>
          <w:top w:val="single" w:color="c0504d" w:themeColor="accent2"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c0504d" w:themeColor="accent2" w:sz="8" w:space="0"/>
          <w:insideH w:val="nil" w:sz="4" w:space="0"/>
          <w:insideV w:val="nil" w:sz="4" w:space="0"/>
        </w:tcBorders>
        <w:shd w:val="clear" w:color="auto" w:fill="ffffff" w:themeFill="background1"/>
      </w:tcPr>
    </w:tblStylePr>
    <w:tblStylePr w:type="lastCol">
      <w:tblPr/>
      <w:tcPr>
        <w:tcBorders>
          <w:top w:val="nil" w:sz="4" w:space="0"/>
          <w:left w:val="single" w:color="c0504d" w:themeColor="accent2"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top w:val="nil" w:sz="4" w:space="0"/>
          <w:bottom w:val="nil" w:sz="4" w:space="0"/>
          <w:insideH w:val="nil" w:sz="4" w:space="0"/>
          <w:insideV w:val="nil" w:sz="4" w:space="0"/>
        </w:tcBorders>
        <w:shd w:val="clear" w:color="auto" w:fill="efd4d3" w:themeFill="accent2"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3">
    <w:name w:val="Medium List 2 Accent 3"/>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tblPr/>
      <w:tcPr>
        <w:tcBorders>
          <w:top w:val="single" w:color="9bbb59" w:themeColor="accent3"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9bbb59" w:themeColor="accent3" w:sz="8" w:space="0"/>
          <w:insideH w:val="nil" w:sz="4" w:space="0"/>
          <w:insideV w:val="nil" w:sz="4" w:space="0"/>
        </w:tcBorders>
        <w:shd w:val="clear" w:color="auto" w:fill="ffffff" w:themeFill="background1"/>
      </w:tcPr>
    </w:tblStylePr>
    <w:tblStylePr w:type="lastCol">
      <w:tblPr/>
      <w:tcPr>
        <w:tcBorders>
          <w:top w:val="nil" w:sz="4" w:space="0"/>
          <w:left w:val="single" w:color="9bbb59" w:themeColor="accent3"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top w:val="nil" w:sz="4" w:space="0"/>
          <w:bottom w:val="nil" w:sz="4" w:space="0"/>
          <w:insideH w:val="nil" w:sz="4" w:space="0"/>
          <w:insideV w:val="nil" w:sz="4" w:space="0"/>
        </w:tcBorders>
        <w:shd w:val="clear" w:color="auto" w:fill="e6eed6" w:themeFill="accent3"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4">
    <w:name w:val="Medium List 2 Accent 4"/>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tblPr/>
      <w:tcPr>
        <w:tcBorders>
          <w:top w:val="single" w:color="8064a2" w:themeColor="accent4"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8064a2" w:themeColor="accent4" w:sz="8" w:space="0"/>
          <w:insideH w:val="nil" w:sz="4" w:space="0"/>
          <w:insideV w:val="nil" w:sz="4" w:space="0"/>
        </w:tcBorders>
        <w:shd w:val="clear" w:color="auto" w:fill="ffffff" w:themeFill="background1"/>
      </w:tcPr>
    </w:tblStylePr>
    <w:tblStylePr w:type="lastCol">
      <w:tblPr/>
      <w:tcPr>
        <w:tcBorders>
          <w:top w:val="nil" w:sz="4" w:space="0"/>
          <w:left w:val="single" w:color="8064a2" w:themeColor="accent4"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top w:val="nil" w:sz="4" w:space="0"/>
          <w:bottom w:val="nil" w:sz="4" w:space="0"/>
          <w:insideH w:val="nil" w:sz="4" w:space="0"/>
          <w:insideV w:val="nil" w:sz="4" w:space="0"/>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5">
    <w:name w:val="Medium List 2 Accent 5"/>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tblPr/>
      <w:tcPr>
        <w:tcBorders>
          <w:top w:val="single" w:color="4bacc6" w:themeColor="accent5"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bacc6" w:themeColor="accent5" w:sz="8" w:space="0"/>
          <w:insideH w:val="nil" w:sz="4" w:space="0"/>
          <w:insideV w:val="nil" w:sz="4" w:space="0"/>
        </w:tcBorders>
        <w:shd w:val="clear" w:color="auto" w:fill="ffffff" w:themeFill="background1"/>
      </w:tcPr>
    </w:tblStylePr>
    <w:tblStylePr w:type="lastCol">
      <w:tblPr/>
      <w:tcPr>
        <w:tcBorders>
          <w:top w:val="nil" w:sz="4" w:space="0"/>
          <w:left w:val="single" w:color="4bacc6" w:themeColor="accent5"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top w:val="nil" w:sz="4" w:space="0"/>
          <w:bottom w:val="nil" w:sz="4" w:space="0"/>
          <w:insideH w:val="nil" w:sz="4" w:space="0"/>
          <w:insideV w:val="nil" w:sz="4" w:space="0"/>
        </w:tcBorders>
        <w:shd w:val="clear" w:color="auto" w:fill="d1eaf1" w:themeFill="accent5"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6">
    <w:name w:val="Medium List 2 Accent 6"/>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tblPr/>
      <w:tcPr>
        <w:tcBorders>
          <w:top w:val="single" w:color="f79646" w:themeColor="accent6"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f79646" w:themeColor="accent6" w:sz="8" w:space="0"/>
          <w:insideH w:val="nil" w:sz="4" w:space="0"/>
          <w:insideV w:val="nil" w:sz="4" w:space="0"/>
        </w:tcBorders>
        <w:shd w:val="clear" w:color="auto" w:fill="ffffff" w:themeFill="background1"/>
      </w:tcPr>
    </w:tblStylePr>
    <w:tblStylePr w:type="lastCol">
      <w:tblPr/>
      <w:tcPr>
        <w:tcBorders>
          <w:top w:val="nil" w:sz="4" w:space="0"/>
          <w:left w:val="single" w:color="f79646" w:themeColor="accent6"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top w:val="nil" w:sz="4" w:space="0"/>
          <w:bottom w:val="nil" w:sz="4" w:space="0"/>
          <w:insideH w:val="nil" w:sz="4" w:space="0"/>
          <w:insideV w:val="nil" w:sz="4" w:space="0"/>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Grid1">
    <w:name w:val="Medium Grid 1"/>
    <w:basedOn w:val="NormalTable"/>
    <w:uiPriority w:val="6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
    <w:uiPriority w:val="67"/>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e0ef"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MediumGrid1Accent2">
    <w:name w:val="Medium Grid 1 Accent 2"/>
    <w:basedOn w:val="NormalTable"/>
    <w:uiPriority w:val="67"/>
    <w:pPr>
      <w:spacing w:after="0" w:line="240" w:lineRule="auto"/>
    </w:pPr>
    <w:tblPr>
      <w:tblStyleRowBandSize w:val="1"/>
      <w:tblStyleColBandSize w:val="1"/>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insideV w:val="single" w:color="d07a78" w:themeColor="accent2" w:themeTint="bf" w:sz="8" w:space="0"/>
      </w:tblBorders>
    </w:tblPr>
    <w:tcPr>
      <w:shd w:val="clear" w:color="auto" w:fill="efd4d3" w:themeFill="accent2" w:themeFillTint="3f"/>
    </w:tcPr>
    <w:tblStylePr w:type="firstRow">
      <w:rPr>
        <w:b/>
        <w:bCs/>
      </w:rPr>
    </w:tblStylePr>
    <w:tblStylePr w:type="lastRow">
      <w:rPr>
        <w:b/>
        <w:bCs/>
      </w:rPr>
      <w:tblPr/>
      <w:tcPr>
        <w:tcBorders>
          <w:top w:val="single" w:color="d07a78" w:themeColor="accent2" w:themeTint="bf" w:sz="18" w:space="0"/>
        </w:tcBorders>
      </w:tcPr>
    </w:tblStylePr>
    <w:tblStylePr w:type="firstCol">
      <w:rPr>
        <w:b/>
        <w:bCs/>
      </w:rPr>
    </w:tblStylePr>
    <w:tblStylePr w:type="lastCol">
      <w:rPr>
        <w:b/>
        <w:bCs/>
      </w:r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MediumGrid1Accent3">
    <w:name w:val="Medium Grid 1 Accent 3"/>
    <w:basedOn w:val="NormalTable"/>
    <w:uiPriority w:val="67"/>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6"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MediumGrid1Accent4">
    <w:name w:val="Medium Grid 1 Accent 4"/>
    <w:basedOn w:val="NormalTable"/>
    <w:uiPriority w:val="67"/>
    <w:pPr>
      <w:spacing w:after="0" w:line="240" w:lineRule="auto"/>
    </w:pPr>
    <w:tblPr>
      <w:tblStyleRowBandSize w:val="1"/>
      <w:tblStyleColBandSize w:val="1"/>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insideV w:val="single" w:color="a08b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a08bb9" w:themeColor="accent4" w:themeTint="bf" w:sz="18" w:space="0"/>
        </w:tcBorders>
      </w:tcPr>
    </w:tblStylePr>
    <w:tblStylePr w:type="firstCol">
      <w:rPr>
        <w:b/>
        <w:bCs/>
      </w:rPr>
    </w:tblStylePr>
    <w:tblStylePr w:type="lastCol">
      <w:rPr>
        <w:b/>
        <w:bCs/>
      </w:r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MediumGrid1Accent5">
    <w:name w:val="Medium Grid 1 Accent 5"/>
    <w:basedOn w:val="NormalTable"/>
    <w:uiPriority w:val="67"/>
    <w:pPr>
      <w:spacing w:after="0" w:line="240" w:lineRule="auto"/>
    </w:pPr>
    <w:tblPr>
      <w:tblStyleRowBandSize w:val="1"/>
      <w:tblStyleColBandSize w:val="1"/>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insideV w:val="single" w:color="76c0d4" w:themeColor="accent5" w:themeTint="bf" w:sz="8" w:space="0"/>
      </w:tblBorders>
    </w:tblPr>
    <w:tcPr>
      <w:shd w:val="clear" w:color="auto" w:fill="d1eaf1" w:themeFill="accent5" w:themeFillTint="3f"/>
    </w:tcPr>
    <w:tblStylePr w:type="firstRow">
      <w:rPr>
        <w:b/>
        <w:bCs/>
      </w:rPr>
    </w:tblStylePr>
    <w:tblStylePr w:type="lastRow">
      <w:rPr>
        <w:b/>
        <w:bCs/>
      </w:rPr>
      <w:tblPr/>
      <w:tcPr>
        <w:tcBorders>
          <w:top w:val="single" w:color="76c0d4" w:themeColor="accent5" w:themeTint="bf" w:sz="18" w:space="0"/>
        </w:tcBorders>
      </w:tcPr>
    </w:tblStylePr>
    <w:tblStylePr w:type="firstCol">
      <w:rPr>
        <w:b/>
        <w:bCs/>
      </w:rPr>
    </w:tblStylePr>
    <w:tblStylePr w:type="lastCol">
      <w:rPr>
        <w:b/>
        <w:bCs/>
      </w:r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MediumGrid1Accent6">
    <w:name w:val="Medium Grid 1 Accent 6"/>
    <w:basedOn w:val="NormalTable"/>
    <w:uiPriority w:val="67"/>
    <w:pPr>
      <w:spacing w:after="0" w:line="240" w:lineRule="auto"/>
    </w:pPr>
    <w:tblPr>
      <w:tblStyleRowBandSize w:val="1"/>
      <w:tblStyleColBandSize w:val="1"/>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insideV w:val="single" w:color="f9b073"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3" w:themeColor="accent6" w:themeTint="bf" w:sz="18" w:space="0"/>
        </w:tcBorders>
      </w:tcPr>
    </w:tblStylePr>
    <w:tblStylePr w:type="firstCol">
      <w:rPr>
        <w:b/>
        <w:bCs/>
      </w:rPr>
    </w:tblStylePr>
    <w:tblStylePr w:type="lastCol">
      <w:rPr>
        <w:b/>
        <w:bCs/>
      </w:r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table" w:styleId="MediumGrid2">
    <w:name w:val="Medium Grid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e0ef" w:themeFill="accent1" w:themeFillTint="3f"/>
    </w:tcPr>
    <w:tblStylePr w:type="firstRow">
      <w:rPr>
        <w:b/>
        <w:bCs/>
        <w:color w:val="000000" w:themeColor="text1"/>
      </w:rPr>
      <w:tblPr/>
      <w:tcPr>
        <w:shd w:val="clear" w:color="auto" w:fill="eef3f8" w:themeFill="accen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5f1" w:themeFill="accent1" w:themeFillTint="33"/>
      </w:tcPr>
    </w:tblStylePr>
    <w:tblStylePr w:type="band1Vert">
      <w:tblPr/>
      <w:tcPr>
        <w:shd w:val="clear" w:color="auto" w:fill="a6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6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4d3" w:themeFill="accent2" w:themeFillTint="3f"/>
    </w:tcPr>
    <w:tblStylePr w:type="firstRow">
      <w:rPr>
        <w:b/>
        <w:bCs/>
        <w:color w:val="000000" w:themeColor="text1"/>
      </w:rPr>
      <w:tblPr/>
      <w:tcPr>
        <w:shd w:val="clear" w:color="auto" w:fill="f9eded" w:themeFill="accent2"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2dbda" w:themeFill="accent2" w:themeFillTint="33"/>
      </w:tcPr>
    </w:tblStylePr>
    <w:tblStylePr w:type="band1Vert">
      <w:tblPr/>
      <w:tcPr>
        <w:shd w:val="clear" w:color="auto" w:fill="dfa6a5"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6a5" w:themeFill="accent2" w:themeFillTint="7f"/>
      </w:tcPr>
    </w:tblStylePr>
    <w:tblStylePr w:type="nwCell">
      <w:tblPr/>
      <w:tcPr>
        <w:shd w:val="clear" w:color="auto" w:fill="ffffff" w:themeFill="background1"/>
      </w:tcPr>
    </w:tblStylePr>
  </w:style>
  <w:style w:type="table" w:styleId="MediumGrid2Accent3">
    <w:name w:val="Medium Grid 2 Accent 3"/>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6"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af1dd" w:themeFill="accent3" w:themeFillTint="33"/>
      </w:tcPr>
    </w:tblStylePr>
    <w:tblStylePr w:type="band1Vert">
      <w:tblPr/>
      <w:tcPr>
        <w:shd w:val="clear" w:color="auto" w:fill="ccddab" w:themeFill="accent3" w:themeFillTint="7f"/>
      </w:tcPr>
    </w:tblStylePr>
    <w:tblStylePr w:type="band1Horz">
      <w:tblPr/>
      <w:tcPr>
        <w:tcBorders>
          <w:insideH w:val="single" w:color="9bbb59" w:themeColor="accent3" w:sz="6" w:space="0"/>
          <w:insideV w:val="single" w:color="9bbb59" w:themeColor="accent3" w:sz="6" w:space="0"/>
        </w:tcBorders>
        <w:shd w:val="clear" w:color="auto" w:fill="ccddab" w:themeFill="accent3" w:themeFillTint="7f"/>
      </w:tcPr>
    </w:tblStylePr>
    <w:tblStylePr w:type="nwCell">
      <w:tblPr/>
      <w:tcPr>
        <w:shd w:val="clear" w:color="auto" w:fill="ffffff" w:themeFill="background1"/>
      </w:tcPr>
    </w:tblStylePr>
  </w:style>
  <w:style w:type="table" w:styleId="MediumGrid2Accent4">
    <w:name w:val="Medium Grid 2 Accent 4"/>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5e0ec" w:themeFill="accent4" w:themeFillTint="33"/>
      </w:tcPr>
    </w:tblStylePr>
    <w:tblStylePr w:type="band1Vert">
      <w:tblPr/>
      <w:tcPr>
        <w:shd w:val="clear" w:color="auto" w:fill="bfb1d1"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1" w:themeFill="accent4" w:themeFillTint="7f"/>
      </w:tcPr>
    </w:tblStylePr>
    <w:tblStylePr w:type="nwCell">
      <w:tblPr/>
      <w:tcPr>
        <w:shd w:val="clear" w:color="auto" w:fill="ffffff" w:themeFill="background1"/>
      </w:tcPr>
    </w:tblStylePr>
  </w:style>
  <w:style w:type="table" w:styleId="MediumGrid2Accent5">
    <w:name w:val="Medium Grid 2 Accent 5"/>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1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ef3" w:themeFill="accent5" w:themeFillTint="33"/>
      </w:tcPr>
    </w:tblStylePr>
    <w:tblStylePr w:type="band1Vert">
      <w:tblPr/>
      <w:tcPr>
        <w:shd w:val="clear" w:color="auto" w:fill="a4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4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de9d9" w:themeFill="accent6" w:themeFillTint="33"/>
      </w:tcPr>
    </w:tblStylePr>
    <w:tblStylePr w:type="band1Vert">
      <w:tblPr/>
      <w:tcPr>
        <w:shd w:val="clear" w:color="auto" w:fill="fbcaa1"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1" w:themeFill="accent6" w:themeFillTint="7f"/>
      </w:tcPr>
    </w:tblStylePr>
    <w:tblStylePr w:type="nwCell">
      <w:tblPr/>
      <w:tcPr>
        <w:shd w:val="clear" w:color="auto" w:fill="ffffff" w:themeFill="background1"/>
      </w:tcPr>
    </w:tblStylePr>
  </w:style>
  <w:style w:type="table" w:styleId="MediumGrid3">
    <w:name w:val="Medium Grid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000000" w:themeFill="tex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000000" w:themeFill="tex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000000" w:themeFill="tex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e0ef" w:themeFill="accen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f81bd" w:themeFill="accen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f81bd" w:themeFill="accen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f81bd" w:themeFill="accen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6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bfde" w:themeFill="accent1" w:themeFillTint="7f"/>
      </w:tcPr>
    </w:tblStylePr>
  </w:style>
  <w:style w:type="table" w:styleId="MediumGrid3Accent2">
    <w:name w:val="Medium Grid 3 Accent 2"/>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4d3" w:themeFill="accent2"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c0504d" w:themeFill="accent2"/>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c0504d" w:themeFill="accent2"/>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c0504d" w:themeFill="accent2"/>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dfa6a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6a5" w:themeFill="accent2" w:themeFillTint="7f"/>
      </w:tcPr>
    </w:tblStylePr>
  </w:style>
  <w:style w:type="table" w:styleId="MediumGrid3Accent3">
    <w:name w:val="Medium Grid 3 Accent 3"/>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6" w:themeFill="accent3"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9bbb59" w:themeFill="accent3"/>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9bbb59" w:themeFill="accent3"/>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9bbb59" w:themeFill="accent3"/>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ccdda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dab" w:themeFill="accent3" w:themeFillTint="7f"/>
      </w:tcPr>
    </w:tblStylePr>
  </w:style>
  <w:style w:type="table" w:styleId="MediumGrid3Accent4">
    <w:name w:val="Medium Grid 3 Accent 4"/>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8064a2" w:themeFill="accent4"/>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8064a2" w:themeFill="accent4"/>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8064a2" w:themeFill="accent4"/>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bfb1d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1" w:themeFill="accent4" w:themeFillTint="7f"/>
      </w:tcPr>
    </w:tblStylePr>
  </w:style>
  <w:style w:type="table" w:styleId="MediumGrid3Accent5">
    <w:name w:val="Medium Grid 3 Accent 5"/>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eaf1" w:themeFill="accent5"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bacc6" w:themeFill="accent5"/>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bacc6" w:themeFill="accent5"/>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bacc6" w:themeFill="accent5"/>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4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4d5e2" w:themeFill="accent5" w:themeFillTint="7f"/>
      </w:tcPr>
    </w:tblStylePr>
  </w:style>
  <w:style w:type="table" w:styleId="MediumGrid3Accent6">
    <w:name w:val="Medium Grid 3 Accent 6"/>
    <w:basedOn w:val="NormalTable"/>
    <w:uiPriority w:val="6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f79646" w:themeFill="accent6"/>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f79646" w:themeFill="accent6"/>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f79646" w:themeFill="accent6"/>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fbca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1" w:themeFill="accent6" w:themeFillTint="7f"/>
      </w:tcPr>
    </w:tblStylePr>
  </w:style>
  <w:style w:type="table" w:styleId="DarkList">
    <w:name w:val="Dark List"/>
    <w:basedOn w:val="NormalTable"/>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000000" w:themeFill="tex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000000" w:themeFill="tex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000000" w:themeFill="tex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style>
  <w:style w:type="table" w:styleId="DarkListAccent1">
    <w:name w:val="Dark List Accent 1"/>
    <w:basedOn w:val="NormalTable"/>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43f60" w:themeFill="accen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76091" w:themeFill="accen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76091" w:themeFill="accen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style>
  <w:style w:type="table" w:styleId="DarkListAccent2">
    <w:name w:val="Dark List Accent 2"/>
    <w:basedOn w:val="NormalTable"/>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622422" w:themeFill="accent2"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943634" w:themeFill="accent2"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943634" w:themeFill="accent2"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style>
  <w:style w:type="table" w:styleId="DarkListAccent3">
    <w:name w:val="Dark List Accent 3"/>
    <w:basedOn w:val="NormalTable"/>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4e6127" w:themeFill="accent3"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75923c" w:themeFill="accent3"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75923c" w:themeFill="accent3"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style>
  <w:style w:type="table" w:styleId="DarkListAccent4">
    <w:name w:val="Dark List Accent 4"/>
    <w:basedOn w:val="NormalTable"/>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3f3151" w:themeFill="accent4"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60497b" w:themeFill="accent4"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60497b" w:themeFill="accent4"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style>
  <w:style w:type="table" w:styleId="DarkListAccent5">
    <w:name w:val="Dark List Accent 5"/>
    <w:basedOn w:val="NormalTable"/>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05766" w:themeFill="accent5"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18399" w:themeFill="accent5"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18399" w:themeFill="accent5"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style>
  <w:style w:type="table" w:styleId="DarkListAccent6">
    <w:name w:val="Dark List Accent 6"/>
    <w:basedOn w:val="NormalTable"/>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964706" w:themeFill="accent6"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e26c0a" w:themeFill="accent6"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e26c0a" w:themeFill="accent6"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style>
  <w:style w:type="table" w:styleId="ColorfulShading">
    <w:name w:val="Colorful Shading"/>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sz="4" w:space="0"/>
          <w:left w:val="nil" w:sz="4" w:space="0"/>
          <w:bottom w:val="nil" w:sz="4" w:space="0"/>
          <w:right w:val="nil" w:sz="4" w:space="0"/>
          <w:insideH w:val="single" w:color="000000" w:themeColor="text1" w:themeShade="99" w:sz="4" w:space="0"/>
          <w:insideV w:val="nil" w:sz="4" w:space="0"/>
        </w:tcBorders>
        <w:shd w:val="clear" w:color="auto" w:fill="000000" w:themeFill="tex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ef3f8" w:themeFill="accen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d74" w:themeFill="accent1" w:themeFillShade="99"/>
      </w:tcPr>
    </w:tblStylePr>
    <w:tblStylePr w:type="firstCol">
      <w:rPr>
        <w:color w:val="ffffff" w:themeColor="background1"/>
      </w:rPr>
      <w:tblPr/>
      <w:tcPr>
        <w:tcBorders>
          <w:top w:val="nil" w:sz="4" w:space="0"/>
          <w:left w:val="nil" w:sz="4" w:space="0"/>
          <w:bottom w:val="nil" w:sz="4" w:space="0"/>
          <w:right w:val="nil" w:sz="4" w:space="0"/>
          <w:insideH w:val="single" w:color="2c4d74" w:themeColor="accent1" w:themeShade="99" w:sz="4" w:space="0"/>
          <w:insideV w:val="nil" w:sz="4" w:space="0"/>
        </w:tcBorders>
        <w:shd w:val="clear" w:color="auto" w:fill="2c4d74" w:themeFill="accen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c4d74" w:themeFill="accent1" w:themeFillShade="99"/>
      </w:tcPr>
    </w:tblStylePr>
    <w:tblStylePr w:type="band1Vert">
      <w:tblPr/>
      <w:tcPr>
        <w:shd w:val="clear" w:color="auto" w:fill="b8cce4" w:themeFill="accent1" w:themeFillTint="66"/>
      </w:tcPr>
    </w:tblStylePr>
    <w:tblStylePr w:type="band1Horz">
      <w:tblPr/>
      <w:tcPr>
        <w:shd w:val="clear" w:color="auto" w:fill="a6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NormalTable"/>
    <w:uiPriority w:val="71"/>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9eded" w:themeFill="accent2"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62c2a" w:themeFill="accent2" w:themeFillShade="99"/>
      </w:tcPr>
    </w:tblStylePr>
    <w:tblStylePr w:type="firstCol">
      <w:rPr>
        <w:color w:val="ffffff" w:themeColor="background1"/>
      </w:rPr>
      <w:tblPr/>
      <w:tcPr>
        <w:tcBorders>
          <w:top w:val="nil" w:sz="4" w:space="0"/>
          <w:left w:val="nil" w:sz="4" w:space="0"/>
          <w:bottom w:val="nil" w:sz="4" w:space="0"/>
          <w:right w:val="nil" w:sz="4" w:space="0"/>
          <w:insideH w:val="single" w:color="762c2a" w:themeColor="accent2" w:themeShade="99" w:sz="4" w:space="0"/>
          <w:insideV w:val="nil" w:sz="4" w:space="0"/>
        </w:tcBorders>
        <w:shd w:val="clear" w:color="auto" w:fill="762c2a" w:themeFill="accent2"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762c2a" w:themeFill="accent2" w:themeFillShade="99"/>
      </w:tcPr>
    </w:tblStylePr>
    <w:tblStylePr w:type="band1Vert">
      <w:tblPr/>
      <w:tcPr>
        <w:shd w:val="clear" w:color="auto" w:fill="e5b8b7" w:themeFill="accent2" w:themeFillTint="66"/>
      </w:tcPr>
    </w:tblStylePr>
    <w:tblStylePr w:type="band1Horz">
      <w:tblPr/>
      <w:tcPr>
        <w:shd w:val="clear" w:color="auto" w:fill="dfa6a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NormalTable"/>
    <w:uiPriority w:val="71"/>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d7430" w:themeFill="accent3" w:themeFillShade="99"/>
      </w:tcPr>
    </w:tblStylePr>
    <w:tblStylePr w:type="firstCol">
      <w:rPr>
        <w:color w:val="ffffff" w:themeColor="background1"/>
      </w:rPr>
      <w:tblPr/>
      <w:tcPr>
        <w:tcBorders>
          <w:top w:val="nil" w:sz="4" w:space="0"/>
          <w:left w:val="nil" w:sz="4" w:space="0"/>
          <w:bottom w:val="nil" w:sz="4" w:space="0"/>
          <w:right w:val="nil" w:sz="4" w:space="0"/>
          <w:insideH w:val="single" w:color="5d7430" w:themeColor="accent3" w:themeShade="99" w:sz="4" w:space="0"/>
          <w:insideV w:val="nil" w:sz="4" w:space="0"/>
        </w:tcBorders>
        <w:shd w:val="clear" w:color="auto" w:fill="5d7430" w:themeFill="accent3"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5d7430" w:themeFill="accent3" w:themeFillShade="99"/>
      </w:tcPr>
    </w:tblStylePr>
    <w:tblStylePr w:type="band1Vert">
      <w:tblPr/>
      <w:tcPr>
        <w:shd w:val="clear" w:color="auto" w:fill="d7e4bc" w:themeFill="accent3" w:themeFillTint="66"/>
      </w:tcPr>
    </w:tblStylePr>
    <w:tblStylePr w:type="band1Horz">
      <w:tblPr/>
      <w:tcPr>
        <w:shd w:val="clear" w:color="auto" w:fill="ccddab" w:themeFill="accent3" w:themeFillTint="7f"/>
      </w:tcPr>
    </w:tblStylePr>
  </w:style>
  <w:style w:type="table" w:styleId="ColorfulShadingAccent4">
    <w:name w:val="Colorful Shading Accent 4"/>
    <w:basedOn w:val="NormalTable"/>
    <w:uiPriority w:val="71"/>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sz="4" w:space="0"/>
          <w:left w:val="nil" w:sz="4" w:space="0"/>
          <w:bottom w:val="nil" w:sz="4" w:space="0"/>
          <w:right w:val="nil" w:sz="4" w:space="0"/>
          <w:insideH w:val="single" w:color="4c3a62" w:themeColor="accent4" w:themeShade="99" w:sz="4" w:space="0"/>
          <w:insideV w:val="nil" w:sz="4" w:space="0"/>
        </w:tcBorders>
        <w:shd w:val="clear" w:color="auto" w:fill="4c3a62" w:themeFill="accent4"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4c3a62" w:themeFill="accent4" w:themeFillShade="99"/>
      </w:tcPr>
    </w:tblStylePr>
    <w:tblStylePr w:type="band1Vert">
      <w:tblPr/>
      <w:tcPr>
        <w:shd w:val="clear" w:color="auto" w:fill="ccc0da" w:themeFill="accent4" w:themeFillTint="66"/>
      </w:tcPr>
    </w:tblStylePr>
    <w:tblStylePr w:type="band1Horz">
      <w:tblPr/>
      <w:tcPr>
        <w:shd w:val="clear" w:color="auto" w:fill="bfb1d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NormalTable"/>
    <w:uiPriority w:val="71"/>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97b" w:themeFill="accent5" w:themeFillShade="99"/>
      </w:tcPr>
    </w:tblStylePr>
    <w:tblStylePr w:type="firstCol">
      <w:rPr>
        <w:color w:val="ffffff" w:themeColor="background1"/>
      </w:rPr>
      <w:tblPr/>
      <w:tcPr>
        <w:tcBorders>
          <w:top w:val="nil" w:sz="4" w:space="0"/>
          <w:left w:val="nil" w:sz="4" w:space="0"/>
          <w:bottom w:val="nil" w:sz="4" w:space="0"/>
          <w:right w:val="nil" w:sz="4" w:space="0"/>
          <w:insideH w:val="single" w:color="27697b" w:themeColor="accent5" w:themeShade="99" w:sz="4" w:space="0"/>
          <w:insideV w:val="nil" w:sz="4" w:space="0"/>
        </w:tcBorders>
        <w:shd w:val="clear" w:color="auto" w:fill="27697b" w:themeFill="accent5"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7697b" w:themeFill="accent5" w:themeFillShade="99"/>
      </w:tcPr>
    </w:tblStylePr>
    <w:tblStylePr w:type="band1Vert">
      <w:tblPr/>
      <w:tcPr>
        <w:shd w:val="clear" w:color="auto" w:fill="b6dde8" w:themeFill="accent5" w:themeFillTint="66"/>
      </w:tcPr>
    </w:tblStylePr>
    <w:tblStylePr w:type="band1Horz">
      <w:tblPr/>
      <w:tcPr>
        <w:shd w:val="clear" w:color="auto" w:fill="a4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NormalTable"/>
    <w:uiPriority w:val="71"/>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5608" w:themeFill="accent6" w:themeFillShade="99"/>
      </w:tcPr>
    </w:tblStylePr>
    <w:tblStylePr w:type="firstCol">
      <w:rPr>
        <w:color w:val="ffffff" w:themeColor="background1"/>
      </w:rPr>
      <w:tblPr/>
      <w:tcPr>
        <w:tcBorders>
          <w:top w:val="nil" w:sz="4" w:space="0"/>
          <w:left w:val="nil" w:sz="4" w:space="0"/>
          <w:bottom w:val="nil" w:sz="4" w:space="0"/>
          <w:right w:val="nil" w:sz="4" w:space="0"/>
          <w:insideH w:val="single" w:color="b45608" w:themeColor="accent6" w:themeShade="99" w:sz="4" w:space="0"/>
          <w:insideV w:val="nil" w:sz="4" w:space="0"/>
        </w:tcBorders>
        <w:shd w:val="clear" w:color="auto" w:fill="b45608" w:themeFill="accent6"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b45608" w:themeFill="accent6" w:themeFillShade="99"/>
      </w:tcPr>
    </w:tblStylePr>
    <w:tblStylePr w:type="band1Vert">
      <w:tblPr/>
      <w:tcPr>
        <w:shd w:val="clear" w:color="auto" w:fill="fcd5b4" w:themeFill="accent6" w:themeFillTint="66"/>
      </w:tcPr>
    </w:tblStylePr>
    <w:tblStylePr w:type="band1Horz">
      <w:tblPr/>
      <w:tcPr>
        <w:shd w:val="clear" w:color="auto" w:fill="fbcaa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NormalTable"/>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
    <w:uiPriority w:val="72"/>
    <w:pPr>
      <w:spacing w:after="0" w:line="240" w:lineRule="auto"/>
    </w:pPr>
    <w:rPr>
      <w:color w:val="000000" w:themeColor="text1"/>
    </w:rPr>
    <w:tblPr>
      <w:tblStyleRowBandSize w:val="1"/>
      <w:tblStyleColBandSize w:val="1"/>
    </w:tblPr>
    <w:tcPr>
      <w:shd w:val="clear" w:color="auto" w:fill="eef3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3e0ef"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
    <w:uiPriority w:val="72"/>
    <w:pPr>
      <w:spacing w:after="0" w:line="240" w:lineRule="auto"/>
    </w:pPr>
    <w:rPr>
      <w:color w:val="000000" w:themeColor="text1"/>
    </w:rPr>
    <w:tblPr>
      <w:tblStyleRowBandSize w:val="1"/>
      <w:tblStyleColBandSize w:val="1"/>
    </w:tblPr>
    <w:tcPr>
      <w:shd w:val="clear" w:color="auto" w:fill="f9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fd4d3"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NormalTable"/>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6eed6"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
    <w:uiPriority w:val="72"/>
    <w:pPr>
      <w:spacing w:after="0" w:line="240" w:lineRule="auto"/>
    </w:pPr>
    <w:rPr>
      <w:color w:val="000000" w:themeColor="text1"/>
    </w:rPr>
    <w:tblPr>
      <w:tblStyleRowBandSize w:val="1"/>
      <w:tblStyleColBandSize w:val="1"/>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d9c40" w:themeFill="accent3" w:themeFillShade="cc"/>
      </w:tcPr>
    </w:tblStylePr>
    <w:tblStylePr w:type="lastRow">
      <w:rPr>
        <w:b/>
        <w:bCs/>
        <w:color w:val="7d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basedOn w:val="NormalTable"/>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1eaf1" w:themeFill="accent5" w:themeFillTint="3f"/>
      </w:tcPr>
    </w:tblStylePr>
    <w:tblStylePr w:type="band1Horz">
      <w:tblPr/>
      <w:tcPr>
        <w:shd w:val="clear" w:color="auto" w:fill="dbeef3" w:themeFill="accent5" w:themeFillTint="33"/>
      </w:tcPr>
    </w:tblStylePr>
  </w:style>
  <w:style w:type="table" w:styleId="ColorfulListAccent6">
    <w:name w:val="Colorful List Accent 6"/>
    <w:basedOn w:val="NormalTable"/>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ca4" w:themeFill="accent5" w:themeFillShade="cc"/>
      </w:tcPr>
    </w:tblStylePr>
    <w:tblStylePr w:type="lastRow">
      <w:rPr>
        <w:b/>
        <w:bCs/>
        <w:color w:val="348ca4"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76091" w:themeFill="accent1" w:themeFillShade="bf"/>
      </w:tcPr>
    </w:tblStylePr>
    <w:tblStylePr w:type="lastCol">
      <w:rPr>
        <w:color w:val="ffffff" w:themeColor="background1"/>
      </w:rPr>
      <w:tblPr/>
      <w:tcPr>
        <w:shd w:val="clear" w:color="auto" w:fill="376091" w:themeFill="accent1" w:themeFillShade="bf"/>
      </w:tc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ColorfulGridAccent2">
    <w:name w:val="Colorful Grid Accent 2"/>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a"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ColorfulGridAccent3">
    <w:name w:val="Colorful Grid Accent 3"/>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7e4bc" w:themeFill="accent3" w:themeFillTint="66"/>
      </w:tcPr>
    </w:tblStylePr>
    <w:tblStylePr w:type="lastRow">
      <w:rPr>
        <w:b/>
        <w:bCs/>
        <w:color w:val="000000" w:themeColor="text1"/>
      </w:rPr>
      <w:tblPr/>
      <w:tcPr>
        <w:shd w:val="clear" w:color="auto" w:fill="d7e4bc" w:themeFill="accent3" w:themeFillTint="66"/>
      </w:tcPr>
    </w:tblStylePr>
    <w:tblStylePr w:type="firstCol">
      <w:rPr>
        <w:color w:val="ffffff" w:themeColor="background1"/>
      </w:rPr>
      <w:tblPr/>
      <w:tcPr>
        <w:shd w:val="clear" w:color="auto" w:fill="75923c" w:themeFill="accent3" w:themeFillShade="bf"/>
      </w:tcPr>
    </w:tblStylePr>
    <w:tblStylePr w:type="lastCol">
      <w:rPr>
        <w:color w:val="ffffff" w:themeColor="background1"/>
      </w:rPr>
      <w:tblPr/>
      <w:tcPr>
        <w:shd w:val="clear" w:color="auto" w:fill="75923c" w:themeFill="accent3" w:themeFillShade="bf"/>
      </w:tc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ColorfulGridAccent4">
    <w:name w:val="Colorful Grid Accent 4"/>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e0ec" w:themeFill="accent4" w:themeFillTint="33"/>
    </w:tcPr>
    <w:tblStylePr w:type="firstRow">
      <w:rPr>
        <w:b/>
        <w:bCs/>
      </w:rPr>
      <w:tblPr/>
      <w:tcPr>
        <w:shd w:val="clear" w:color="auto" w:fill="ccc0da" w:themeFill="accent4" w:themeFillTint="66"/>
      </w:tcPr>
    </w:tblStylePr>
    <w:tblStylePr w:type="lastRow">
      <w:rPr>
        <w:b/>
        <w:bCs/>
        <w:color w:val="000000" w:themeColor="text1"/>
      </w:rPr>
      <w:tblPr/>
      <w:tcPr>
        <w:shd w:val="clear" w:color="auto" w:fill="ccc0da" w:themeFill="accent4" w:themeFillTint="66"/>
      </w:tcPr>
    </w:tblStylePr>
    <w:tblStylePr w:type="firstCol">
      <w:rPr>
        <w:color w:val="ffffff" w:themeColor="background1"/>
      </w:rPr>
      <w:tblPr/>
      <w:tcPr>
        <w:shd w:val="clear" w:color="auto" w:fill="60497b" w:themeFill="accent4" w:themeFillShade="bf"/>
      </w:tcPr>
    </w:tblStylePr>
    <w:tblStylePr w:type="lastCol">
      <w:rPr>
        <w:color w:val="ffffff" w:themeColor="background1"/>
      </w:rPr>
      <w:tblPr/>
      <w:tcPr>
        <w:shd w:val="clear" w:color="auto" w:fill="60497b" w:themeFill="accent4" w:themeFillShade="bf"/>
      </w:tc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ColorfulGridAccent5">
    <w:name w:val="Colorful Grid Accent 5"/>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399" w:themeFill="accent5" w:themeFillShade="bf"/>
      </w:tcPr>
    </w:tblStylePr>
    <w:tblStylePr w:type="lastCol">
      <w:rPr>
        <w:color w:val="ffffff" w:themeColor="background1"/>
      </w:rPr>
      <w:tblPr/>
      <w:tcPr>
        <w:shd w:val="clear" w:color="auto" w:fill="318399" w:themeFill="accent5" w:themeFillShade="bf"/>
      </w:tc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ColorfulGridAccent6">
    <w:name w:val="Colorful Grid Accent 6"/>
    <w:basedOn w:val="NormalTable"/>
    <w:uiPriority w:val="73"/>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cd5b4" w:themeFill="accent6" w:themeFillTint="66"/>
      </w:tcPr>
    </w:tblStylePr>
    <w:tblStylePr w:type="lastRow">
      <w:rPr>
        <w:b/>
        <w:bCs/>
        <w:color w:val="000000" w:themeColor="text1"/>
      </w:rPr>
      <w:tblPr/>
      <w:tcPr>
        <w:shd w:val="clear" w:color="auto" w:fill="fcd5b4" w:themeFill="accent6" w:themeFillTint="66"/>
      </w:tcPr>
    </w:tblStylePr>
    <w:tblStylePr w:type="firstCol">
      <w:rPr>
        <w:color w:val="ffffff" w:themeColor="background1"/>
      </w:rPr>
      <w:tblPr/>
      <w:tcPr>
        <w:shd w:val="clear" w:color="auto" w:fill="e26c0a" w:themeFill="accent6" w:themeFillShade="bf"/>
      </w:tcPr>
    </w:tblStylePr>
    <w:tblStylePr w:type="lastCol">
      <w:rPr>
        <w:color w:val="ffffff" w:themeColor="background1"/>
      </w:rPr>
      <w:tblPr/>
      <w:tcPr>
        <w:shd w:val="clear" w:color="auto" w:fill="e26c0a" w:themeFill="accent6" w:themeFillShade="bf"/>
      </w:tc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paragraph" w:customStyle="1" w:styleId="ReportTitle">
    <w:name w:val="ReportTitle"/>
    <w:uiPriority w:val="99"/>
    <w:pPr>
      <w:spacing w:after="0" w:line="240" w:lineRule="auto"/>
      <w:jc w:val="center"/>
    </w:pPr>
    <w:rPr>
      <w:rFonts w:ascii="Times New Roman" w:hAnsi="Times New Roman"/>
      <w:b/>
      <w:sz w:val="32"/>
    </w:rPr>
  </w:style>
  <w:style w:type="paragraph" w:customStyle="1" w:styleId="Author">
    <w:name w:val="Author"/>
    <w:uiPriority w:val="99"/>
    <w:pPr>
      <w:spacing w:after="0" w:line="240" w:lineRule="auto"/>
      <w:jc w:val="center"/>
    </w:pPr>
    <w:rPr>
      <w:rFonts w:ascii="Times New Roman" w:hAnsi="Times New Roman"/>
      <w:b/>
      <w:sz w:val="32"/>
    </w:rPr>
  </w:style>
  <w:style w:type="paragraph" w:customStyle="1" w:styleId="Section">
    <w:name w:val="Section"/>
    <w:uiPriority w:val="99"/>
    <w:pPr>
      <w:spacing w:after="0" w:line="240" w:lineRule="auto"/>
    </w:pPr>
    <w:rPr>
      <w:rFonts w:ascii="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DE753-0C92-4D36-A58D-E9FF9C517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2355</Words>
  <Characters>13428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dc:creator>python-docx</dc:creator>
  <cp:lastModifiedBy>Atanas Pavlov Atanasov</cp:lastModifiedBy>
</cp:coreProperties>
</file>