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C41AA" w14:textId="77777777" w:rsidR="00AB5A14" w:rsidRDefault="00000000">
      <w:pPr>
        <w:jc w:val="center"/>
      </w:pPr>
      <w:r>
        <w:rPr>
          <w:b/>
          <w:sz w:val="32"/>
        </w:rPr>
        <w:t>КАЧЕСТВО И ПРОФЕСИОНАЛНА КОМПЕТЕНТНОСТ В ОБРАЗОВАНИЕТО И ГРИЖИТЕ В РАННА ДЕТСКА ВЪЗРАСТ</w:t>
      </w:r>
    </w:p>
    <w:p w14:paraId="26AFEC67" w14:textId="77777777" w:rsidR="00AB5A14" w:rsidRDefault="00AB5A14"/>
    <w:p w14:paraId="460CF67F" w14:textId="77777777" w:rsidR="00AB5A14" w:rsidRDefault="00AB5A14"/>
    <w:p w14:paraId="7A59401F" w14:textId="77777777" w:rsidR="00AB5A14" w:rsidRDefault="00000000">
      <w:pPr>
        <w:jc w:val="center"/>
      </w:pPr>
      <w:r>
        <w:rPr>
          <w:b/>
          <w:sz w:val="32"/>
        </w:rPr>
        <w:t>Борислава Илиева Иванова</w:t>
      </w:r>
    </w:p>
    <w:p w14:paraId="4CFDEB3C" w14:textId="77777777" w:rsidR="00AB5A14" w:rsidRDefault="00AB5A14"/>
    <w:p w14:paraId="44362DF2" w14:textId="77777777" w:rsidR="00AB5A14" w:rsidRDefault="00000000">
      <w:pPr>
        <w:jc w:val="center"/>
      </w:pPr>
      <w:r>
        <w:rPr>
          <w:b/>
          <w:sz w:val="32"/>
        </w:rPr>
        <w:t>QUALITY AND PROFESSIONAL COMPETENCE IN EARLY CHILDHOOD EDUCATION AND CARE</w:t>
      </w:r>
    </w:p>
    <w:p w14:paraId="6D8D6BE3" w14:textId="77777777" w:rsidR="00AB5A14" w:rsidRDefault="00AB5A14"/>
    <w:p w14:paraId="6570CE89" w14:textId="77777777" w:rsidR="00AB5A14" w:rsidRDefault="00000000">
      <w:pPr>
        <w:jc w:val="center"/>
      </w:pPr>
      <w:r>
        <w:rPr>
          <w:b/>
          <w:sz w:val="32"/>
        </w:rPr>
        <w:t>Borislava Ilieva Ivanova</w:t>
      </w:r>
    </w:p>
    <w:p w14:paraId="33B04D57" w14:textId="77777777" w:rsidR="00AB5A14" w:rsidRDefault="00AB5A14"/>
    <w:p w14:paraId="0D93C7D8" w14:textId="77777777" w:rsidR="00AB5A14" w:rsidRDefault="00AB5A14"/>
    <w:p w14:paraId="796656A6" w14:textId="7D9E7C2D" w:rsidR="00AB5A14" w:rsidRPr="00A16C57" w:rsidRDefault="00000000" w:rsidP="00A16C57">
      <w:pPr>
        <w:ind w:firstLine="562"/>
        <w:rPr>
          <w:i/>
          <w:sz w:val="24"/>
          <w:lang w:val="bg-BG"/>
        </w:rPr>
      </w:pPr>
      <w:r w:rsidRPr="00A16C57">
        <w:rPr>
          <w:b/>
          <w:i/>
          <w:sz w:val="24"/>
          <w:lang w:val="bg-BG"/>
        </w:rPr>
        <w:t>Резюме:</w:t>
      </w:r>
      <w:r w:rsidR="006431EF">
        <w:rPr>
          <w:i/>
          <w:sz w:val="24"/>
          <w:lang w:val="bg-BG"/>
        </w:rPr>
        <w:t xml:space="preserve"> </w:t>
      </w:r>
      <w:r w:rsidR="006431EF" w:rsidRPr="006431EF">
        <w:rPr>
          <w:i/>
          <w:iCs/>
          <w:sz w:val="24"/>
          <w:lang w:val="bg-BG"/>
        </w:rPr>
        <w:t>Докладът разглежда качеството и професионалната компетентност на специалистите ангажирани в областта на образованието и грижите в ранна детска възраст като взаимосвързани измерения на системата</w:t>
      </w:r>
      <w:r w:rsidR="00A16C57" w:rsidRPr="006431EF">
        <w:rPr>
          <w:i/>
          <w:sz w:val="24"/>
          <w:lang w:val="bg-BG"/>
        </w:rPr>
        <w:t>.</w:t>
      </w:r>
      <w:r w:rsidR="00A16C57" w:rsidRPr="00A16C57">
        <w:rPr>
          <w:i/>
          <w:sz w:val="24"/>
          <w:lang w:val="bg-BG"/>
        </w:rPr>
        <w:t xml:space="preserve"> Теоретичният и системният анализ разкриват взаимовръзките между структурните, процесните и резултатните аспекти на качеството и условията за професионална реализация на специалистите. Акцентът е поставен върху разбирането, че професионалната компетентност е необходимо, но не и самодостатъчно условие за качествени образова</w:t>
      </w:r>
      <w:r w:rsidR="006431EF">
        <w:rPr>
          <w:i/>
          <w:sz w:val="24"/>
          <w:lang w:val="bg-BG"/>
        </w:rPr>
        <w:t>ние и грижи</w:t>
      </w:r>
      <w:r w:rsidR="00A16C57" w:rsidRPr="00A16C57">
        <w:rPr>
          <w:i/>
          <w:sz w:val="24"/>
          <w:lang w:val="bg-BG"/>
        </w:rPr>
        <w:t>. Постигането на високо качество зависи и от управлението, наличните ресурси, ефективната координация и подкрепата за професионално развитие.</w:t>
      </w:r>
    </w:p>
    <w:p w14:paraId="66170C73" w14:textId="77777777" w:rsidR="00AB5A14" w:rsidRPr="00A16C57" w:rsidRDefault="00000000" w:rsidP="000962AE">
      <w:pPr>
        <w:ind w:firstLine="562"/>
        <w:rPr>
          <w:lang w:val="bg-BG"/>
        </w:rPr>
      </w:pPr>
      <w:r w:rsidRPr="00A16C57">
        <w:rPr>
          <w:b/>
          <w:i/>
          <w:sz w:val="24"/>
          <w:lang w:val="bg-BG"/>
        </w:rPr>
        <w:t>Ключови думи:</w:t>
      </w:r>
      <w:r w:rsidRPr="00A16C57">
        <w:rPr>
          <w:i/>
          <w:sz w:val="24"/>
          <w:lang w:val="bg-BG"/>
        </w:rPr>
        <w:t xml:space="preserve"> ОГРДВ; качество; професионална компетентност; педагогическа среда; системно управление</w:t>
      </w:r>
    </w:p>
    <w:p w14:paraId="1D457238" w14:textId="77777777" w:rsidR="00AB5A14" w:rsidRDefault="00AB5A14" w:rsidP="000962AE">
      <w:pPr>
        <w:ind w:firstLine="562"/>
      </w:pPr>
    </w:p>
    <w:p w14:paraId="0C3B8B0A" w14:textId="445DC3B5" w:rsidR="00AB5A14" w:rsidRPr="0008458C" w:rsidRDefault="00000000" w:rsidP="0008458C">
      <w:pPr>
        <w:ind w:firstLine="562"/>
        <w:rPr>
          <w:b/>
          <w:i/>
          <w:sz w:val="24"/>
          <w:lang w:val="bg-BG"/>
        </w:rPr>
      </w:pPr>
      <w:r w:rsidRPr="00A16C57">
        <w:rPr>
          <w:b/>
          <w:i/>
          <w:sz w:val="24"/>
        </w:rPr>
        <w:t>Abstract:</w:t>
      </w:r>
      <w:r w:rsidR="0008458C" w:rsidRPr="0008458C">
        <w:rPr>
          <w:rFonts w:ascii="Segoe UI" w:hAnsi="Segoe UI" w:cs="Segoe UI"/>
          <w:sz w:val="21"/>
          <w:szCs w:val="21"/>
        </w:rPr>
        <w:t xml:space="preserve"> </w:t>
      </w:r>
      <w:r w:rsidR="0008458C" w:rsidRPr="0008458C">
        <w:rPr>
          <w:bCs/>
          <w:i/>
          <w:sz w:val="24"/>
        </w:rPr>
        <w:t>The report examines quality and the professional competence of specialists engaged in early childhood education and care as interconnected dimensions of the system. The theoretical and systemic analysis reveals the relationships between the structural, process, and outcome-related aspects of quality and the conditions for the professionals’ career development and practice. The emphasis is placed on the understanding that professional competence is a necessary, but not sufficient, condition for the provision of high-quality education and care. The achievement of high quality also depends on governance, the availability of resources, effective coordination, and support for continuous professional development.</w:t>
      </w:r>
    </w:p>
    <w:p w14:paraId="6351B70D" w14:textId="77777777" w:rsidR="00AB5A14" w:rsidRDefault="00000000" w:rsidP="000962AE">
      <w:pPr>
        <w:ind w:firstLine="562"/>
      </w:pPr>
      <w:r w:rsidRPr="0008458C">
        <w:rPr>
          <w:b/>
          <w:i/>
          <w:sz w:val="24"/>
        </w:rPr>
        <w:t>Keywords:</w:t>
      </w:r>
      <w:r>
        <w:rPr>
          <w:i/>
          <w:sz w:val="24"/>
        </w:rPr>
        <w:t xml:space="preserve"> early childhood education and care; quality; professional competence; pedagogical environment; governance</w:t>
      </w:r>
    </w:p>
    <w:p w14:paraId="7E835DA3" w14:textId="77777777" w:rsidR="00AB5A14" w:rsidRPr="007343C5" w:rsidRDefault="00AB5A14" w:rsidP="007343C5">
      <w:pPr>
        <w:rPr>
          <w:lang w:val="bg-BG"/>
        </w:rPr>
      </w:pPr>
    </w:p>
    <w:p w14:paraId="10AC4388" w14:textId="77777777" w:rsidR="00AB5A14" w:rsidRPr="007343C5" w:rsidRDefault="000962AE" w:rsidP="000962AE">
      <w:pPr>
        <w:spacing w:before="160" w:after="80"/>
        <w:ind w:firstLine="562"/>
        <w:jc w:val="left"/>
        <w:rPr>
          <w:lang w:val="bg-BG"/>
        </w:rPr>
      </w:pPr>
      <w:r w:rsidRPr="007343C5">
        <w:rPr>
          <w:b/>
          <w:lang w:val="bg-BG"/>
        </w:rPr>
        <w:t>Въведение</w:t>
      </w:r>
    </w:p>
    <w:p w14:paraId="0FF5D02C" w14:textId="1BEA1FCB" w:rsidR="0008458C" w:rsidRPr="007343C5" w:rsidRDefault="0008458C" w:rsidP="0008458C">
      <w:pPr>
        <w:ind w:firstLine="562"/>
        <w:rPr>
          <w:lang w:val="bg-BG"/>
        </w:rPr>
      </w:pPr>
      <w:r w:rsidRPr="007343C5">
        <w:rPr>
          <w:lang w:val="bg-BG"/>
        </w:rPr>
        <w:t>Образованието и грижите в ранна детска възраст (ОГРДВ) представляват комплексна среда, в която здравето, сигурността, грижата, ученето, социализацията и цялостното развитие на детето се реализират чрез ежеднев</w:t>
      </w:r>
      <w:r w:rsidRPr="007343C5">
        <w:rPr>
          <w:lang w:val="bg-BG"/>
        </w:rPr>
        <w:t>ното взаимодействие</w:t>
      </w:r>
      <w:r w:rsidRPr="007343C5">
        <w:rPr>
          <w:lang w:val="bg-BG"/>
        </w:rPr>
        <w:t xml:space="preserve"> </w:t>
      </w:r>
      <w:r w:rsidR="00874136" w:rsidRPr="007343C5">
        <w:rPr>
          <w:lang w:val="bg-BG"/>
        </w:rPr>
        <w:t xml:space="preserve">на специалистите </w:t>
      </w:r>
      <w:r w:rsidRPr="007343C5">
        <w:rPr>
          <w:lang w:val="bg-BG"/>
        </w:rPr>
        <w:t>с</w:t>
      </w:r>
      <w:r w:rsidRPr="007343C5">
        <w:rPr>
          <w:lang w:val="bg-BG"/>
        </w:rPr>
        <w:t xml:space="preserve"> децата. Сложният характер на тези процеси определя качеството на ОГРДВ като многоизмерна характеристика, която надхвърля съответствието на отделната институция с нормативните изисквания. То следва да се разглежда като резултат от съчетаното влияние на политиките, институционалната среда, професионалните </w:t>
      </w:r>
      <w:r w:rsidR="00874136" w:rsidRPr="007343C5">
        <w:rPr>
          <w:lang w:val="bg-BG"/>
        </w:rPr>
        <w:t>компетентности</w:t>
      </w:r>
      <w:r w:rsidRPr="007343C5">
        <w:rPr>
          <w:lang w:val="bg-BG"/>
        </w:rPr>
        <w:t xml:space="preserve"> и </w:t>
      </w:r>
      <w:r w:rsidRPr="007343C5">
        <w:rPr>
          <w:lang w:val="bg-BG"/>
        </w:rPr>
        <w:lastRenderedPageBreak/>
        <w:t>обществените отношения, които създават условия за развитие, участие и благополучие на всяко дете. В този смисъл качеството представлява системен феномен, чието разбиране изисква анализ на равнище политики и управление, институционална организация и педагогическа практика.</w:t>
      </w:r>
    </w:p>
    <w:p w14:paraId="07D3A7D5" w14:textId="7E5A24BF" w:rsidR="00874136" w:rsidRPr="007343C5" w:rsidRDefault="00874136" w:rsidP="000962AE">
      <w:pPr>
        <w:ind w:firstLine="562"/>
        <w:rPr>
          <w:lang w:val="bg-BG"/>
        </w:rPr>
      </w:pPr>
      <w:r w:rsidRPr="007343C5">
        <w:rPr>
          <w:lang w:val="bg-BG"/>
        </w:rPr>
        <w:t>Актуалността на проблема се определя и от факта, че потребностите на детето надхвърлят административните граници между отделните сектори. В българския контекст тази специфичност е ясно изразена чрез институционалната разграниченост между детските ясли и предучилищното образование. Докато Наредба № 26 от 18.11.2008 г. дефинира детската ясла като структура за отглеждане на деца от тримесечна до тригодишна възраст чрез здравна грижа, възпитание и обучение [8], Законът за предучилищното и училищното образование и Наредба № 5 от 03.06.2016 г. поставят предучилищното образование в рамката на ученето чрез игра и цялостното развитие [9; 10]. По този начин, макар и нормативно разделени, двата сектора разкриват значителни зони на функционално припокриване.</w:t>
      </w:r>
    </w:p>
    <w:p w14:paraId="2FF68AF5" w14:textId="4A53583F" w:rsidR="00AB5A14" w:rsidRPr="007343C5" w:rsidRDefault="00000000" w:rsidP="000962AE">
      <w:pPr>
        <w:ind w:firstLine="562"/>
        <w:rPr>
          <w:lang w:val="bg-BG"/>
        </w:rPr>
      </w:pPr>
      <w:r w:rsidRPr="007343C5">
        <w:rPr>
          <w:lang w:val="bg-BG"/>
        </w:rPr>
        <w:t xml:space="preserve">В тази </w:t>
      </w:r>
      <w:r w:rsidR="00874136" w:rsidRPr="007343C5">
        <w:rPr>
          <w:lang w:val="bg-BG"/>
        </w:rPr>
        <w:t>връзка</w:t>
      </w:r>
      <w:r w:rsidRPr="007343C5">
        <w:rPr>
          <w:lang w:val="bg-BG"/>
        </w:rPr>
        <w:t xml:space="preserve"> професионалната компетентност на специалистите не може да бъде разглеждана отделно от условията, в които тя се реализира. Дори висока степен на подготовка не гарантира сама по себе си качествено взаимодействие с децата, ако липсват устойчив екип, време за професионална рефлексия, адекватни ресурси, подкрепящо управление и работещи механизми за обратна връзка. Обратната зависимост също е валидна: добре организираната среда създава възможности, но не може да замести професионалната прецен</w:t>
      </w:r>
      <w:r w:rsidR="00874136" w:rsidRPr="007343C5">
        <w:rPr>
          <w:lang w:val="bg-BG"/>
        </w:rPr>
        <w:t>ка</w:t>
      </w:r>
      <w:r w:rsidRPr="007343C5">
        <w:rPr>
          <w:lang w:val="bg-BG"/>
        </w:rPr>
        <w:t>, педагогическите умения и способността на специалиста да отговаря на индивидуалните потребности на детето.</w:t>
      </w:r>
    </w:p>
    <w:p w14:paraId="203DA309" w14:textId="0616E736" w:rsidR="00AB5A14" w:rsidRPr="007343C5" w:rsidRDefault="008A25B3" w:rsidP="000962AE">
      <w:pPr>
        <w:ind w:firstLine="562"/>
        <w:rPr>
          <w:lang w:val="bg-BG"/>
        </w:rPr>
      </w:pPr>
      <w:r w:rsidRPr="007343C5">
        <w:rPr>
          <w:lang w:val="bg-BG"/>
        </w:rPr>
        <w:t>Настоящото проучване поставя акцент върху взаимовръзката между качеството на ОГРДВ и професионалната компетентност на педагогическите специалисти, формулирайки ключовите системни, организационни и педагогически предпоставки за постигане на устойчивост, качество и справедливост в ранното детско развитие.</w:t>
      </w:r>
      <w:r w:rsidRPr="007343C5">
        <w:rPr>
          <w:lang w:val="bg-BG"/>
        </w:rPr>
        <w:t xml:space="preserve"> </w:t>
      </w:r>
      <w:r w:rsidR="00000000" w:rsidRPr="007343C5">
        <w:rPr>
          <w:lang w:val="bg-BG"/>
        </w:rPr>
        <w:t>За постигането на тази цел са поставени следни</w:t>
      </w:r>
      <w:r w:rsidRPr="007343C5">
        <w:rPr>
          <w:lang w:val="bg-BG"/>
        </w:rPr>
        <w:t>те</w:t>
      </w:r>
      <w:r w:rsidR="00000000" w:rsidRPr="007343C5">
        <w:rPr>
          <w:lang w:val="bg-BG"/>
        </w:rPr>
        <w:t xml:space="preserve"> задачи: да се изяснят основните измерения на качеството; да се анализира професионалната компетентност като условие за качествена практика; да се разкрие ролята на системните и управленските условия</w:t>
      </w:r>
      <w:r w:rsidRPr="007343C5">
        <w:rPr>
          <w:lang w:val="bg-BG"/>
        </w:rPr>
        <w:t xml:space="preserve"> </w:t>
      </w:r>
      <w:r w:rsidR="00000000" w:rsidRPr="007343C5">
        <w:rPr>
          <w:lang w:val="bg-BG"/>
        </w:rPr>
        <w:t xml:space="preserve">и да се формулират обобщени изводи за развитието на професионалния капацитет и качеството. Използван е теоретичен и системен анализ на научната литература и на концептуалните постановки, с опора върху сравнителни и нормативни </w:t>
      </w:r>
      <w:r w:rsidRPr="007343C5">
        <w:rPr>
          <w:lang w:val="bg-BG"/>
        </w:rPr>
        <w:t>документи и материали в контекста на разглежданата проблематика</w:t>
      </w:r>
      <w:r w:rsidR="00000000" w:rsidRPr="007343C5">
        <w:rPr>
          <w:lang w:val="bg-BG"/>
        </w:rPr>
        <w:t>.</w:t>
      </w:r>
    </w:p>
    <w:p w14:paraId="77A4556D" w14:textId="458DF991" w:rsidR="00AB5A14" w:rsidRPr="007343C5" w:rsidRDefault="00000000" w:rsidP="000962AE">
      <w:pPr>
        <w:ind w:firstLine="562"/>
        <w:rPr>
          <w:b/>
          <w:bCs/>
          <w:lang w:val="bg-BG"/>
        </w:rPr>
      </w:pPr>
      <w:r w:rsidRPr="007343C5">
        <w:rPr>
          <w:b/>
          <w:bCs/>
          <w:lang w:val="bg-BG"/>
        </w:rPr>
        <w:t xml:space="preserve">1. </w:t>
      </w:r>
      <w:r w:rsidR="000962AE" w:rsidRPr="007343C5">
        <w:rPr>
          <w:b/>
          <w:bCs/>
          <w:lang w:val="bg-BG"/>
        </w:rPr>
        <w:t>Качество</w:t>
      </w:r>
      <w:r w:rsidR="008A25B3" w:rsidRPr="007343C5">
        <w:rPr>
          <w:b/>
          <w:bCs/>
          <w:lang w:val="bg-BG"/>
        </w:rPr>
        <w:t xml:space="preserve"> </w:t>
      </w:r>
      <w:r w:rsidR="000962AE" w:rsidRPr="007343C5">
        <w:rPr>
          <w:b/>
          <w:bCs/>
          <w:lang w:val="bg-BG"/>
        </w:rPr>
        <w:t>в ОГРДВ: от структурни условия към реална педагогическа практика</w:t>
      </w:r>
    </w:p>
    <w:p w14:paraId="766E2989" w14:textId="087E8D5A" w:rsidR="00AB5A14" w:rsidRPr="007343C5" w:rsidRDefault="00000000" w:rsidP="000962AE">
      <w:pPr>
        <w:ind w:firstLine="562"/>
        <w:rPr>
          <w:lang w:val="bg-BG"/>
        </w:rPr>
      </w:pPr>
      <w:r w:rsidRPr="007343C5">
        <w:rPr>
          <w:lang w:val="bg-BG"/>
        </w:rPr>
        <w:t xml:space="preserve">Качеството в ОГРДВ не притежава </w:t>
      </w:r>
      <w:proofErr w:type="spellStart"/>
      <w:r w:rsidRPr="007343C5">
        <w:rPr>
          <w:lang w:val="bg-BG"/>
        </w:rPr>
        <w:t>едноизмерно</w:t>
      </w:r>
      <w:proofErr w:type="spellEnd"/>
      <w:r w:rsidRPr="007343C5">
        <w:rPr>
          <w:lang w:val="bg-BG"/>
        </w:rPr>
        <w:t xml:space="preserve"> съдържание. В сравнителната литература, се откроява разграничението между структурно, процесно и резултатно качество. Структурното качество обхваща регулаторно </w:t>
      </w:r>
      <w:proofErr w:type="spellStart"/>
      <w:r w:rsidRPr="007343C5">
        <w:rPr>
          <w:lang w:val="bg-BG"/>
        </w:rPr>
        <w:t>определими</w:t>
      </w:r>
      <w:proofErr w:type="spellEnd"/>
      <w:r w:rsidRPr="007343C5">
        <w:rPr>
          <w:lang w:val="bg-BG"/>
        </w:rPr>
        <w:t xml:space="preserve"> условия – съотношение между персонал и деца, размер на групите, квалификация на </w:t>
      </w:r>
      <w:r w:rsidR="008B1E98" w:rsidRPr="007343C5">
        <w:rPr>
          <w:lang w:val="bg-BG"/>
        </w:rPr>
        <w:t>специалистите</w:t>
      </w:r>
      <w:r w:rsidRPr="007343C5">
        <w:rPr>
          <w:lang w:val="bg-BG"/>
        </w:rPr>
        <w:t xml:space="preserve">, материална среда и организационни изисквания. Процесното качество се отнася до </w:t>
      </w:r>
      <w:r w:rsidRPr="007343C5">
        <w:rPr>
          <w:lang w:val="bg-BG"/>
        </w:rPr>
        <w:lastRenderedPageBreak/>
        <w:t>действителното протичане на педагогическото взаимодействие – отзивчивостта</w:t>
      </w:r>
      <w:r w:rsidR="008B1E98" w:rsidRPr="007343C5">
        <w:rPr>
          <w:lang w:val="bg-BG"/>
        </w:rPr>
        <w:t xml:space="preserve"> и компетентността</w:t>
      </w:r>
      <w:r w:rsidRPr="007343C5">
        <w:rPr>
          <w:lang w:val="bg-BG"/>
        </w:rPr>
        <w:t xml:space="preserve"> на възрастния, подкрепата на езиковото и когнитивното развитие, организацията на средата, отношенията и възможностите за участие на детето. Резултатното качество се свързва с ефектите върху развитието и благополучието, като училищна готовност и социално-емоционални резултати [1].</w:t>
      </w:r>
    </w:p>
    <w:p w14:paraId="7B3C5F2F" w14:textId="216E001B" w:rsidR="00AB5A14" w:rsidRPr="007343C5" w:rsidRDefault="00000000" w:rsidP="000962AE">
      <w:pPr>
        <w:ind w:firstLine="562"/>
        <w:rPr>
          <w:lang w:val="bg-BG"/>
        </w:rPr>
      </w:pPr>
      <w:r w:rsidRPr="007343C5">
        <w:rPr>
          <w:lang w:val="bg-BG"/>
        </w:rPr>
        <w:t xml:space="preserve">Това разграничение има важно методологическо значение. Структурните условия са необходима основа, но не са автоматична гаранция за добро взаимодействие. </w:t>
      </w:r>
      <w:r w:rsidR="008B1E98" w:rsidRPr="007343C5">
        <w:rPr>
          <w:lang w:val="bg-BG"/>
        </w:rPr>
        <w:t>Една институция може да отговаря на формалните изисквания по отношение на материалната база, числеността и квалификацията на персонала, без това непременно да гарантира високо качество на ежедневната педагогическа практика.</w:t>
      </w:r>
      <w:r w:rsidR="008B1E98" w:rsidRPr="007343C5">
        <w:rPr>
          <w:lang w:val="bg-BG"/>
        </w:rPr>
        <w:t xml:space="preserve"> </w:t>
      </w:r>
      <w:r w:rsidR="008B1E98" w:rsidRPr="007343C5">
        <w:rPr>
          <w:lang w:val="bg-BG"/>
        </w:rPr>
        <w:t>Поради това оценяването на качеството не бива да се ограничава до проверка на входните показатели. То следва да разкрива механизмите, чрез които структурните условия се трансформират</w:t>
      </w:r>
      <w:r w:rsidR="008B1E98" w:rsidRPr="007343C5">
        <w:rPr>
          <w:lang w:val="bg-BG"/>
        </w:rPr>
        <w:t xml:space="preserve">, </w:t>
      </w:r>
      <w:r w:rsidR="008B1E98" w:rsidRPr="007343C5">
        <w:rPr>
          <w:lang w:val="bg-BG"/>
        </w:rPr>
        <w:t>или не се трансформира</w:t>
      </w:r>
      <w:r w:rsidR="008B1E98" w:rsidRPr="007343C5">
        <w:rPr>
          <w:lang w:val="bg-BG"/>
        </w:rPr>
        <w:t xml:space="preserve">т, </w:t>
      </w:r>
      <w:r w:rsidR="008B1E98" w:rsidRPr="007343C5">
        <w:rPr>
          <w:lang w:val="bg-BG"/>
        </w:rPr>
        <w:t>в качествени процеси.</w:t>
      </w:r>
    </w:p>
    <w:p w14:paraId="561C7600" w14:textId="3DE1B183" w:rsidR="00AB5A14" w:rsidRPr="007343C5" w:rsidRDefault="008B1E98" w:rsidP="000962AE">
      <w:pPr>
        <w:ind w:firstLine="562"/>
        <w:rPr>
          <w:lang w:val="bg-BG"/>
        </w:rPr>
      </w:pPr>
      <w:r w:rsidRPr="007343C5">
        <w:rPr>
          <w:lang w:val="bg-BG"/>
        </w:rPr>
        <w:t>А</w:t>
      </w:r>
      <w:r w:rsidR="00000000" w:rsidRPr="007343C5">
        <w:rPr>
          <w:lang w:val="bg-BG"/>
        </w:rPr>
        <w:t>нализ</w:t>
      </w:r>
      <w:r w:rsidRPr="007343C5">
        <w:rPr>
          <w:lang w:val="bg-BG"/>
        </w:rPr>
        <w:t>ът</w:t>
      </w:r>
      <w:r w:rsidR="00000000" w:rsidRPr="007343C5">
        <w:rPr>
          <w:lang w:val="bg-BG"/>
        </w:rPr>
        <w:t xml:space="preserve"> на международните рамки показва сходна логика. Инструментариумът за качество на </w:t>
      </w:r>
      <w:r w:rsidRPr="007343C5">
        <w:rPr>
          <w:lang w:val="bg-BG"/>
        </w:rPr>
        <w:t>Организацията за икономическо сътрудничество и развитие (</w:t>
      </w:r>
      <w:r w:rsidR="00000000" w:rsidRPr="007343C5">
        <w:rPr>
          <w:lang w:val="bg-BG"/>
        </w:rPr>
        <w:t>ОИСР</w:t>
      </w:r>
      <w:r w:rsidRPr="007343C5">
        <w:rPr>
          <w:lang w:val="bg-BG"/>
        </w:rPr>
        <w:t>)</w:t>
      </w:r>
      <w:r w:rsidR="00000000" w:rsidRPr="007343C5">
        <w:rPr>
          <w:lang w:val="bg-BG"/>
        </w:rPr>
        <w:t xml:space="preserve"> обвързва целите и регулаторните стандарти с учебната програма, квалификацията на </w:t>
      </w:r>
      <w:r w:rsidRPr="007343C5">
        <w:rPr>
          <w:lang w:val="bg-BG"/>
        </w:rPr>
        <w:t>специалистите</w:t>
      </w:r>
      <w:r w:rsidR="00000000" w:rsidRPr="007343C5">
        <w:rPr>
          <w:lang w:val="bg-BG"/>
        </w:rPr>
        <w:t>, ангажирането на семействата и общностите и използването на данни и мониторинг за подобрение. Европейската рамка за качество, свързана с Препоръката на Съвета на ЕС от 2019 г., също обединява достъпа, работната сила, учебната програма, мониторинга и оценяването, управлението и финансирането [2; 3].</w:t>
      </w:r>
      <w:r w:rsidR="00880843" w:rsidRPr="007343C5">
        <w:rPr>
          <w:lang w:val="bg-BG"/>
        </w:rPr>
        <w:t xml:space="preserve"> </w:t>
      </w:r>
      <w:r w:rsidR="00880843" w:rsidRPr="007343C5">
        <w:rPr>
          <w:lang w:val="bg-BG"/>
        </w:rPr>
        <w:t>По този начин качеството се очертава не като изолирана характеристика на институцията, а като резултат от съгласуваността между различни равнища</w:t>
      </w:r>
      <w:r w:rsidR="00000000" w:rsidRPr="007343C5">
        <w:rPr>
          <w:lang w:val="bg-BG"/>
        </w:rPr>
        <w:t>.</w:t>
      </w:r>
    </w:p>
    <w:p w14:paraId="1CE7B572" w14:textId="043680E6" w:rsidR="00AB5A14" w:rsidRPr="007343C5" w:rsidRDefault="00880843" w:rsidP="000962AE">
      <w:pPr>
        <w:ind w:firstLine="562"/>
        <w:rPr>
          <w:lang w:val="bg-BG"/>
        </w:rPr>
      </w:pPr>
      <w:r w:rsidRPr="007343C5">
        <w:rPr>
          <w:lang w:val="bg-BG"/>
        </w:rPr>
        <w:t>Особено значение придобива педагогическата среда. Тя следва да се интерпретира не просто като физическо пространство за провеждане на педагогическия процес, а като динамична съвкупност от условия, взаимоотношения и дидактически решения, подкрепящи ученето, субектното участие, сигурността и цялостното развитие на детето.</w:t>
      </w:r>
      <w:r w:rsidRPr="007343C5">
        <w:rPr>
          <w:lang w:val="bg-BG"/>
        </w:rPr>
        <w:t xml:space="preserve"> </w:t>
      </w:r>
      <w:r w:rsidRPr="007343C5">
        <w:rPr>
          <w:lang w:val="bg-BG"/>
        </w:rPr>
        <w:t>В тази връзка международно признатите стандарти</w:t>
      </w:r>
      <w:r w:rsidRPr="007343C5">
        <w:rPr>
          <w:lang w:val="bg-BG"/>
        </w:rPr>
        <w:t xml:space="preserve">, </w:t>
      </w:r>
      <w:r w:rsidRPr="007343C5">
        <w:rPr>
          <w:lang w:val="bg-BG"/>
        </w:rPr>
        <w:t>сред които Скалата за оценяване на средата в ранното детство (</w:t>
      </w:r>
      <w:proofErr w:type="spellStart"/>
      <w:r w:rsidRPr="007343C5">
        <w:rPr>
          <w:lang w:val="bg-BG"/>
        </w:rPr>
        <w:t>Early</w:t>
      </w:r>
      <w:proofErr w:type="spellEnd"/>
      <w:r w:rsidRPr="007343C5">
        <w:rPr>
          <w:lang w:val="bg-BG"/>
        </w:rPr>
        <w:t xml:space="preserve"> </w:t>
      </w:r>
      <w:proofErr w:type="spellStart"/>
      <w:r w:rsidRPr="007343C5">
        <w:rPr>
          <w:lang w:val="bg-BG"/>
        </w:rPr>
        <w:t>Childhood</w:t>
      </w:r>
      <w:proofErr w:type="spellEnd"/>
      <w:r w:rsidRPr="007343C5">
        <w:rPr>
          <w:lang w:val="bg-BG"/>
        </w:rPr>
        <w:t xml:space="preserve"> </w:t>
      </w:r>
      <w:proofErr w:type="spellStart"/>
      <w:r w:rsidRPr="007343C5">
        <w:rPr>
          <w:lang w:val="bg-BG"/>
        </w:rPr>
        <w:t>Environment</w:t>
      </w:r>
      <w:proofErr w:type="spellEnd"/>
      <w:r w:rsidRPr="007343C5">
        <w:rPr>
          <w:lang w:val="bg-BG"/>
        </w:rPr>
        <w:t xml:space="preserve"> </w:t>
      </w:r>
      <w:proofErr w:type="spellStart"/>
      <w:r w:rsidRPr="007343C5">
        <w:rPr>
          <w:lang w:val="bg-BG"/>
        </w:rPr>
        <w:t>Rating</w:t>
      </w:r>
      <w:proofErr w:type="spellEnd"/>
      <w:r w:rsidRPr="007343C5">
        <w:rPr>
          <w:lang w:val="bg-BG"/>
        </w:rPr>
        <w:t xml:space="preserve"> </w:t>
      </w:r>
      <w:proofErr w:type="spellStart"/>
      <w:r w:rsidRPr="007343C5">
        <w:rPr>
          <w:lang w:val="bg-BG"/>
        </w:rPr>
        <w:t>Scale</w:t>
      </w:r>
      <w:proofErr w:type="spellEnd"/>
      <w:r w:rsidRPr="007343C5">
        <w:rPr>
          <w:lang w:val="bg-BG"/>
        </w:rPr>
        <w:t xml:space="preserve"> - ECERS-3) и Скалата за оценяване на средата за кърмачета и малки деца (</w:t>
      </w:r>
      <w:proofErr w:type="spellStart"/>
      <w:r w:rsidRPr="007343C5">
        <w:rPr>
          <w:lang w:val="bg-BG"/>
        </w:rPr>
        <w:t>Infant</w:t>
      </w:r>
      <w:proofErr w:type="spellEnd"/>
      <w:r w:rsidRPr="007343C5">
        <w:rPr>
          <w:lang w:val="bg-BG"/>
        </w:rPr>
        <w:t>/</w:t>
      </w:r>
      <w:proofErr w:type="spellStart"/>
      <w:r w:rsidRPr="007343C5">
        <w:rPr>
          <w:lang w:val="bg-BG"/>
        </w:rPr>
        <w:t>Toddler</w:t>
      </w:r>
      <w:proofErr w:type="spellEnd"/>
      <w:r w:rsidRPr="007343C5">
        <w:rPr>
          <w:lang w:val="bg-BG"/>
        </w:rPr>
        <w:t xml:space="preserve"> </w:t>
      </w:r>
      <w:proofErr w:type="spellStart"/>
      <w:r w:rsidRPr="007343C5">
        <w:rPr>
          <w:lang w:val="bg-BG"/>
        </w:rPr>
        <w:t>Environment</w:t>
      </w:r>
      <w:proofErr w:type="spellEnd"/>
      <w:r w:rsidRPr="007343C5">
        <w:rPr>
          <w:lang w:val="bg-BG"/>
        </w:rPr>
        <w:t xml:space="preserve"> </w:t>
      </w:r>
      <w:proofErr w:type="spellStart"/>
      <w:r w:rsidRPr="007343C5">
        <w:rPr>
          <w:lang w:val="bg-BG"/>
        </w:rPr>
        <w:t>Rating</w:t>
      </w:r>
      <w:proofErr w:type="spellEnd"/>
      <w:r w:rsidRPr="007343C5">
        <w:rPr>
          <w:lang w:val="bg-BG"/>
        </w:rPr>
        <w:t xml:space="preserve"> </w:t>
      </w:r>
      <w:proofErr w:type="spellStart"/>
      <w:r w:rsidRPr="007343C5">
        <w:rPr>
          <w:lang w:val="bg-BG"/>
        </w:rPr>
        <w:t>Scale</w:t>
      </w:r>
      <w:proofErr w:type="spellEnd"/>
      <w:r w:rsidRPr="007343C5">
        <w:rPr>
          <w:lang w:val="bg-BG"/>
        </w:rPr>
        <w:t xml:space="preserve"> - ITERS-3), както и рамката на Международната асоциация „Стъпка по стъпка“ (International </w:t>
      </w:r>
      <w:proofErr w:type="spellStart"/>
      <w:r w:rsidRPr="007343C5">
        <w:rPr>
          <w:lang w:val="bg-BG"/>
        </w:rPr>
        <w:t>Step</w:t>
      </w:r>
      <w:proofErr w:type="spellEnd"/>
      <w:r w:rsidRPr="007343C5">
        <w:rPr>
          <w:lang w:val="bg-BG"/>
        </w:rPr>
        <w:t xml:space="preserve"> </w:t>
      </w:r>
      <w:proofErr w:type="spellStart"/>
      <w:r w:rsidRPr="007343C5">
        <w:rPr>
          <w:lang w:val="bg-BG"/>
        </w:rPr>
        <w:t>by</w:t>
      </w:r>
      <w:proofErr w:type="spellEnd"/>
      <w:r w:rsidRPr="007343C5">
        <w:rPr>
          <w:lang w:val="bg-BG"/>
        </w:rPr>
        <w:t xml:space="preserve"> </w:t>
      </w:r>
      <w:proofErr w:type="spellStart"/>
      <w:r w:rsidRPr="007343C5">
        <w:rPr>
          <w:lang w:val="bg-BG"/>
        </w:rPr>
        <w:t>Step</w:t>
      </w:r>
      <w:proofErr w:type="spellEnd"/>
      <w:r w:rsidRPr="007343C5">
        <w:rPr>
          <w:lang w:val="bg-BG"/>
        </w:rPr>
        <w:t xml:space="preserve"> </w:t>
      </w:r>
      <w:proofErr w:type="spellStart"/>
      <w:r w:rsidRPr="007343C5">
        <w:rPr>
          <w:lang w:val="bg-BG"/>
        </w:rPr>
        <w:t>Association</w:t>
      </w:r>
      <w:proofErr w:type="spellEnd"/>
      <w:r w:rsidRPr="007343C5">
        <w:rPr>
          <w:lang w:val="bg-BG"/>
        </w:rPr>
        <w:t xml:space="preserve"> - ISSA)</w:t>
      </w:r>
      <w:r w:rsidRPr="007343C5">
        <w:rPr>
          <w:lang w:val="bg-BG"/>
        </w:rPr>
        <w:t xml:space="preserve">, </w:t>
      </w:r>
      <w:r w:rsidRPr="007343C5">
        <w:rPr>
          <w:lang w:val="bg-BG"/>
        </w:rPr>
        <w:t>разкриват разнообразни възможности за мониторинг на средата и педагогическата практика [4; 5]. Общото между тези специализирани инструменти е разбирането, че качеството следва да се оценява през неговите реални практически проявления, а не единствено въз основа на административно декларирани показатели.</w:t>
      </w:r>
    </w:p>
    <w:p w14:paraId="002888EC" w14:textId="11CDEB33" w:rsidR="00AB5A14" w:rsidRPr="007343C5" w:rsidRDefault="007343C5" w:rsidP="000962AE">
      <w:pPr>
        <w:ind w:firstLine="562"/>
        <w:rPr>
          <w:lang w:val="bg-BG"/>
        </w:rPr>
      </w:pPr>
      <w:r w:rsidRPr="007343C5">
        <w:rPr>
          <w:lang w:val="bg-BG"/>
        </w:rPr>
        <w:t>Тази практическа насоченост разширява обхвата на оценката, като приобщава условията за включване и подкрепа. По този начин достъпът и равнопоставеността се очертават като органична част от качеството, а не като външни за него показатели.</w:t>
      </w:r>
      <w:r w:rsidRPr="007343C5">
        <w:rPr>
          <w:lang w:val="bg-BG"/>
        </w:rPr>
        <w:t xml:space="preserve"> </w:t>
      </w:r>
      <w:r w:rsidR="00000000" w:rsidRPr="007343C5">
        <w:rPr>
          <w:lang w:val="bg-BG"/>
        </w:rPr>
        <w:t xml:space="preserve">Формалното наличие на услуга не означава автоматично равен достъп до качествена услуга. Териториалните различия, </w:t>
      </w:r>
      <w:r w:rsidR="00000000" w:rsidRPr="007343C5">
        <w:rPr>
          <w:lang w:val="bg-BG"/>
        </w:rPr>
        <w:lastRenderedPageBreak/>
        <w:t xml:space="preserve">организационните бариери и различията в подкрепата могат да превърнат еднакво формулираната услуга в нееднакво преживяване за децата и семействата. Следователно качеството </w:t>
      </w:r>
      <w:r w:rsidRPr="007343C5">
        <w:rPr>
          <w:lang w:val="bg-BG"/>
        </w:rPr>
        <w:t>следва</w:t>
      </w:r>
      <w:r w:rsidR="00000000" w:rsidRPr="007343C5">
        <w:rPr>
          <w:lang w:val="bg-BG"/>
        </w:rPr>
        <w:t xml:space="preserve"> да се оценява и през способността на системата да отговаря на разнообразните потребности без да създава допълнителни бариери пред участието.</w:t>
      </w:r>
    </w:p>
    <w:p w14:paraId="2E19632F" w14:textId="5902407D" w:rsidR="00AB5A14" w:rsidRPr="007343C5" w:rsidRDefault="00000000" w:rsidP="000962AE">
      <w:pPr>
        <w:ind w:firstLine="562"/>
        <w:rPr>
          <w:b/>
          <w:bCs/>
        </w:rPr>
      </w:pPr>
      <w:r w:rsidRPr="007343C5">
        <w:rPr>
          <w:b/>
          <w:bCs/>
        </w:rPr>
        <w:t>2.</w:t>
      </w:r>
      <w:r>
        <w:t xml:space="preserve"> </w:t>
      </w:r>
      <w:r w:rsidR="000962AE" w:rsidRPr="007343C5">
        <w:rPr>
          <w:b/>
          <w:bCs/>
          <w:lang w:val="bg-BG"/>
        </w:rPr>
        <w:t xml:space="preserve">Професионалната компетентност </w:t>
      </w:r>
      <w:r w:rsidR="00CF19E7">
        <w:rPr>
          <w:b/>
          <w:bCs/>
          <w:lang w:val="bg-BG"/>
        </w:rPr>
        <w:t xml:space="preserve">на специалистите </w:t>
      </w:r>
      <w:r w:rsidR="000962AE" w:rsidRPr="007343C5">
        <w:rPr>
          <w:b/>
          <w:bCs/>
          <w:lang w:val="bg-BG"/>
        </w:rPr>
        <w:t>като условие за качествено взаимодействие</w:t>
      </w:r>
      <w:r w:rsidR="00CF19E7">
        <w:rPr>
          <w:b/>
          <w:bCs/>
          <w:lang w:val="bg-BG"/>
        </w:rPr>
        <w:t>то</w:t>
      </w:r>
    </w:p>
    <w:p w14:paraId="1EFEC451" w14:textId="624BEA99" w:rsidR="00AB5A14" w:rsidRDefault="00000000" w:rsidP="000962AE">
      <w:pPr>
        <w:ind w:firstLine="562"/>
      </w:pPr>
      <w:r>
        <w:t xml:space="preserve">Ако структурното качество очертава условията, а процесното качество показва какво реално се случва в педагогическата среда, професионалната компетентност е един от механизмите, чрез които системните ресурси се превръщат в педагогическо действие. </w:t>
      </w:r>
      <w:r w:rsidR="00CF19E7" w:rsidRPr="00CF19E7">
        <w:rPr>
          <w:lang w:val="bg-BG"/>
        </w:rPr>
        <w:t>В този смисъл компетентността не е просто сбор от формално придобити квалификации, а способност професионалните знания, умения и опит да се прилагат адекватно в конкретни педагогически ситуации и винаги в подкрепа на детето.</w:t>
      </w:r>
    </w:p>
    <w:p w14:paraId="2EBE08CE" w14:textId="37939E49" w:rsidR="00AB5A14" w:rsidRPr="005C0620" w:rsidRDefault="00000000" w:rsidP="000962AE">
      <w:pPr>
        <w:ind w:firstLine="562"/>
        <w:rPr>
          <w:lang w:val="bg-BG"/>
        </w:rPr>
      </w:pPr>
      <w:r>
        <w:t xml:space="preserve">В съдържателно отношение професионалната компетентност включва познаване на закономерностите на ранното детско развитие, педагогически умения, способност за наблюдение и индивидуализиране на подкрепата, умения за взаимодействие с </w:t>
      </w:r>
      <w:r w:rsidRPr="005C0620">
        <w:rPr>
          <w:lang w:val="bg-BG"/>
        </w:rPr>
        <w:t>деца</w:t>
      </w:r>
      <w:r w:rsidR="005C0620" w:rsidRPr="005C0620">
        <w:rPr>
          <w:lang w:val="bg-BG"/>
        </w:rPr>
        <w:t>та</w:t>
      </w:r>
      <w:r w:rsidRPr="005C0620">
        <w:rPr>
          <w:lang w:val="bg-BG"/>
        </w:rPr>
        <w:t xml:space="preserve"> и семейства</w:t>
      </w:r>
      <w:r w:rsidR="005C0620" w:rsidRPr="005C0620">
        <w:rPr>
          <w:lang w:val="bg-BG"/>
        </w:rPr>
        <w:t>та</w:t>
      </w:r>
      <w:r>
        <w:t xml:space="preserve">, работа в екип, професионална етика и готовност за продължаващо развитие. </w:t>
      </w:r>
      <w:r w:rsidRPr="005C0620">
        <w:rPr>
          <w:lang w:val="bg-BG"/>
        </w:rPr>
        <w:t>Особено значение има рефлексивният компонент</w:t>
      </w:r>
      <w:r w:rsidR="005C0620" w:rsidRPr="005C0620">
        <w:rPr>
          <w:lang w:val="bg-BG"/>
        </w:rPr>
        <w:t xml:space="preserve">, а именно </w:t>
      </w:r>
      <w:r w:rsidRPr="005C0620">
        <w:rPr>
          <w:lang w:val="bg-BG"/>
        </w:rPr>
        <w:t>способността специалистът да анализира собствената си практика, да разпознава ограниченията ѝ и да променя педагогическите си решения въз основа на наблюдения и обратна връзка.</w:t>
      </w:r>
    </w:p>
    <w:p w14:paraId="7A3186A9" w14:textId="3F2F5EB9" w:rsidR="00746CA7" w:rsidRPr="00746CA7" w:rsidRDefault="00746CA7" w:rsidP="000962AE">
      <w:pPr>
        <w:ind w:firstLine="562"/>
        <w:rPr>
          <w:lang w:val="bg-BG"/>
        </w:rPr>
      </w:pPr>
      <w:r w:rsidRPr="00746CA7">
        <w:rPr>
          <w:lang w:val="bg-BG"/>
        </w:rPr>
        <w:t>Тази перспектива се доближава до концепцията за „</w:t>
      </w:r>
      <w:r w:rsidRPr="00746CA7">
        <w:rPr>
          <w:i/>
          <w:iCs/>
          <w:lang w:val="bg-BG"/>
        </w:rPr>
        <w:t>компетентна система</w:t>
      </w:r>
      <w:r w:rsidRPr="00746CA7">
        <w:rPr>
          <w:lang w:val="bg-BG"/>
        </w:rPr>
        <w:t xml:space="preserve">“, развита в европейския проект </w:t>
      </w:r>
      <w:proofErr w:type="spellStart"/>
      <w:r w:rsidRPr="00746CA7">
        <w:rPr>
          <w:lang w:val="bg-BG"/>
        </w:rPr>
        <w:t>CoRe</w:t>
      </w:r>
      <w:proofErr w:type="spellEnd"/>
      <w:r w:rsidRPr="00746CA7">
        <w:rPr>
          <w:lang w:val="bg-BG"/>
        </w:rPr>
        <w:t xml:space="preserve"> („Изисквания за компетентност в образованието и грижите в ранна детска възраст“)</w:t>
      </w:r>
      <w:r>
        <w:rPr>
          <w:lang w:val="bg-BG"/>
        </w:rPr>
        <w:t>,</w:t>
      </w:r>
      <w:r w:rsidRPr="00746CA7">
        <w:rPr>
          <w:lang w:val="bg-BG"/>
        </w:rPr>
        <w:t xml:space="preserve"> научно изследване, възложено от Европейската комисия и проведено съвместно от Университета на Източен Лондон (</w:t>
      </w:r>
      <w:proofErr w:type="spellStart"/>
      <w:r w:rsidRPr="00746CA7">
        <w:rPr>
          <w:i/>
          <w:iCs/>
          <w:lang w:val="bg-BG"/>
        </w:rPr>
        <w:t>University</w:t>
      </w:r>
      <w:proofErr w:type="spellEnd"/>
      <w:r w:rsidRPr="00746CA7">
        <w:rPr>
          <w:i/>
          <w:iCs/>
          <w:lang w:val="bg-BG"/>
        </w:rPr>
        <w:t xml:space="preserve"> </w:t>
      </w:r>
      <w:proofErr w:type="spellStart"/>
      <w:r w:rsidRPr="00746CA7">
        <w:rPr>
          <w:i/>
          <w:iCs/>
          <w:lang w:val="bg-BG"/>
        </w:rPr>
        <w:t>of</w:t>
      </w:r>
      <w:proofErr w:type="spellEnd"/>
      <w:r w:rsidRPr="00746CA7">
        <w:rPr>
          <w:i/>
          <w:iCs/>
          <w:lang w:val="bg-BG"/>
        </w:rPr>
        <w:t xml:space="preserve"> </w:t>
      </w:r>
      <w:proofErr w:type="spellStart"/>
      <w:r w:rsidRPr="00746CA7">
        <w:rPr>
          <w:i/>
          <w:iCs/>
          <w:lang w:val="bg-BG"/>
        </w:rPr>
        <w:t>East</w:t>
      </w:r>
      <w:proofErr w:type="spellEnd"/>
      <w:r w:rsidRPr="00746CA7">
        <w:rPr>
          <w:i/>
          <w:iCs/>
          <w:lang w:val="bg-BG"/>
        </w:rPr>
        <w:t xml:space="preserve"> </w:t>
      </w:r>
      <w:proofErr w:type="spellStart"/>
      <w:r w:rsidRPr="00746CA7">
        <w:rPr>
          <w:i/>
          <w:iCs/>
          <w:lang w:val="bg-BG"/>
        </w:rPr>
        <w:t>London</w:t>
      </w:r>
      <w:proofErr w:type="spellEnd"/>
      <w:r w:rsidRPr="00746CA7">
        <w:rPr>
          <w:lang w:val="bg-BG"/>
        </w:rPr>
        <w:t>) и Университета в Гент (</w:t>
      </w:r>
      <w:proofErr w:type="spellStart"/>
      <w:r w:rsidRPr="00746CA7">
        <w:rPr>
          <w:i/>
          <w:iCs/>
          <w:lang w:val="bg-BG"/>
        </w:rPr>
        <w:t>Ghent</w:t>
      </w:r>
      <w:proofErr w:type="spellEnd"/>
      <w:r w:rsidRPr="00746CA7">
        <w:rPr>
          <w:i/>
          <w:iCs/>
          <w:lang w:val="bg-BG"/>
        </w:rPr>
        <w:t xml:space="preserve"> </w:t>
      </w:r>
      <w:proofErr w:type="spellStart"/>
      <w:r w:rsidRPr="00746CA7">
        <w:rPr>
          <w:i/>
          <w:iCs/>
          <w:lang w:val="bg-BG"/>
        </w:rPr>
        <w:t>University</w:t>
      </w:r>
      <w:proofErr w:type="spellEnd"/>
      <w:r w:rsidRPr="00746CA7">
        <w:rPr>
          <w:lang w:val="bg-BG"/>
        </w:rPr>
        <w:t>). В нея фокусът се измества от индивидуалната компетентност към колективната, институционалната и системната способност за поддържане и надграждане на качеството в практиката [6]. Това разграничение ясно показва, че професионализмът не е продукт единствено на отделния специалист, а се изгражда и поддържа от институционалната среда, професионалните общности, системите за квалификация и управленските решения.</w:t>
      </w:r>
    </w:p>
    <w:p w14:paraId="6CBD124E" w14:textId="0F3C97DF" w:rsidR="00AB5A14" w:rsidRPr="00746CA7" w:rsidRDefault="00746CA7" w:rsidP="000962AE">
      <w:pPr>
        <w:ind w:firstLine="562"/>
        <w:rPr>
          <w:lang w:val="bg-BG"/>
        </w:rPr>
      </w:pPr>
      <w:r w:rsidRPr="00746CA7">
        <w:rPr>
          <w:lang w:val="bg-BG"/>
        </w:rPr>
        <w:t xml:space="preserve">Емпиричният </w:t>
      </w:r>
      <w:proofErr w:type="spellStart"/>
      <w:r w:rsidRPr="00746CA7">
        <w:rPr>
          <w:lang w:val="bg-BG"/>
        </w:rPr>
        <w:t>метаанализ</w:t>
      </w:r>
      <w:proofErr w:type="spellEnd"/>
      <w:r w:rsidRPr="00746CA7">
        <w:rPr>
          <w:lang w:val="bg-BG"/>
        </w:rPr>
        <w:t xml:space="preserve"> на нидерландските експерти по детско развитие Рубен </w:t>
      </w:r>
      <w:proofErr w:type="spellStart"/>
      <w:r w:rsidRPr="00746CA7">
        <w:rPr>
          <w:lang w:val="bg-BG"/>
        </w:rPr>
        <w:t>Фюкинк</w:t>
      </w:r>
      <w:proofErr w:type="spellEnd"/>
      <w:r w:rsidRPr="00746CA7">
        <w:rPr>
          <w:lang w:val="bg-BG"/>
        </w:rPr>
        <w:t xml:space="preserve"> и Анке </w:t>
      </w:r>
      <w:proofErr w:type="spellStart"/>
      <w:r w:rsidRPr="00746CA7">
        <w:rPr>
          <w:lang w:val="bg-BG"/>
        </w:rPr>
        <w:t>Лонт</w:t>
      </w:r>
      <w:proofErr w:type="spellEnd"/>
      <w:r w:rsidRPr="00746CA7">
        <w:rPr>
          <w:lang w:val="bg-BG"/>
        </w:rPr>
        <w:t xml:space="preserve"> подкрепя тази теза, подчертавайки решаващата роля на професионалното обучение за качеството на педагогическата практика в ранна възраст [7].</w:t>
      </w:r>
      <w:r>
        <w:rPr>
          <w:lang w:val="bg-BG"/>
        </w:rPr>
        <w:t xml:space="preserve"> </w:t>
      </w:r>
      <w:r w:rsidRPr="00746CA7">
        <w:rPr>
          <w:lang w:val="bg-BG"/>
        </w:rPr>
        <w:t>Въпросът надхвърля количествените параметри на преминатото обучение. В случаите, когато квалификацията е отделена от ежедневната практика, обратната връзка и професионалното сътрудничество, трансферът на знания към реалната педагогическа работа остава ограничен. Поради това продължаващото професионално развитие трябва да включва както формални форми на обучение, така и наставничество, колегиално наблюдение, структурирана обратна връзка и съвместна рефлексия.</w:t>
      </w:r>
    </w:p>
    <w:p w14:paraId="2C742470" w14:textId="6652FE3E" w:rsidR="00AB5A14" w:rsidRPr="000F18FF" w:rsidRDefault="00000000" w:rsidP="000962AE">
      <w:pPr>
        <w:ind w:firstLine="562"/>
        <w:rPr>
          <w:lang w:val="bg-BG"/>
        </w:rPr>
      </w:pPr>
      <w:r w:rsidRPr="000F18FF">
        <w:rPr>
          <w:lang w:val="bg-BG"/>
        </w:rPr>
        <w:lastRenderedPageBreak/>
        <w:t xml:space="preserve">Така професионалната компетентност се проявява най-пълно не в абстрактното притежание на знания, а в качеството на решенията, които специалистът взема в конкретна ситуация: как организира средата, как реагира на детската инициатива, как подкрепя различните темпове на развитие, </w:t>
      </w:r>
      <w:r w:rsidR="000F18FF" w:rsidRPr="000F18FF">
        <w:rPr>
          <w:lang w:val="bg-BG"/>
        </w:rPr>
        <w:t xml:space="preserve">начина на </w:t>
      </w:r>
      <w:r w:rsidRPr="000F18FF">
        <w:rPr>
          <w:lang w:val="bg-BG"/>
        </w:rPr>
        <w:t>общува</w:t>
      </w:r>
      <w:r w:rsidR="000F18FF" w:rsidRPr="000F18FF">
        <w:rPr>
          <w:lang w:val="bg-BG"/>
        </w:rPr>
        <w:t>не</w:t>
      </w:r>
      <w:r w:rsidRPr="000F18FF">
        <w:rPr>
          <w:lang w:val="bg-BG"/>
        </w:rPr>
        <w:t xml:space="preserve"> със семейството и </w:t>
      </w:r>
      <w:r w:rsidR="000F18FF" w:rsidRPr="000F18FF">
        <w:rPr>
          <w:lang w:val="bg-BG"/>
        </w:rPr>
        <w:t xml:space="preserve">професионалните отношения </w:t>
      </w:r>
      <w:r w:rsidRPr="000F18FF">
        <w:rPr>
          <w:lang w:val="bg-BG"/>
        </w:rPr>
        <w:t>с колегите. Именно процесното измерение прави видима реалната стойност на професионалната компетентност.</w:t>
      </w:r>
    </w:p>
    <w:p w14:paraId="7EA697F4" w14:textId="77777777" w:rsidR="00AB5A14" w:rsidRDefault="00000000" w:rsidP="000962AE">
      <w:pPr>
        <w:ind w:firstLine="562"/>
      </w:pPr>
      <w:r w:rsidRPr="007E5880">
        <w:rPr>
          <w:b/>
          <w:bCs/>
        </w:rPr>
        <w:t>3.</w:t>
      </w:r>
      <w:r>
        <w:t xml:space="preserve"> </w:t>
      </w:r>
      <w:r w:rsidR="000962AE" w:rsidRPr="007E5880">
        <w:rPr>
          <w:b/>
          <w:bCs/>
          <w:lang w:val="bg-BG"/>
        </w:rPr>
        <w:t>Взаимовръзка между качество, компетентност и системни условия</w:t>
      </w:r>
    </w:p>
    <w:p w14:paraId="34CBE288" w14:textId="660C3C7D" w:rsidR="007E5880" w:rsidRPr="007E5880" w:rsidRDefault="007E5880" w:rsidP="007E5880">
      <w:pPr>
        <w:ind w:firstLine="562"/>
        <w:rPr>
          <w:lang w:val="bg-BG"/>
        </w:rPr>
      </w:pPr>
      <w:r w:rsidRPr="007E5880">
        <w:rPr>
          <w:lang w:val="bg-BG"/>
        </w:rPr>
        <w:t>Връзката между професионалната компетентност и качеството в образованието и грижите в ранна детска възраст не е линейна</w:t>
      </w:r>
      <w:r>
        <w:rPr>
          <w:lang w:val="bg-BG"/>
        </w:rPr>
        <w:t xml:space="preserve"> величина</w:t>
      </w:r>
      <w:r w:rsidRPr="007E5880">
        <w:rPr>
          <w:lang w:val="bg-BG"/>
        </w:rPr>
        <w:t>, а се формира в зависимост от условията, в които се осъществява професионалната дейност. Компетентният специалист притежава необходимите знания, умения и професионални нагласи за създаване на качествени педагогически взаимодействия, но възможността те да бъдат пълноценно реализирани зависи от организацията на работата, наличното време, устойчивостта на екипа и достъпа до професионална подкрепа. Същевременно благоприятната институционална среда създава предпоставки за качествено професионално действие, но не може да замести професионалната преценка и отговорност.</w:t>
      </w:r>
    </w:p>
    <w:p w14:paraId="0CBE5074" w14:textId="77777777" w:rsidR="007E5880" w:rsidRPr="007E5880" w:rsidRDefault="007E5880" w:rsidP="007E5880">
      <w:pPr>
        <w:ind w:firstLine="562"/>
        <w:rPr>
          <w:lang w:val="bg-BG"/>
        </w:rPr>
      </w:pPr>
      <w:r w:rsidRPr="007E5880">
        <w:rPr>
          <w:lang w:val="bg-BG"/>
        </w:rPr>
        <w:t>Тази взаимна обусловеност предполага качеството да се разглежда като резултат от съгласуваното действие на няколко взаимосвързани равнища: институционалния модел на управление, разпределението на отговорностите между управленските равнища, механизмите на финансиране, отчетността и наблюдението, разбирането за качество и начините за неговото установяване, както и професионалната компетентност и възможностите за нейното развитие. Ограниченията в едно от тези равнища могат да възпрепятстват ефективното функциониране на останалите и да намалят устойчивостта на постигнатите резултати.</w:t>
      </w:r>
    </w:p>
    <w:p w14:paraId="7C212BD5" w14:textId="1FB8C568" w:rsidR="007E5880" w:rsidRPr="007E5880" w:rsidRDefault="007E5880" w:rsidP="007E5880">
      <w:pPr>
        <w:ind w:firstLine="562"/>
        <w:rPr>
          <w:lang w:val="bg-BG"/>
        </w:rPr>
      </w:pPr>
      <w:r w:rsidRPr="007E5880">
        <w:rPr>
          <w:lang w:val="bg-BG"/>
        </w:rPr>
        <w:t xml:space="preserve">От тази гледна точка не може да се приеме разбирането, че по-високата квалификация автоматично води до по-високо качество. Квалификацията е важна предпоставка, но нейното значение се проявява </w:t>
      </w:r>
      <w:r w:rsidR="00A3326A">
        <w:rPr>
          <w:lang w:val="bg-BG"/>
        </w:rPr>
        <w:t>посредством</w:t>
      </w:r>
      <w:r w:rsidRPr="007E5880">
        <w:rPr>
          <w:lang w:val="bg-BG"/>
        </w:rPr>
        <w:t xml:space="preserve"> начина, по който придобитите знания и умения се прилагат в практиката, и</w:t>
      </w:r>
      <w:r w:rsidR="00A3326A">
        <w:rPr>
          <w:lang w:val="bg-BG"/>
        </w:rPr>
        <w:t xml:space="preserve"> чрез</w:t>
      </w:r>
      <w:r w:rsidRPr="007E5880">
        <w:rPr>
          <w:lang w:val="bg-BG"/>
        </w:rPr>
        <w:t xml:space="preserve"> условията, които подпомагат или ограничават тяхното използване. Аналогично, материалните инвестиции и модернизирането на инфраструктурата са необходими за осигуряването на подходяща среда, но сами по себе си не гарантират качество на педагогическите взаимодействия, професионалната работа и организацията на услугите. Поради това количествените показатели следва да се разглеждат във връзка с процесите, чрез които ресурсите се превръщат в реални възможности за развитие, благополучие и участие на децата.</w:t>
      </w:r>
    </w:p>
    <w:p w14:paraId="1F9B8557" w14:textId="519637ED" w:rsidR="007E5880" w:rsidRPr="007E5880" w:rsidRDefault="007E5880" w:rsidP="007E5880">
      <w:pPr>
        <w:ind w:firstLine="562"/>
        <w:rPr>
          <w:lang w:val="bg-BG"/>
        </w:rPr>
      </w:pPr>
      <w:r w:rsidRPr="007E5880">
        <w:rPr>
          <w:lang w:val="bg-BG"/>
        </w:rPr>
        <w:t xml:space="preserve">В този процес системата за качество има функцията да свързва различните равнища на управление и практика. На национално равнище това предполага ясни и последователни изисквания, устойчиво финансиране, съгласувана политика за развитие на професионалните компетентности и надеждни информационни механизми. На местно и </w:t>
      </w:r>
      <w:r w:rsidRPr="007E5880">
        <w:rPr>
          <w:lang w:val="bg-BG"/>
        </w:rPr>
        <w:lastRenderedPageBreak/>
        <w:t xml:space="preserve">институционално равнище са необходими условия за професионално сътрудничество, наставничество, рефлексия и използване на информацията за подобряване на работата. На педагогическо равнище тези предпоставки </w:t>
      </w:r>
      <w:r w:rsidR="00A3326A">
        <w:rPr>
          <w:lang w:val="bg-BG"/>
        </w:rPr>
        <w:t>следва</w:t>
      </w:r>
      <w:r w:rsidRPr="007E5880">
        <w:rPr>
          <w:lang w:val="bg-BG"/>
        </w:rPr>
        <w:t xml:space="preserve"> да намират израз в ежедневни взаимодействия, които отговарят на потребностите на децата и подкрепят тяхното развитие и благополучие.</w:t>
      </w:r>
    </w:p>
    <w:p w14:paraId="2C5710EE" w14:textId="77777777" w:rsidR="007E5880" w:rsidRPr="007E5880" w:rsidRDefault="007E5880" w:rsidP="007E5880">
      <w:pPr>
        <w:ind w:firstLine="562"/>
        <w:rPr>
          <w:lang w:val="bg-BG"/>
        </w:rPr>
      </w:pPr>
      <w:r w:rsidRPr="007E5880">
        <w:rPr>
          <w:lang w:val="bg-BG"/>
        </w:rPr>
        <w:t>Особено значение в тази взаимовръзка има управленската компетентност. Тя не се изчерпва с административното изпълнение на функциите на ръководителя, а включва способност за анализ на практиката, вземане на обосновани решения, насърчаване на професионалното сътрудничество и създаване на условия за развитие на екипа. Когато управлението се свежда до контрол върху формалното изпълнение, оценяването рискува да се превърне в процедура с ограничена развиваща стойност. Когато е свързано с обратна връзка, професионална подкрепа и последващи действия за подобрение, то може да се утвърди като инструмент за развитие на качеството.</w:t>
      </w:r>
    </w:p>
    <w:p w14:paraId="23314863" w14:textId="77777777" w:rsidR="007E5880" w:rsidRPr="007E5880" w:rsidRDefault="007E5880" w:rsidP="007E5880">
      <w:pPr>
        <w:ind w:firstLine="562"/>
        <w:rPr>
          <w:lang w:val="bg-BG"/>
        </w:rPr>
      </w:pPr>
      <w:r w:rsidRPr="007E5880">
        <w:rPr>
          <w:lang w:val="bg-BG"/>
        </w:rPr>
        <w:t>Вътрешното и външното оценяване имат допълващи се функции в този процес. Външното оценяване осигурява независима перспектива и подкрепя отчетността, докато вътрешното оценяване позволява на институцията да проследява собственото си развитие, да идентифицира затруднения и да планира подобрения. Устойчивото качество изисква събраната информация да не се изчерпва с констатация за съответствие, а да се използва за професионално учене, коригиране на практиката и усъвършенстване на институционалната среда.</w:t>
      </w:r>
    </w:p>
    <w:p w14:paraId="2747CEEF" w14:textId="190966F2" w:rsidR="00AB5A14" w:rsidRPr="007E5880" w:rsidRDefault="007E5880" w:rsidP="007E5880">
      <w:pPr>
        <w:ind w:firstLine="562"/>
        <w:rPr>
          <w:lang w:val="bg-BG"/>
        </w:rPr>
      </w:pPr>
      <w:r w:rsidRPr="007E5880">
        <w:rPr>
          <w:lang w:val="bg-BG"/>
        </w:rPr>
        <w:t>Разглеждането на тези взаимозависимости поставя въпроса за начина, по който те се проявяват в конкретна национална система. В българския контекст този въпрос придобива особена значимост поради исторически формиралото се институционално разделение между услугите за ранна грижа и предучилищното образование, което обуславя необходимостта от по-голяма съгласуваност между политиките, управленските равнища и професионалните практики.</w:t>
      </w:r>
    </w:p>
    <w:p w14:paraId="08DA5D13" w14:textId="77777777" w:rsidR="00AB5A14" w:rsidRDefault="00000000" w:rsidP="000962AE">
      <w:pPr>
        <w:ind w:firstLine="562"/>
      </w:pPr>
      <w:r w:rsidRPr="00A3326A">
        <w:rPr>
          <w:b/>
          <w:bCs/>
        </w:rPr>
        <w:t>4.</w:t>
      </w:r>
      <w:r>
        <w:t xml:space="preserve"> </w:t>
      </w:r>
      <w:r w:rsidR="000962AE" w:rsidRPr="00A3326A">
        <w:rPr>
          <w:b/>
          <w:bCs/>
          <w:lang w:val="bg-BG"/>
        </w:rPr>
        <w:t>Българският контекст: професионалният капацитет между институционалното разделение и необходимостта от съгласуваност</w:t>
      </w:r>
    </w:p>
    <w:p w14:paraId="3FA6FBB5" w14:textId="308A08F0" w:rsidR="00774970" w:rsidRDefault="00774970" w:rsidP="00774970">
      <w:pPr>
        <w:ind w:firstLine="562"/>
        <w:rPr>
          <w:lang w:val="bg-BG"/>
        </w:rPr>
      </w:pPr>
      <w:r w:rsidRPr="00774970">
        <w:rPr>
          <w:lang w:val="bg-BG"/>
        </w:rPr>
        <w:t>Българският контекст ясно илюстрира доколко качеството и професионалната компетентност са условени от институционалната рамка на ранното детско образование.</w:t>
      </w:r>
      <w:r>
        <w:rPr>
          <w:lang w:val="bg-BG"/>
        </w:rPr>
        <w:t xml:space="preserve"> </w:t>
      </w:r>
      <w:r w:rsidRPr="00774970">
        <w:rPr>
          <w:lang w:val="bg-BG"/>
        </w:rPr>
        <w:t>Понятието „</w:t>
      </w:r>
      <w:r w:rsidRPr="006D5B85">
        <w:rPr>
          <w:i/>
          <w:iCs/>
          <w:lang w:val="bg-BG"/>
        </w:rPr>
        <w:t>образование и грижи в ранна детска възраст</w:t>
      </w:r>
      <w:r w:rsidRPr="00774970">
        <w:rPr>
          <w:lang w:val="bg-BG"/>
        </w:rPr>
        <w:t>“ (ОГРДВ) се използва като аналитична рамка за периода от раждането до постъпването в училище</w:t>
      </w:r>
      <w:r>
        <w:rPr>
          <w:lang w:val="bg-BG"/>
        </w:rPr>
        <w:t xml:space="preserve"> </w:t>
      </w:r>
      <w:r w:rsidRPr="00774970">
        <w:rPr>
          <w:lang w:val="bg-BG"/>
        </w:rPr>
        <w:t>[</w:t>
      </w:r>
      <w:r>
        <w:rPr>
          <w:lang w:val="bg-BG"/>
        </w:rPr>
        <w:t>3</w:t>
      </w:r>
      <w:r w:rsidRPr="00774970">
        <w:rPr>
          <w:lang w:val="bg-BG"/>
        </w:rPr>
        <w:t xml:space="preserve">], докато нормативната уредба продължава да разграничава детските ясли и предучилищното образование. Това разделение се отразява и върху професионалната структура. </w:t>
      </w:r>
      <w:r w:rsidR="00F00BDC" w:rsidRPr="00F00BDC">
        <w:rPr>
          <w:lang w:val="bg-BG"/>
        </w:rPr>
        <w:t>Нормативната рамка у нас (ЗПУО и Наредба № 15 от 22 юли 2019 г.) определя учителите в предучилищното образование като педагогически специалисти, заемащи длъжността въз основа на висше образование и квалификация „учител“.</w:t>
      </w:r>
    </w:p>
    <w:p w14:paraId="630FD490" w14:textId="2B8A396F" w:rsidR="00F00BDC" w:rsidRPr="00F00BDC" w:rsidRDefault="00F00BDC" w:rsidP="00774970">
      <w:pPr>
        <w:ind w:firstLine="562"/>
        <w:rPr>
          <w:lang w:val="bg-BG"/>
        </w:rPr>
      </w:pPr>
      <w:r w:rsidRPr="00F00BDC">
        <w:rPr>
          <w:lang w:val="bg-BG"/>
        </w:rPr>
        <w:t xml:space="preserve">В детските ясли Наредба № 26 от 18 ноември 2008 г. за устройството и дейността на детските ясли регламентира състав от медицински и друг персонал, като след изменението ѝ от 2022 г. изрично бе включен и педагог </w:t>
      </w:r>
      <w:r w:rsidRPr="00F00BDC">
        <w:rPr>
          <w:lang w:val="bg-BG"/>
        </w:rPr>
        <w:lastRenderedPageBreak/>
        <w:t>с висше образование по специалност от професионално направление „Педагогика“ (с квалификация „Предучилищна педагогика“). По този начин педагогическата функция получи формално нормативно признание и в услугите за деца до тригодишна възраст, макар институционалното разделение между двата сектора да се запазва. Различията в нормативната основа, професионалните роли и организационните модели продължават да формират различни професионални режими в рамките на един и същ етап от детското развитие. Поради това ключовото предизвикателство не се състои в механичното уеднаквяване на длъжностите, а в създаването на условия за тяхната съгласуваност и за осигуряването на приемственост в грижата, възпитанието, обучението и подкрепата за детето.</w:t>
      </w:r>
    </w:p>
    <w:p w14:paraId="6D0F0C24" w14:textId="65609B5E" w:rsidR="00774970" w:rsidRPr="00774970" w:rsidRDefault="00F00BDC" w:rsidP="00774970">
      <w:pPr>
        <w:ind w:firstLine="562"/>
        <w:rPr>
          <w:lang w:val="bg-BG"/>
        </w:rPr>
      </w:pPr>
      <w:r>
        <w:rPr>
          <w:lang w:val="bg-BG"/>
        </w:rPr>
        <w:t>Н</w:t>
      </w:r>
      <w:r w:rsidR="00774970" w:rsidRPr="00774970">
        <w:rPr>
          <w:lang w:val="bg-BG"/>
        </w:rPr>
        <w:t xml:space="preserve">еобходимо </w:t>
      </w:r>
      <w:r>
        <w:rPr>
          <w:lang w:val="bg-BG"/>
        </w:rPr>
        <w:t xml:space="preserve">е </w:t>
      </w:r>
      <w:r w:rsidR="00774970" w:rsidRPr="00774970">
        <w:rPr>
          <w:lang w:val="bg-BG"/>
        </w:rPr>
        <w:t>професионалното развитие да се подкрепя от по-съгласувана рамка на компетентностите за периода 0–7 години, която да надгражда специфичните изисквания към специалистите в двата сектора, без да заличава професионалните им различия [6]. Общата основа може да включва разбиране на детското развитие, качество на взаимодействието, работа с родители, приобщаване, екипност и професионална рефлексия. Тя следва да бъде подкрепена от устойчиви форми на професионално сътрудничество – обмен на практики, съвместно професионално учене, наставничество и обратна връзка, свързани с реалните потребности на децата и семействата.</w:t>
      </w:r>
    </w:p>
    <w:p w14:paraId="7551A7BA" w14:textId="77777777" w:rsidR="00774970" w:rsidRPr="00774970" w:rsidRDefault="00774970" w:rsidP="00774970">
      <w:pPr>
        <w:ind w:firstLine="562"/>
        <w:rPr>
          <w:lang w:val="bg-BG"/>
        </w:rPr>
      </w:pPr>
      <w:r w:rsidRPr="00774970">
        <w:rPr>
          <w:lang w:val="bg-BG"/>
        </w:rPr>
        <w:t>Системният подход се отнася и до равния достъп. Той не се изчерпва с наличието на институционални места, а предполага преодоляване на териториални, езикови, информационни и институционални бариери и предоставяне на подкрепа, съобразена с различията в потребностите. В този контекст професионалната компетентност включва и способност за работа с разнообразието, разпознаване на пречките пред участието и изграждане на отношения на доверие.</w:t>
      </w:r>
    </w:p>
    <w:p w14:paraId="02852F7C" w14:textId="2B4FE2BC" w:rsidR="00AB5A14" w:rsidRPr="00774970" w:rsidRDefault="00774970" w:rsidP="00774970">
      <w:pPr>
        <w:ind w:firstLine="562"/>
        <w:rPr>
          <w:lang w:val="bg-BG"/>
        </w:rPr>
      </w:pPr>
      <w:r w:rsidRPr="00774970">
        <w:rPr>
          <w:lang w:val="bg-BG"/>
        </w:rPr>
        <w:t>Следователно развитието на професионалния капацитет изисква не само повишаване на квалификацията, но и създаване на условия за нейното пълноценно приложение чрез подкрепящо управление, професионално сътрудничество, наставничество, рефлексия и използване на обратната връзка за подобряване на практиката. Така професионалната компетентност се превръща от индивидуална характеристика в ресурс за развитие на институциите и системата. Връзката между професионалния капацитет, институционалните условия и тяхната съгласуваност поставя основата за разглеждането на качеството като динамичен процес на последователно развитие.</w:t>
      </w:r>
    </w:p>
    <w:p w14:paraId="4A7B56E0" w14:textId="77777777" w:rsidR="00AB5A14" w:rsidRPr="00A3326A" w:rsidRDefault="00000000" w:rsidP="000962AE">
      <w:pPr>
        <w:ind w:firstLine="562"/>
        <w:rPr>
          <w:b/>
          <w:bCs/>
          <w:lang w:val="bg-BG"/>
        </w:rPr>
      </w:pPr>
      <w:r w:rsidRPr="00774970">
        <w:rPr>
          <w:b/>
          <w:bCs/>
          <w:lang w:val="bg-BG"/>
        </w:rPr>
        <w:t xml:space="preserve">5. </w:t>
      </w:r>
      <w:r w:rsidR="000962AE" w:rsidRPr="00774970">
        <w:rPr>
          <w:b/>
          <w:bCs/>
          <w:lang w:val="bg-BG"/>
        </w:rPr>
        <w:t>Качеството като процес на съгласувано развитие</w:t>
      </w:r>
    </w:p>
    <w:p w14:paraId="78C0BD5E" w14:textId="1E6AFF67" w:rsidR="00AB5A14" w:rsidRPr="006D5B85" w:rsidRDefault="00000000" w:rsidP="000962AE">
      <w:pPr>
        <w:ind w:firstLine="562"/>
        <w:rPr>
          <w:lang w:val="bg-BG"/>
        </w:rPr>
      </w:pPr>
      <w:r w:rsidRPr="006D5B85">
        <w:rPr>
          <w:lang w:val="bg-BG"/>
        </w:rPr>
        <w:t xml:space="preserve">Системният прочит на качеството и професионалната компетентност позволява да се избегнат две еднакво ограничени позиции. </w:t>
      </w:r>
      <w:r w:rsidR="006D5B85" w:rsidRPr="006D5B85">
        <w:rPr>
          <w:lang w:val="bg-BG"/>
        </w:rPr>
        <w:t>Първата свежда качеството до структурни дадености – нормативна съобразност, материална база, кадрово осигуряване и ниво на квалификация.</w:t>
      </w:r>
      <w:r w:rsidR="006D5B85" w:rsidRPr="006D5B85">
        <w:rPr>
          <w:lang w:val="bg-BG"/>
        </w:rPr>
        <w:t xml:space="preserve"> </w:t>
      </w:r>
      <w:r w:rsidRPr="006D5B85">
        <w:rPr>
          <w:lang w:val="bg-BG"/>
        </w:rPr>
        <w:t xml:space="preserve">Втората прехвърля отговорността </w:t>
      </w:r>
      <w:r w:rsidR="006D5B85" w:rsidRPr="006D5B85">
        <w:rPr>
          <w:lang w:val="bg-BG"/>
        </w:rPr>
        <w:t xml:space="preserve">до голяма степен </w:t>
      </w:r>
      <w:r w:rsidRPr="006D5B85">
        <w:rPr>
          <w:lang w:val="bg-BG"/>
        </w:rPr>
        <w:t xml:space="preserve">изцяло върху отделния специалист, като предполага, че добрият професионалист може да компенсира недостатъците </w:t>
      </w:r>
      <w:r w:rsidRPr="006D5B85">
        <w:rPr>
          <w:lang w:val="bg-BG"/>
        </w:rPr>
        <w:lastRenderedPageBreak/>
        <w:t>на системата. И двете позиции пропускат взаимозависимостта между условията и практиката.</w:t>
      </w:r>
    </w:p>
    <w:p w14:paraId="152DC8DF" w14:textId="672D49C2" w:rsidR="00AB5A14" w:rsidRPr="006D5B85" w:rsidRDefault="00000000" w:rsidP="000962AE">
      <w:pPr>
        <w:ind w:firstLine="562"/>
        <w:rPr>
          <w:lang w:val="bg-BG"/>
        </w:rPr>
      </w:pPr>
      <w:r w:rsidRPr="006D5B85">
        <w:rPr>
          <w:lang w:val="bg-BG"/>
        </w:rPr>
        <w:t>По-пълното разбиране започва от процесното качество, но не се ограничава до него. Ежедневното взаимодействие между възрастен и дете е мястото, където системните решения придобиват реално съдържание. То е повлияно от организацията на труда, стабилността на персонала, управлението, ресурсите, професионалните стандарти и възможностите за развитие. Затова качеството може да се разглежда като непрекъснат процес на съгласуване между структурни условия, професионално действие, оценяване и подобрение.</w:t>
      </w:r>
    </w:p>
    <w:p w14:paraId="187FC118" w14:textId="77777777" w:rsidR="00AB5A14" w:rsidRPr="006D5B85" w:rsidRDefault="00000000" w:rsidP="000962AE">
      <w:pPr>
        <w:ind w:firstLine="562"/>
        <w:rPr>
          <w:lang w:val="bg-BG"/>
        </w:rPr>
      </w:pPr>
      <w:r w:rsidRPr="006D5B85">
        <w:rPr>
          <w:lang w:val="bg-BG"/>
        </w:rPr>
        <w:t>Тази логика се откроява и в международните рамки, разгледани в монографията. Европейската рамка за качество, инструментариумът на ОИСР и професионалните рамки на ISSA не са идентични, но поставят различни аспекти в обща перспектива: достъп, работна сила, педагогическа практика, семейства, управление, мониторинг и подобрение [2; 3; 4]. Концепцията за „</w:t>
      </w:r>
      <w:r w:rsidRPr="006D5B85">
        <w:rPr>
          <w:i/>
          <w:iCs/>
          <w:lang w:val="bg-BG"/>
        </w:rPr>
        <w:t>компетентна система</w:t>
      </w:r>
      <w:r w:rsidRPr="006D5B85">
        <w:rPr>
          <w:lang w:val="bg-BG"/>
        </w:rPr>
        <w:t>“ допълва тази перспектива, като показва, че качеството не може да бъде поддържано устойчиво, ако професионалният капацитет е оставен само на индивидуално равнище [6].</w:t>
      </w:r>
    </w:p>
    <w:p w14:paraId="781F8464" w14:textId="77777777" w:rsidR="00AB5A14" w:rsidRPr="006D5B85" w:rsidRDefault="00000000" w:rsidP="000962AE">
      <w:pPr>
        <w:ind w:firstLine="562"/>
        <w:rPr>
          <w:lang w:val="bg-BG"/>
        </w:rPr>
      </w:pPr>
      <w:r w:rsidRPr="006D5B85">
        <w:rPr>
          <w:lang w:val="bg-BG"/>
        </w:rPr>
        <w:t>Оттук произтича и по-широкото значение на професионалната компетентност. Тя е едновременно индивидуална способност и продукт на професионална среда. Когато системата осигурява ясни очаквания, подкрепа, възможности за учене и сътрудничество, компетентността има по-голям шанс да се превърне в устойчиво качество на практиката. Когато тези условия отсъстват, дори добре подготвените специалисти работят в среда, която ограничава възможностите им.</w:t>
      </w:r>
    </w:p>
    <w:p w14:paraId="6C26E5E3" w14:textId="47833FA6" w:rsidR="00AB5A14" w:rsidRPr="006D5B85" w:rsidRDefault="00000000" w:rsidP="000962AE">
      <w:pPr>
        <w:ind w:firstLine="562"/>
        <w:rPr>
          <w:lang w:val="bg-BG"/>
        </w:rPr>
      </w:pPr>
      <w:r w:rsidRPr="006D5B85">
        <w:rPr>
          <w:lang w:val="bg-BG"/>
        </w:rPr>
        <w:t>Така въпросът „</w:t>
      </w:r>
      <w:r w:rsidR="006D5B85">
        <w:rPr>
          <w:lang w:val="bg-BG"/>
        </w:rPr>
        <w:t>К</w:t>
      </w:r>
      <w:r w:rsidRPr="006D5B85">
        <w:rPr>
          <w:lang w:val="bg-BG"/>
        </w:rPr>
        <w:t xml:space="preserve">ак да повишим качеството?“ не може да получи еднопосочен отговор. Необходимо е едновременно да се работи по структурните условия, по професионалната подготовка и развитие, по управлението и координацията, както и по механизмите за наблюдение и използване на </w:t>
      </w:r>
      <w:r w:rsidR="006D5B85">
        <w:rPr>
          <w:lang w:val="bg-BG"/>
        </w:rPr>
        <w:t xml:space="preserve">мониторингови </w:t>
      </w:r>
      <w:r w:rsidRPr="006D5B85">
        <w:rPr>
          <w:lang w:val="bg-BG"/>
        </w:rPr>
        <w:t>данни. Именно съгласуваността между тези равнища определя дали една система разполага само с отделни качествени елементи или функционира като среда, способна устойчиво да подкрепя развитието на всяко дете.</w:t>
      </w:r>
    </w:p>
    <w:p w14:paraId="2B4E3585" w14:textId="77777777" w:rsidR="00AB5A14" w:rsidRPr="00A3326A" w:rsidRDefault="000962AE" w:rsidP="000962AE">
      <w:pPr>
        <w:spacing w:before="160" w:after="80"/>
        <w:ind w:firstLine="562"/>
        <w:jc w:val="left"/>
        <w:rPr>
          <w:lang w:val="bg-BG"/>
        </w:rPr>
      </w:pPr>
      <w:r w:rsidRPr="00A3326A">
        <w:rPr>
          <w:b/>
          <w:lang w:val="bg-BG"/>
        </w:rPr>
        <w:t xml:space="preserve">Заключение </w:t>
      </w:r>
    </w:p>
    <w:p w14:paraId="1068D0D2" w14:textId="77777777" w:rsidR="00AA7799" w:rsidRPr="00AA7799" w:rsidRDefault="00AA7799" w:rsidP="00AA7799">
      <w:pPr>
        <w:ind w:firstLine="562"/>
        <w:rPr>
          <w:lang w:val="bg-BG"/>
        </w:rPr>
      </w:pPr>
      <w:r w:rsidRPr="00AA7799">
        <w:rPr>
          <w:lang w:val="bg-BG"/>
        </w:rPr>
        <w:t>Анализът показва, че макар качеството и професионалната компетентност в ОГРДВ да са концептуално обвързани, те притежават различен обхват и не са взаимозаменяеми характеристики на системата. Качеството се разгръща в структурно, процесно и резултатно измерение, като именно процесното показва начина, по който нормативните, финансовите и организационните условия се трансформират в реална педагогическа практика. Структурните предпоставки са базисна необходимост, но самото им наличие не гарантира автоматично високо качество на взаимодействията.</w:t>
      </w:r>
    </w:p>
    <w:p w14:paraId="5743C3AA" w14:textId="2F2A9A29" w:rsidR="00AA7799" w:rsidRPr="00AA7799" w:rsidRDefault="00AA7799" w:rsidP="00AA7799">
      <w:pPr>
        <w:ind w:firstLine="562"/>
        <w:rPr>
          <w:lang w:val="bg-BG"/>
        </w:rPr>
      </w:pPr>
      <w:r w:rsidRPr="00AA7799">
        <w:rPr>
          <w:lang w:val="bg-BG"/>
        </w:rPr>
        <w:t xml:space="preserve">Професионалната компетентност е едно от основните условия за качеството на педагогическата практика, но не може да бъде разглеждана </w:t>
      </w:r>
      <w:r w:rsidRPr="00AA7799">
        <w:rPr>
          <w:lang w:val="bg-BG"/>
        </w:rPr>
        <w:lastRenderedPageBreak/>
        <w:t>като индивидуален ресурс, достатъчен сам по себе си. Тя включва знания, умения, практически опит, рефлексивност, разбиране на детското развитие, способност за индивидуализирана подкрепа, взаимодействие със семействата и работа в екип. Устойчивото ѝ развитие предполага професионална среда, в която са налични наставничество, обратна връзка, сътрудничество и възможности за продължаващо учене.</w:t>
      </w:r>
    </w:p>
    <w:p w14:paraId="5DB62BCB" w14:textId="77777777" w:rsidR="00AA7799" w:rsidRPr="00AA7799" w:rsidRDefault="00AA7799" w:rsidP="00AA7799">
      <w:pPr>
        <w:ind w:firstLine="562"/>
        <w:rPr>
          <w:lang w:val="bg-BG"/>
        </w:rPr>
      </w:pPr>
      <w:r w:rsidRPr="00AA7799">
        <w:rPr>
          <w:lang w:val="bg-BG"/>
        </w:rPr>
        <w:t>Системните условия имат не само поддържаща, но и формираща функция. Управлението, финансирането, институционалната координация, професионалните стандарти и оценяването определят рамката, в която компетентността може да бъде реализирана. Поради това политиките за качество следва да избягват както свеждането му до инфраструктурни и количествени показатели, така и прехвърлянето на системната отговорност върху отделния специалист.</w:t>
      </w:r>
    </w:p>
    <w:p w14:paraId="30BAFF30" w14:textId="77777777" w:rsidR="00AA7799" w:rsidRPr="00AA7799" w:rsidRDefault="00AA7799" w:rsidP="00AA7799">
      <w:pPr>
        <w:ind w:firstLine="562"/>
        <w:rPr>
          <w:lang w:val="bg-BG"/>
        </w:rPr>
      </w:pPr>
      <w:r w:rsidRPr="00AA7799">
        <w:rPr>
          <w:lang w:val="bg-BG"/>
        </w:rPr>
        <w:t>В българския контекст тази постановка придобива допълнителна значимост поради институционалното разделение между детските ясли и предучилищното образование. Необходимостта не е непременно от един-единствен институционален модел, а от по-добра съгласуваност между професионалните изисквания, управленските механизми и практиките за подкрепа на детето и семейството. В този смисъл координацията следва да се разбира като инфраструктура на качеството.</w:t>
      </w:r>
    </w:p>
    <w:p w14:paraId="10DC9242" w14:textId="20B45554" w:rsidR="00AA7799" w:rsidRPr="00AA7799" w:rsidRDefault="00AA7799" w:rsidP="00AA7799">
      <w:pPr>
        <w:ind w:firstLine="562"/>
        <w:rPr>
          <w:lang w:val="bg-BG"/>
        </w:rPr>
      </w:pPr>
      <w:r>
        <w:rPr>
          <w:lang w:val="bg-BG"/>
        </w:rPr>
        <w:t>У</w:t>
      </w:r>
      <w:r w:rsidRPr="00AA7799">
        <w:rPr>
          <w:lang w:val="bg-BG"/>
        </w:rPr>
        <w:t>стойчивото качество в ОГРДВ е процес на взаимно обусловено развитие. То възниква не от единична инвестиция, квалификация или контролна процедура, а от взаимодействието между нормативна рамка, ресурси, управление, професионален капацитет, педагогическа практика, оценяване и равен достъп. Тази взаимовръзка придобива особено значение предвид спецификата на ранното детство като период на интензивно и многопосочно развитие:</w:t>
      </w:r>
    </w:p>
    <w:p w14:paraId="78E39BD4" w14:textId="254A5352" w:rsidR="00AA7799" w:rsidRPr="00AA7799" w:rsidRDefault="00AA7799" w:rsidP="00AA7799">
      <w:pPr>
        <w:ind w:firstLine="562"/>
        <w:rPr>
          <w:lang w:val="bg-BG"/>
        </w:rPr>
      </w:pPr>
      <w:r w:rsidRPr="0075721C">
        <w:rPr>
          <w:lang w:val="bg-BG"/>
        </w:rPr>
        <w:t>Ранното детство е период, преминаващ под бързото развитие на психическите, физическите, социалните, когнитивните и емоционално-поведенческите умения при децата. Обединяването на усилия в образованието, грижата, здравословното състояние и социалното включване е динамичен процес в живота на всеки индивид, водещ до формиране на умения и знания. Тяхното надграждане дава възможности за развитието на децата от ранна детска възраст. В по-късен етап води до изграждането на успешен възрастен</w:t>
      </w:r>
      <w:r>
        <w:rPr>
          <w:lang w:val="bg-BG"/>
        </w:rPr>
        <w:t xml:space="preserve"> </w:t>
      </w:r>
      <w:r w:rsidRPr="006D5B85">
        <w:rPr>
          <w:lang w:val="bg-BG"/>
        </w:rPr>
        <w:t>[</w:t>
      </w:r>
      <w:r w:rsidR="0075721C">
        <w:rPr>
          <w:lang w:val="bg-BG"/>
        </w:rPr>
        <w:t>11</w:t>
      </w:r>
      <w:r w:rsidRPr="006D5B85">
        <w:rPr>
          <w:lang w:val="bg-BG"/>
        </w:rPr>
        <w:t>]</w:t>
      </w:r>
      <w:r w:rsidRPr="00AA7799">
        <w:rPr>
          <w:lang w:val="bg-BG"/>
        </w:rPr>
        <w:t>.</w:t>
      </w:r>
    </w:p>
    <w:p w14:paraId="3F3B8A05" w14:textId="0895F33C" w:rsidR="00AB5A14" w:rsidRPr="00AA7799" w:rsidRDefault="00AA7799" w:rsidP="00AA7799">
      <w:pPr>
        <w:ind w:firstLine="562"/>
        <w:rPr>
          <w:lang w:val="bg-BG"/>
        </w:rPr>
      </w:pPr>
      <w:r w:rsidRPr="00AA7799">
        <w:rPr>
          <w:lang w:val="bg-BG"/>
        </w:rPr>
        <w:t>Именно тази особеност на ранното детство обосновава необходимостта качеството да се разбира не като еднократно постигнато състояние, а като способност на системата непрекъснато да учи, да се коригира и да подобрява условията за развитие и благополучие на детето.</w:t>
      </w:r>
    </w:p>
    <w:p w14:paraId="7AC87586" w14:textId="77777777" w:rsidR="008A25B3" w:rsidRDefault="008A25B3" w:rsidP="00774970">
      <w:pPr>
        <w:rPr>
          <w:b/>
          <w:lang w:val="bg-BG"/>
        </w:rPr>
      </w:pPr>
    </w:p>
    <w:p w14:paraId="156F7D9A" w14:textId="77777777" w:rsidR="008A25B3" w:rsidRPr="008A25B3" w:rsidRDefault="008A25B3" w:rsidP="008A25B3">
      <w:pPr>
        <w:ind w:firstLine="562"/>
        <w:rPr>
          <w:b/>
        </w:rPr>
      </w:pPr>
      <w:proofErr w:type="spellStart"/>
      <w:r w:rsidRPr="008A25B3">
        <w:rPr>
          <w:b/>
        </w:rPr>
        <w:t>Благодарности</w:t>
      </w:r>
      <w:proofErr w:type="spellEnd"/>
      <w:r w:rsidRPr="008A25B3">
        <w:rPr>
          <w:b/>
        </w:rPr>
        <w:t xml:space="preserve"> и </w:t>
      </w:r>
      <w:proofErr w:type="spellStart"/>
      <w:r w:rsidRPr="008A25B3">
        <w:rPr>
          <w:b/>
        </w:rPr>
        <w:t>финансиране</w:t>
      </w:r>
      <w:proofErr w:type="spellEnd"/>
    </w:p>
    <w:p w14:paraId="71324925" w14:textId="77777777" w:rsidR="008A25B3" w:rsidRPr="008A25B3" w:rsidRDefault="008A25B3" w:rsidP="008A25B3">
      <w:pPr>
        <w:ind w:firstLine="562"/>
        <w:rPr>
          <w:bCs/>
          <w:lang w:val="bg-BG"/>
        </w:rPr>
      </w:pPr>
      <w:r w:rsidRPr="008A25B3">
        <w:rPr>
          <w:bCs/>
          <w:lang w:val="bg-BG"/>
        </w:rPr>
        <w:t>Тази публикация е финансирана по Национална научна програма „Развитие на научните изследвания и иновациите в областта на българското предучилищно и училищно образование“. Авторът носи цялата отговорност за съдържанието на настоящия документ и при никакви обстоятелства той не може да се приеме като официална позиция на Института по образование.</w:t>
      </w:r>
    </w:p>
    <w:p w14:paraId="3AFA27F9" w14:textId="77777777" w:rsidR="008A25B3" w:rsidRDefault="008A25B3" w:rsidP="00774970">
      <w:pPr>
        <w:rPr>
          <w:b/>
          <w:lang w:val="bg-BG"/>
        </w:rPr>
      </w:pPr>
    </w:p>
    <w:p w14:paraId="03EF7366" w14:textId="77777777" w:rsidR="000E1C05" w:rsidRPr="0075721C" w:rsidRDefault="00000000" w:rsidP="008A25B3">
      <w:pPr>
        <w:ind w:firstLine="562"/>
        <w:jc w:val="left"/>
        <w:rPr>
          <w:szCs w:val="28"/>
        </w:rPr>
      </w:pPr>
      <w:r w:rsidRPr="0075721C">
        <w:rPr>
          <w:b/>
          <w:szCs w:val="28"/>
        </w:rPr>
        <w:t>БЕЛЕЖКИ</w:t>
      </w:r>
    </w:p>
    <w:p w14:paraId="142AB898" w14:textId="77777777" w:rsidR="000E1C05" w:rsidRPr="0075721C" w:rsidRDefault="00000000" w:rsidP="0075721C">
      <w:pPr>
        <w:ind w:firstLine="562"/>
        <w:rPr>
          <w:szCs w:val="28"/>
        </w:rPr>
      </w:pPr>
      <w:r w:rsidRPr="0075721C">
        <w:rPr>
          <w:szCs w:val="28"/>
        </w:rPr>
        <w:t>[1] SLOT, Pauline. Structural characteristics and process quality in early childhood education and care: A literature review. OECD Education Working Papers, no. 176. Paris: OECD Publishing, 2018.</w:t>
      </w:r>
    </w:p>
    <w:p w14:paraId="45F85CF6" w14:textId="77777777" w:rsidR="000E1C05" w:rsidRPr="0075721C" w:rsidRDefault="00000000" w:rsidP="0075721C">
      <w:pPr>
        <w:ind w:firstLine="562"/>
        <w:rPr>
          <w:szCs w:val="28"/>
        </w:rPr>
      </w:pPr>
      <w:r w:rsidRPr="0075721C">
        <w:rPr>
          <w:szCs w:val="28"/>
        </w:rPr>
        <w:t>[2] OECD. Quality Toolbox. In: Starting Strong III: A Quality Toolbox for Early Childhood Education and Care. Paris: OECD Publishing, 2012.</w:t>
      </w:r>
    </w:p>
    <w:p w14:paraId="6413169E" w14:textId="77777777" w:rsidR="000E1C05" w:rsidRPr="0075721C" w:rsidRDefault="00000000" w:rsidP="0075721C">
      <w:pPr>
        <w:ind w:firstLine="562"/>
        <w:rPr>
          <w:szCs w:val="28"/>
        </w:rPr>
      </w:pPr>
      <w:r w:rsidRPr="0075721C">
        <w:rPr>
          <w:szCs w:val="28"/>
        </w:rPr>
        <w:t>[3] COUNCIL OF THE EUROPEAN UNION. Council Recommendation of 22 May 2019 on High-Quality Early Childhood Education and Care Systems. Official Journal of the European Union, C 189, pp. 4–14, 2019.</w:t>
      </w:r>
    </w:p>
    <w:p w14:paraId="4B578FA7" w14:textId="77777777" w:rsidR="000E1C05" w:rsidRPr="0075721C" w:rsidRDefault="00000000" w:rsidP="0075721C">
      <w:pPr>
        <w:ind w:firstLine="562"/>
        <w:rPr>
          <w:szCs w:val="28"/>
        </w:rPr>
      </w:pPr>
      <w:r w:rsidRPr="0075721C">
        <w:rPr>
          <w:szCs w:val="28"/>
        </w:rPr>
        <w:t>[4] HARMS, Thelma, Richard M. CLIFFORD and Debby CRYER. Early Childhood Environment Rating Scale. Third Edition (ECERS-3). New York: Teachers College Press, 2015.</w:t>
      </w:r>
    </w:p>
    <w:p w14:paraId="792ED4DA" w14:textId="77777777" w:rsidR="000E1C05" w:rsidRPr="0075721C" w:rsidRDefault="00000000" w:rsidP="0075721C">
      <w:pPr>
        <w:ind w:firstLine="562"/>
        <w:rPr>
          <w:szCs w:val="28"/>
        </w:rPr>
      </w:pPr>
      <w:r w:rsidRPr="0075721C">
        <w:rPr>
          <w:szCs w:val="28"/>
        </w:rPr>
        <w:t>[5] HARMS, Thelma, Debby CRYER, Richard M. CLIFFORD and Noreen YAZEJIAN. Infant/Toddler Environment Rating Scale. Third Edition (ITERS-3). New York: Teachers College Press, 2017.</w:t>
      </w:r>
    </w:p>
    <w:p w14:paraId="14A8B193" w14:textId="77777777" w:rsidR="000E1C05" w:rsidRPr="0075721C" w:rsidRDefault="00000000" w:rsidP="0075721C">
      <w:pPr>
        <w:ind w:firstLine="562"/>
        <w:rPr>
          <w:szCs w:val="28"/>
        </w:rPr>
      </w:pPr>
      <w:r w:rsidRPr="0075721C">
        <w:rPr>
          <w:szCs w:val="28"/>
        </w:rPr>
        <w:t>[6] URBAN, Mathias, Michel VANDENBROECK, Koen VAN LAERE, Anamaria LAZZARI and Jan PEETERS. Competence Requirements in Early Childhood Education and Care. Final Report. Brussels: European Commission, 2011. DOI: 10.2766/38368.</w:t>
      </w:r>
    </w:p>
    <w:p w14:paraId="26B109FA" w14:textId="77777777" w:rsidR="000E1C05" w:rsidRPr="0075721C" w:rsidRDefault="00000000" w:rsidP="0075721C">
      <w:pPr>
        <w:ind w:firstLine="562"/>
        <w:rPr>
          <w:szCs w:val="28"/>
        </w:rPr>
      </w:pPr>
      <w:r w:rsidRPr="0075721C">
        <w:rPr>
          <w:szCs w:val="28"/>
        </w:rPr>
        <w:t>[7] FUKKINK, Ruben G. and Anke LONT. Does training matter? A meta-analysis and review of caregiver training studies. Early Childhood Research Quarterly, vol. 22, no. 3, pp. 294–311, 2007. DOI: 10.1016/j.ecresq.2007.04.005.</w:t>
      </w:r>
    </w:p>
    <w:p w14:paraId="70D890C9" w14:textId="48184794" w:rsidR="000E1C05" w:rsidRPr="0075721C" w:rsidRDefault="00000000" w:rsidP="0075721C">
      <w:pPr>
        <w:ind w:firstLine="562"/>
        <w:rPr>
          <w:szCs w:val="28"/>
          <w:lang w:val="bg-BG"/>
        </w:rPr>
      </w:pPr>
      <w:r w:rsidRPr="0075721C">
        <w:rPr>
          <w:szCs w:val="28"/>
        </w:rPr>
        <w:t xml:space="preserve">[8] </w:t>
      </w:r>
      <w:r w:rsidRPr="0075721C">
        <w:rPr>
          <w:szCs w:val="28"/>
          <w:lang w:val="bg-BG"/>
        </w:rPr>
        <w:t>Министерство на здравеопазването. Наредба № 26 от 18 ноември 2008 г. за устройството и дейността на детските ясли и детските кухни и здравните изисквания към тях.</w:t>
      </w:r>
    </w:p>
    <w:p w14:paraId="3F376E79" w14:textId="677AD89A" w:rsidR="000E1C05" w:rsidRPr="0075721C" w:rsidRDefault="00000000" w:rsidP="0075721C">
      <w:pPr>
        <w:ind w:firstLine="562"/>
        <w:rPr>
          <w:szCs w:val="28"/>
          <w:lang w:val="bg-BG"/>
        </w:rPr>
      </w:pPr>
      <w:r w:rsidRPr="0075721C">
        <w:rPr>
          <w:szCs w:val="28"/>
        </w:rPr>
        <w:t xml:space="preserve">[9] </w:t>
      </w:r>
      <w:r w:rsidRPr="0075721C">
        <w:rPr>
          <w:szCs w:val="28"/>
          <w:lang w:val="bg-BG"/>
        </w:rPr>
        <w:t>Закон за предучилищното и училищното образование. Държавен вестник, бр. 79, 2015, с последващи изменения и допълнения.</w:t>
      </w:r>
    </w:p>
    <w:p w14:paraId="4C95F0BF" w14:textId="26B4D32E" w:rsidR="000E1C05" w:rsidRPr="0075721C" w:rsidRDefault="00000000" w:rsidP="0075721C">
      <w:pPr>
        <w:ind w:firstLine="562"/>
        <w:rPr>
          <w:szCs w:val="28"/>
          <w:lang w:val="bg-BG"/>
        </w:rPr>
      </w:pPr>
      <w:r w:rsidRPr="0075721C">
        <w:rPr>
          <w:szCs w:val="28"/>
          <w:lang w:val="bg-BG"/>
        </w:rPr>
        <w:t>[10]</w:t>
      </w:r>
      <w:r w:rsidR="008A25B3" w:rsidRPr="0075721C">
        <w:rPr>
          <w:szCs w:val="28"/>
          <w:lang w:val="bg-BG"/>
        </w:rPr>
        <w:t xml:space="preserve"> </w:t>
      </w:r>
      <w:r w:rsidRPr="0075721C">
        <w:rPr>
          <w:szCs w:val="28"/>
          <w:lang w:val="bg-BG"/>
        </w:rPr>
        <w:t>Министерство на образованието и науката. Наредба № 5 от 3 юни 2016 г. за предучилищното образование.</w:t>
      </w:r>
    </w:p>
    <w:p w14:paraId="4EFC6748" w14:textId="6BAA941D" w:rsidR="00AA7799" w:rsidRPr="0075721C" w:rsidRDefault="00AA7799" w:rsidP="0075721C">
      <w:pPr>
        <w:ind w:firstLine="562"/>
        <w:rPr>
          <w:szCs w:val="28"/>
          <w:lang w:val="bg-BG"/>
        </w:rPr>
      </w:pPr>
      <w:r w:rsidRPr="0075721C">
        <w:rPr>
          <w:szCs w:val="28"/>
          <w:lang w:val="bg-BG"/>
        </w:rPr>
        <w:t>[</w:t>
      </w:r>
      <w:r w:rsidR="0075721C" w:rsidRPr="0075721C">
        <w:rPr>
          <w:szCs w:val="28"/>
          <w:lang w:val="bg-BG"/>
        </w:rPr>
        <w:t>11</w:t>
      </w:r>
      <w:r w:rsidRPr="0075721C">
        <w:rPr>
          <w:szCs w:val="28"/>
          <w:lang w:val="bg-BG"/>
        </w:rPr>
        <w:t>]</w:t>
      </w:r>
      <w:r w:rsidRPr="0075721C">
        <w:rPr>
          <w:szCs w:val="28"/>
          <w:lang w:val="bg-BG"/>
        </w:rPr>
        <w:t xml:space="preserve"> ЦАНЕВА, Й. </w:t>
      </w:r>
      <w:r w:rsidRPr="0075721C">
        <w:rPr>
          <w:szCs w:val="28"/>
          <w:lang w:val="bg-BG"/>
        </w:rPr>
        <w:t xml:space="preserve">Приложение на дейностите по избор в логопедичната практика при децата от ранна детска възраст - Сб. От свободата на избора до щастливото детство. Велико Търново: </w:t>
      </w:r>
      <w:proofErr w:type="spellStart"/>
      <w:r w:rsidRPr="0075721C">
        <w:rPr>
          <w:szCs w:val="28"/>
          <w:lang w:val="bg-BG"/>
        </w:rPr>
        <w:t>Унив</w:t>
      </w:r>
      <w:proofErr w:type="spellEnd"/>
      <w:r w:rsidRPr="0075721C">
        <w:rPr>
          <w:szCs w:val="28"/>
          <w:lang w:val="bg-BG"/>
        </w:rPr>
        <w:t>. издателство „Св. св. Кирил и Методий“, с. 137 – 149</w:t>
      </w:r>
      <w:r w:rsidR="0075721C" w:rsidRPr="0075721C">
        <w:rPr>
          <w:szCs w:val="28"/>
          <w:lang w:val="bg-BG"/>
        </w:rPr>
        <w:t xml:space="preserve"> (254)</w:t>
      </w:r>
      <w:r w:rsidRPr="0075721C">
        <w:rPr>
          <w:szCs w:val="28"/>
          <w:lang w:val="bg-BG"/>
        </w:rPr>
        <w:t xml:space="preserve">. </w:t>
      </w:r>
    </w:p>
    <w:p w14:paraId="2EA79664" w14:textId="77777777" w:rsidR="008A25B3" w:rsidRPr="0075721C" w:rsidRDefault="008A25B3" w:rsidP="0075721C">
      <w:pPr>
        <w:ind w:firstLine="562"/>
        <w:rPr>
          <w:szCs w:val="28"/>
          <w:lang w:val="bg-BG"/>
        </w:rPr>
      </w:pPr>
    </w:p>
    <w:p w14:paraId="2F41B298" w14:textId="77777777" w:rsidR="000E1C05" w:rsidRPr="0075721C" w:rsidRDefault="00000000" w:rsidP="008A25B3">
      <w:pPr>
        <w:ind w:firstLine="562"/>
        <w:jc w:val="left"/>
        <w:rPr>
          <w:szCs w:val="28"/>
        </w:rPr>
      </w:pPr>
      <w:r w:rsidRPr="0075721C">
        <w:rPr>
          <w:b/>
          <w:szCs w:val="28"/>
        </w:rPr>
        <w:t>ЛИТЕРАТУРА</w:t>
      </w:r>
    </w:p>
    <w:p w14:paraId="066D3795" w14:textId="31958F5F" w:rsidR="000E1C05" w:rsidRPr="0075721C" w:rsidRDefault="00000000" w:rsidP="00083967">
      <w:pPr>
        <w:ind w:firstLine="562"/>
        <w:rPr>
          <w:szCs w:val="28"/>
          <w:lang w:val="bg-BG"/>
        </w:rPr>
      </w:pPr>
      <w:r w:rsidRPr="0075721C">
        <w:rPr>
          <w:szCs w:val="28"/>
          <w:lang w:val="bg-BG"/>
        </w:rPr>
        <w:t>Закон за предучилищното и училищното образование. Държавен вестник, бр. 79, 2015, с последващи изменения и допълнения.</w:t>
      </w:r>
    </w:p>
    <w:p w14:paraId="26F9F1BF" w14:textId="51A9F040" w:rsidR="000E1C05" w:rsidRPr="0075721C" w:rsidRDefault="00000000" w:rsidP="00083967">
      <w:pPr>
        <w:ind w:firstLine="562"/>
        <w:rPr>
          <w:szCs w:val="28"/>
          <w:lang w:val="bg-BG"/>
        </w:rPr>
      </w:pPr>
      <w:r w:rsidRPr="0075721C">
        <w:rPr>
          <w:szCs w:val="28"/>
          <w:lang w:val="bg-BG"/>
        </w:rPr>
        <w:t>Министерство на здравеопазването. Наредба № 26 от 18 ноември 2008 г. за устройството и дейността на детските ясли и детските кухни и здравните изисквания към тях.</w:t>
      </w:r>
    </w:p>
    <w:p w14:paraId="5DBC0314" w14:textId="7F729EB0" w:rsidR="000E1C05" w:rsidRPr="0075721C" w:rsidRDefault="00000000" w:rsidP="00083967">
      <w:pPr>
        <w:ind w:firstLine="562"/>
        <w:rPr>
          <w:szCs w:val="28"/>
          <w:lang w:val="bg-BG"/>
        </w:rPr>
      </w:pPr>
      <w:r w:rsidRPr="0075721C">
        <w:rPr>
          <w:szCs w:val="28"/>
          <w:lang w:val="bg-BG"/>
        </w:rPr>
        <w:t>Министерство на</w:t>
      </w:r>
      <w:r w:rsidRPr="0075721C">
        <w:rPr>
          <w:szCs w:val="28"/>
        </w:rPr>
        <w:t xml:space="preserve"> образованието и науката. Наредба № 5 от 3 юни 2016 г. </w:t>
      </w:r>
      <w:proofErr w:type="spellStart"/>
      <w:r w:rsidRPr="0075721C">
        <w:rPr>
          <w:szCs w:val="28"/>
        </w:rPr>
        <w:t>за</w:t>
      </w:r>
      <w:proofErr w:type="spellEnd"/>
      <w:r w:rsidRPr="0075721C">
        <w:rPr>
          <w:szCs w:val="28"/>
        </w:rPr>
        <w:t xml:space="preserve"> </w:t>
      </w:r>
      <w:proofErr w:type="spellStart"/>
      <w:r w:rsidRPr="0075721C">
        <w:rPr>
          <w:szCs w:val="28"/>
        </w:rPr>
        <w:t>предучилищното</w:t>
      </w:r>
      <w:proofErr w:type="spellEnd"/>
      <w:r w:rsidRPr="0075721C">
        <w:rPr>
          <w:szCs w:val="28"/>
        </w:rPr>
        <w:t xml:space="preserve"> </w:t>
      </w:r>
      <w:proofErr w:type="spellStart"/>
      <w:r w:rsidRPr="0075721C">
        <w:rPr>
          <w:szCs w:val="28"/>
        </w:rPr>
        <w:t>образование</w:t>
      </w:r>
      <w:proofErr w:type="spellEnd"/>
      <w:r w:rsidRPr="0075721C">
        <w:rPr>
          <w:szCs w:val="28"/>
        </w:rPr>
        <w:t>.</w:t>
      </w:r>
    </w:p>
    <w:p w14:paraId="31D597C7" w14:textId="4446D378" w:rsidR="0075721C" w:rsidRPr="0075721C" w:rsidRDefault="0075721C" w:rsidP="00083967">
      <w:pPr>
        <w:ind w:firstLine="562"/>
        <w:rPr>
          <w:szCs w:val="28"/>
          <w:lang w:val="bg-BG"/>
        </w:rPr>
      </w:pPr>
      <w:r w:rsidRPr="0075721C">
        <w:rPr>
          <w:szCs w:val="28"/>
          <w:lang w:val="bg-BG"/>
        </w:rPr>
        <w:t xml:space="preserve">ЦАНЕВА, Й. </w:t>
      </w:r>
      <w:proofErr w:type="spellStart"/>
      <w:r w:rsidRPr="0075721C">
        <w:rPr>
          <w:szCs w:val="28"/>
        </w:rPr>
        <w:t>Приложение</w:t>
      </w:r>
      <w:proofErr w:type="spellEnd"/>
      <w:r w:rsidRPr="0075721C">
        <w:rPr>
          <w:szCs w:val="28"/>
        </w:rPr>
        <w:t xml:space="preserve"> </w:t>
      </w:r>
      <w:proofErr w:type="spellStart"/>
      <w:r w:rsidRPr="0075721C">
        <w:rPr>
          <w:szCs w:val="28"/>
        </w:rPr>
        <w:t>на</w:t>
      </w:r>
      <w:proofErr w:type="spellEnd"/>
      <w:r w:rsidRPr="0075721C">
        <w:rPr>
          <w:szCs w:val="28"/>
        </w:rPr>
        <w:t xml:space="preserve"> </w:t>
      </w:r>
      <w:proofErr w:type="spellStart"/>
      <w:r w:rsidRPr="0075721C">
        <w:rPr>
          <w:szCs w:val="28"/>
        </w:rPr>
        <w:t>дейностите</w:t>
      </w:r>
      <w:proofErr w:type="spellEnd"/>
      <w:r w:rsidRPr="0075721C">
        <w:rPr>
          <w:szCs w:val="28"/>
        </w:rPr>
        <w:t xml:space="preserve"> </w:t>
      </w:r>
      <w:proofErr w:type="spellStart"/>
      <w:r w:rsidRPr="0075721C">
        <w:rPr>
          <w:szCs w:val="28"/>
        </w:rPr>
        <w:t>по</w:t>
      </w:r>
      <w:proofErr w:type="spellEnd"/>
      <w:r w:rsidRPr="0075721C">
        <w:rPr>
          <w:szCs w:val="28"/>
        </w:rPr>
        <w:t xml:space="preserve"> </w:t>
      </w:r>
      <w:proofErr w:type="spellStart"/>
      <w:r w:rsidRPr="0075721C">
        <w:rPr>
          <w:szCs w:val="28"/>
        </w:rPr>
        <w:t>избор</w:t>
      </w:r>
      <w:proofErr w:type="spellEnd"/>
      <w:r w:rsidRPr="0075721C">
        <w:rPr>
          <w:szCs w:val="28"/>
        </w:rPr>
        <w:t xml:space="preserve"> в </w:t>
      </w:r>
      <w:proofErr w:type="spellStart"/>
      <w:r w:rsidRPr="0075721C">
        <w:rPr>
          <w:szCs w:val="28"/>
        </w:rPr>
        <w:t>логопедичната</w:t>
      </w:r>
      <w:proofErr w:type="spellEnd"/>
      <w:r w:rsidRPr="0075721C">
        <w:rPr>
          <w:szCs w:val="28"/>
        </w:rPr>
        <w:t xml:space="preserve"> </w:t>
      </w:r>
      <w:proofErr w:type="spellStart"/>
      <w:r w:rsidRPr="0075721C">
        <w:rPr>
          <w:szCs w:val="28"/>
        </w:rPr>
        <w:t>практика</w:t>
      </w:r>
      <w:proofErr w:type="spellEnd"/>
      <w:r w:rsidRPr="0075721C">
        <w:rPr>
          <w:szCs w:val="28"/>
        </w:rPr>
        <w:t xml:space="preserve"> </w:t>
      </w:r>
      <w:proofErr w:type="spellStart"/>
      <w:r w:rsidRPr="0075721C">
        <w:rPr>
          <w:szCs w:val="28"/>
        </w:rPr>
        <w:t>при</w:t>
      </w:r>
      <w:proofErr w:type="spellEnd"/>
      <w:r w:rsidRPr="0075721C">
        <w:rPr>
          <w:szCs w:val="28"/>
        </w:rPr>
        <w:t xml:space="preserve"> </w:t>
      </w:r>
      <w:proofErr w:type="spellStart"/>
      <w:r w:rsidRPr="0075721C">
        <w:rPr>
          <w:szCs w:val="28"/>
        </w:rPr>
        <w:t>децата</w:t>
      </w:r>
      <w:proofErr w:type="spellEnd"/>
      <w:r w:rsidRPr="0075721C">
        <w:rPr>
          <w:szCs w:val="28"/>
        </w:rPr>
        <w:t xml:space="preserve"> </w:t>
      </w:r>
      <w:proofErr w:type="spellStart"/>
      <w:r w:rsidRPr="0075721C">
        <w:rPr>
          <w:szCs w:val="28"/>
        </w:rPr>
        <w:t>от</w:t>
      </w:r>
      <w:proofErr w:type="spellEnd"/>
      <w:r w:rsidRPr="0075721C">
        <w:rPr>
          <w:szCs w:val="28"/>
        </w:rPr>
        <w:t xml:space="preserve"> </w:t>
      </w:r>
      <w:proofErr w:type="spellStart"/>
      <w:r w:rsidRPr="0075721C">
        <w:rPr>
          <w:szCs w:val="28"/>
        </w:rPr>
        <w:t>ранна</w:t>
      </w:r>
      <w:proofErr w:type="spellEnd"/>
      <w:r w:rsidRPr="0075721C">
        <w:rPr>
          <w:szCs w:val="28"/>
        </w:rPr>
        <w:t xml:space="preserve"> </w:t>
      </w:r>
      <w:proofErr w:type="spellStart"/>
      <w:r w:rsidRPr="0075721C">
        <w:rPr>
          <w:szCs w:val="28"/>
        </w:rPr>
        <w:t>детска</w:t>
      </w:r>
      <w:proofErr w:type="spellEnd"/>
      <w:r w:rsidRPr="0075721C">
        <w:rPr>
          <w:szCs w:val="28"/>
        </w:rPr>
        <w:t xml:space="preserve"> </w:t>
      </w:r>
      <w:proofErr w:type="spellStart"/>
      <w:r w:rsidRPr="0075721C">
        <w:rPr>
          <w:szCs w:val="28"/>
        </w:rPr>
        <w:t>възраст</w:t>
      </w:r>
      <w:proofErr w:type="spellEnd"/>
      <w:r w:rsidRPr="0075721C">
        <w:rPr>
          <w:szCs w:val="28"/>
        </w:rPr>
        <w:t xml:space="preserve"> - </w:t>
      </w:r>
      <w:proofErr w:type="spellStart"/>
      <w:r w:rsidRPr="0075721C">
        <w:rPr>
          <w:szCs w:val="28"/>
        </w:rPr>
        <w:t>Сб</w:t>
      </w:r>
      <w:proofErr w:type="spellEnd"/>
      <w:r w:rsidRPr="0075721C">
        <w:rPr>
          <w:szCs w:val="28"/>
        </w:rPr>
        <w:t xml:space="preserve">. </w:t>
      </w:r>
      <w:proofErr w:type="spellStart"/>
      <w:r w:rsidRPr="0075721C">
        <w:rPr>
          <w:szCs w:val="28"/>
        </w:rPr>
        <w:t>От</w:t>
      </w:r>
      <w:proofErr w:type="spellEnd"/>
      <w:r w:rsidRPr="0075721C">
        <w:rPr>
          <w:szCs w:val="28"/>
        </w:rPr>
        <w:t xml:space="preserve"> </w:t>
      </w:r>
      <w:proofErr w:type="spellStart"/>
      <w:r w:rsidRPr="0075721C">
        <w:rPr>
          <w:szCs w:val="28"/>
        </w:rPr>
        <w:t>свободата</w:t>
      </w:r>
      <w:proofErr w:type="spellEnd"/>
      <w:r w:rsidRPr="0075721C">
        <w:rPr>
          <w:szCs w:val="28"/>
        </w:rPr>
        <w:t xml:space="preserve"> </w:t>
      </w:r>
      <w:proofErr w:type="spellStart"/>
      <w:r w:rsidRPr="0075721C">
        <w:rPr>
          <w:szCs w:val="28"/>
        </w:rPr>
        <w:t>на</w:t>
      </w:r>
      <w:proofErr w:type="spellEnd"/>
      <w:r w:rsidRPr="0075721C">
        <w:rPr>
          <w:szCs w:val="28"/>
        </w:rPr>
        <w:t xml:space="preserve"> </w:t>
      </w:r>
      <w:proofErr w:type="spellStart"/>
      <w:r w:rsidRPr="0075721C">
        <w:rPr>
          <w:szCs w:val="28"/>
        </w:rPr>
        <w:t>избора</w:t>
      </w:r>
      <w:proofErr w:type="spellEnd"/>
      <w:r w:rsidRPr="0075721C">
        <w:rPr>
          <w:szCs w:val="28"/>
        </w:rPr>
        <w:t xml:space="preserve"> </w:t>
      </w:r>
      <w:proofErr w:type="spellStart"/>
      <w:r w:rsidRPr="0075721C">
        <w:rPr>
          <w:szCs w:val="28"/>
        </w:rPr>
        <w:lastRenderedPageBreak/>
        <w:t>до</w:t>
      </w:r>
      <w:proofErr w:type="spellEnd"/>
      <w:r w:rsidRPr="0075721C">
        <w:rPr>
          <w:szCs w:val="28"/>
        </w:rPr>
        <w:t xml:space="preserve"> </w:t>
      </w:r>
      <w:proofErr w:type="spellStart"/>
      <w:r w:rsidRPr="0075721C">
        <w:rPr>
          <w:szCs w:val="28"/>
        </w:rPr>
        <w:t>щастливото</w:t>
      </w:r>
      <w:proofErr w:type="spellEnd"/>
      <w:r w:rsidRPr="0075721C">
        <w:rPr>
          <w:szCs w:val="28"/>
        </w:rPr>
        <w:t xml:space="preserve"> </w:t>
      </w:r>
      <w:proofErr w:type="spellStart"/>
      <w:r w:rsidRPr="0075721C">
        <w:rPr>
          <w:szCs w:val="28"/>
        </w:rPr>
        <w:t>детство</w:t>
      </w:r>
      <w:proofErr w:type="spellEnd"/>
      <w:r w:rsidRPr="0075721C">
        <w:rPr>
          <w:szCs w:val="28"/>
        </w:rPr>
        <w:t xml:space="preserve">. </w:t>
      </w:r>
      <w:proofErr w:type="spellStart"/>
      <w:r w:rsidRPr="0075721C">
        <w:rPr>
          <w:szCs w:val="28"/>
        </w:rPr>
        <w:t>Велико</w:t>
      </w:r>
      <w:proofErr w:type="spellEnd"/>
      <w:r w:rsidRPr="0075721C">
        <w:rPr>
          <w:szCs w:val="28"/>
        </w:rPr>
        <w:t xml:space="preserve"> Търново: </w:t>
      </w:r>
      <w:proofErr w:type="spellStart"/>
      <w:r w:rsidRPr="0075721C">
        <w:rPr>
          <w:szCs w:val="28"/>
        </w:rPr>
        <w:t>Унив</w:t>
      </w:r>
      <w:proofErr w:type="spellEnd"/>
      <w:r w:rsidRPr="0075721C">
        <w:rPr>
          <w:szCs w:val="28"/>
        </w:rPr>
        <w:t xml:space="preserve">. </w:t>
      </w:r>
      <w:proofErr w:type="spellStart"/>
      <w:r w:rsidRPr="0075721C">
        <w:rPr>
          <w:szCs w:val="28"/>
        </w:rPr>
        <w:t>издателство</w:t>
      </w:r>
      <w:proofErr w:type="spellEnd"/>
      <w:r w:rsidRPr="0075721C">
        <w:rPr>
          <w:szCs w:val="28"/>
        </w:rPr>
        <w:t xml:space="preserve"> „</w:t>
      </w:r>
      <w:proofErr w:type="spellStart"/>
      <w:r w:rsidRPr="0075721C">
        <w:rPr>
          <w:szCs w:val="28"/>
        </w:rPr>
        <w:t>Св</w:t>
      </w:r>
      <w:proofErr w:type="spellEnd"/>
      <w:r w:rsidRPr="0075721C">
        <w:rPr>
          <w:szCs w:val="28"/>
        </w:rPr>
        <w:t xml:space="preserve">. </w:t>
      </w:r>
      <w:proofErr w:type="spellStart"/>
      <w:r w:rsidRPr="0075721C">
        <w:rPr>
          <w:szCs w:val="28"/>
        </w:rPr>
        <w:t>св</w:t>
      </w:r>
      <w:proofErr w:type="spellEnd"/>
      <w:r w:rsidRPr="0075721C">
        <w:rPr>
          <w:szCs w:val="28"/>
        </w:rPr>
        <w:t xml:space="preserve">. </w:t>
      </w:r>
      <w:proofErr w:type="spellStart"/>
      <w:r w:rsidRPr="0075721C">
        <w:rPr>
          <w:szCs w:val="28"/>
        </w:rPr>
        <w:t>Кирил</w:t>
      </w:r>
      <w:proofErr w:type="spellEnd"/>
      <w:r w:rsidRPr="0075721C">
        <w:rPr>
          <w:szCs w:val="28"/>
        </w:rPr>
        <w:t xml:space="preserve"> и </w:t>
      </w:r>
      <w:proofErr w:type="spellStart"/>
      <w:proofErr w:type="gramStart"/>
      <w:r w:rsidRPr="0075721C">
        <w:rPr>
          <w:szCs w:val="28"/>
        </w:rPr>
        <w:t>Методий</w:t>
      </w:r>
      <w:proofErr w:type="spellEnd"/>
      <w:r w:rsidRPr="0075721C">
        <w:rPr>
          <w:szCs w:val="28"/>
        </w:rPr>
        <w:t>“</w:t>
      </w:r>
      <w:proofErr w:type="gramEnd"/>
      <w:r w:rsidRPr="0075721C">
        <w:rPr>
          <w:szCs w:val="28"/>
        </w:rPr>
        <w:t>, с. 137 – 149</w:t>
      </w:r>
      <w:r w:rsidRPr="0075721C">
        <w:rPr>
          <w:szCs w:val="28"/>
          <w:lang w:val="bg-BG"/>
        </w:rPr>
        <w:t xml:space="preserve"> (254)</w:t>
      </w:r>
      <w:r w:rsidRPr="0075721C">
        <w:rPr>
          <w:szCs w:val="28"/>
        </w:rPr>
        <w:t xml:space="preserve">. </w:t>
      </w:r>
    </w:p>
    <w:p w14:paraId="10CEF62D" w14:textId="77777777" w:rsidR="000E1C05" w:rsidRPr="0075721C" w:rsidRDefault="00000000" w:rsidP="00083967">
      <w:pPr>
        <w:ind w:firstLine="562"/>
        <w:rPr>
          <w:szCs w:val="28"/>
        </w:rPr>
      </w:pPr>
      <w:r w:rsidRPr="0075721C">
        <w:rPr>
          <w:szCs w:val="28"/>
        </w:rPr>
        <w:t>COUNCIL OF THE EUROPEAN UNION. Council Recommendation of 22 May 2019 on High-Quality Early Childhood Education and Care Systems. Official Journal of the European Union, C 189, pp. 4–14, 2019.</w:t>
      </w:r>
    </w:p>
    <w:p w14:paraId="6EC6E301" w14:textId="77777777" w:rsidR="000E1C05" w:rsidRPr="0075721C" w:rsidRDefault="00000000" w:rsidP="00083967">
      <w:pPr>
        <w:ind w:firstLine="562"/>
        <w:rPr>
          <w:szCs w:val="28"/>
        </w:rPr>
      </w:pPr>
      <w:r w:rsidRPr="0075721C">
        <w:rPr>
          <w:szCs w:val="28"/>
        </w:rPr>
        <w:t>EUROPEAN UNION. Council Recommendation of 8 December 2022 on early childhood education and care: the Barcelona targets for 2030 (2022/C 484/01). Official Journal of the European Union, C 484, pp. 1–12, 2022.</w:t>
      </w:r>
    </w:p>
    <w:p w14:paraId="5EFF8237" w14:textId="77777777" w:rsidR="000E1C05" w:rsidRPr="0075721C" w:rsidRDefault="00000000" w:rsidP="00083967">
      <w:pPr>
        <w:ind w:firstLine="562"/>
        <w:rPr>
          <w:szCs w:val="28"/>
        </w:rPr>
      </w:pPr>
      <w:r w:rsidRPr="0075721C">
        <w:rPr>
          <w:szCs w:val="28"/>
        </w:rPr>
        <w:t>FUKKINK, Ruben G. and Anke LONT. Does training matter? A meta-analysis and review of caregiver training studies. Early Childhood Research Quarterly, vol. 22, no. 3, pp. 294–311, 2007. DOI: 10.1016/j.ecresq.2007.04.005.</w:t>
      </w:r>
    </w:p>
    <w:p w14:paraId="0B3364B4" w14:textId="77777777" w:rsidR="000E1C05" w:rsidRPr="0075721C" w:rsidRDefault="00000000" w:rsidP="00083967">
      <w:pPr>
        <w:ind w:firstLine="562"/>
        <w:rPr>
          <w:szCs w:val="28"/>
        </w:rPr>
      </w:pPr>
      <w:r w:rsidRPr="0075721C">
        <w:rPr>
          <w:szCs w:val="28"/>
        </w:rPr>
        <w:t>HARMS, Thelma, Richard M. CLIFFORD and Debby CRYER. Early Childhood Environment Rating Scale. Third Edition (ECERS-3). New York: Teachers College Press, 2015.</w:t>
      </w:r>
    </w:p>
    <w:p w14:paraId="4DAB165F" w14:textId="77777777" w:rsidR="000E1C05" w:rsidRPr="0075721C" w:rsidRDefault="00000000" w:rsidP="00083967">
      <w:pPr>
        <w:ind w:firstLine="562"/>
        <w:rPr>
          <w:szCs w:val="28"/>
        </w:rPr>
      </w:pPr>
      <w:r w:rsidRPr="0075721C">
        <w:rPr>
          <w:szCs w:val="28"/>
        </w:rPr>
        <w:t>HARMS, Thelma, Debby CRYER, Richard M. CLIFFORD and Noreen YAZEJIAN. Infant/Toddler Environment Rating Scale. Third Edition (ITERS-3). New York: Teachers College Press, 2017.</w:t>
      </w:r>
    </w:p>
    <w:p w14:paraId="37861134" w14:textId="77777777" w:rsidR="000E1C05" w:rsidRPr="0075721C" w:rsidRDefault="00000000" w:rsidP="00083967">
      <w:pPr>
        <w:ind w:firstLine="562"/>
        <w:rPr>
          <w:szCs w:val="28"/>
        </w:rPr>
      </w:pPr>
      <w:r w:rsidRPr="0075721C">
        <w:rPr>
          <w:szCs w:val="28"/>
        </w:rPr>
        <w:t>OECD. Starting Strong III: A Quality Toolbox for Early Childhood Education and Care. Paris: OECD Publishing, 2012.</w:t>
      </w:r>
    </w:p>
    <w:p w14:paraId="2D4ED7CD" w14:textId="77777777" w:rsidR="000E1C05" w:rsidRPr="0075721C" w:rsidRDefault="00000000" w:rsidP="00083967">
      <w:pPr>
        <w:ind w:firstLine="562"/>
        <w:rPr>
          <w:szCs w:val="28"/>
        </w:rPr>
      </w:pPr>
      <w:r w:rsidRPr="0075721C">
        <w:rPr>
          <w:szCs w:val="28"/>
        </w:rPr>
        <w:t>SLOT, Pauline. Structural characteristics and process quality in early childhood education and care: A literature review. OECD Education Working Papers, no. 176. Paris: OECD Publishing, 2018.</w:t>
      </w:r>
    </w:p>
    <w:p w14:paraId="44B99A21" w14:textId="77777777" w:rsidR="000E1C05" w:rsidRPr="0075721C" w:rsidRDefault="00000000" w:rsidP="00083967">
      <w:pPr>
        <w:ind w:firstLine="562"/>
        <w:rPr>
          <w:szCs w:val="28"/>
        </w:rPr>
      </w:pPr>
      <w:r w:rsidRPr="0075721C">
        <w:rPr>
          <w:szCs w:val="28"/>
        </w:rPr>
        <w:t>UNESCO and UNICEF. The Right to a Strong Foundation: Global Report on Early Childhood Care and Education. Paris: UNESCO, 2024.</w:t>
      </w:r>
    </w:p>
    <w:p w14:paraId="1F5AC8D8" w14:textId="77777777" w:rsidR="000E1C05" w:rsidRPr="0075721C" w:rsidRDefault="00000000" w:rsidP="00083967">
      <w:pPr>
        <w:ind w:firstLine="562"/>
        <w:rPr>
          <w:szCs w:val="28"/>
        </w:rPr>
      </w:pPr>
      <w:r w:rsidRPr="0075721C">
        <w:rPr>
          <w:szCs w:val="28"/>
        </w:rPr>
        <w:t>URBAN, Mathias, Michel VANDENBROECK, Koen VAN LAERE, Anamaria LAZZARI and Jan PEETERS. Competence Requirements in Early Childhood Education and Care. Final Report. Brussels: European Commission, 2011. DOI: 10.2766/38368.</w:t>
      </w:r>
    </w:p>
    <w:p w14:paraId="78D7CCAC" w14:textId="77777777" w:rsidR="000E1C05" w:rsidRPr="0075721C" w:rsidRDefault="00000000" w:rsidP="00083967">
      <w:pPr>
        <w:ind w:firstLine="562"/>
        <w:rPr>
          <w:szCs w:val="28"/>
        </w:rPr>
      </w:pPr>
      <w:r w:rsidRPr="0075721C">
        <w:rPr>
          <w:szCs w:val="28"/>
        </w:rPr>
        <w:t>WHO, UNICEF and WORLD BANK GROUP. Nurturing Care for Early Childhood Development: A Framework for Helping Children Survive and Thrive to Transform Health and Human Potential. Geneva: World Health Organization, 2018.</w:t>
      </w:r>
    </w:p>
    <w:p w14:paraId="09D3EA42" w14:textId="77777777" w:rsidR="000E1C05" w:rsidRDefault="000E1C05">
      <w:pPr>
        <w:jc w:val="left"/>
      </w:pPr>
    </w:p>
    <w:p w14:paraId="21CE9E8D" w14:textId="013312DC" w:rsidR="000E1C05" w:rsidRPr="00083967" w:rsidRDefault="00000000">
      <w:pPr>
        <w:jc w:val="left"/>
        <w:rPr>
          <w:lang w:val="en-GB"/>
        </w:rPr>
      </w:pPr>
      <w:r>
        <w:rPr>
          <w:i/>
          <w:sz w:val="24"/>
        </w:rPr>
        <w:t>Борислава Илиева Иванова, гл. ас. д-р</w:t>
      </w:r>
      <w:r>
        <w:rPr>
          <w:i/>
          <w:sz w:val="24"/>
        </w:rPr>
        <w:br/>
        <w:t xml:space="preserve">Великотърновски университет „Св. св. </w:t>
      </w:r>
      <w:proofErr w:type="spellStart"/>
      <w:r>
        <w:rPr>
          <w:i/>
          <w:sz w:val="24"/>
        </w:rPr>
        <w:t>Кирил</w:t>
      </w:r>
      <w:proofErr w:type="spellEnd"/>
      <w:r>
        <w:rPr>
          <w:i/>
          <w:sz w:val="24"/>
        </w:rPr>
        <w:t xml:space="preserve"> и </w:t>
      </w:r>
      <w:proofErr w:type="spellStart"/>
      <w:proofErr w:type="gramStart"/>
      <w:r>
        <w:rPr>
          <w:i/>
          <w:sz w:val="24"/>
        </w:rPr>
        <w:t>Методий</w:t>
      </w:r>
      <w:proofErr w:type="spellEnd"/>
      <w:r>
        <w:rPr>
          <w:i/>
          <w:sz w:val="24"/>
        </w:rPr>
        <w:t>“</w:t>
      </w:r>
      <w:proofErr w:type="gramEnd"/>
      <w:r>
        <w:rPr>
          <w:i/>
          <w:sz w:val="24"/>
        </w:rPr>
        <w:br/>
        <w:t>E-mail:</w:t>
      </w:r>
      <w:r w:rsidR="00083967">
        <w:rPr>
          <w:i/>
          <w:sz w:val="24"/>
          <w:lang w:val="bg-BG"/>
        </w:rPr>
        <w:t xml:space="preserve"> </w:t>
      </w:r>
      <w:r w:rsidR="00083967">
        <w:rPr>
          <w:i/>
          <w:sz w:val="24"/>
          <w:lang w:val="en-GB"/>
        </w:rPr>
        <w:t>b.ivanova@ts.uni-vt.bg</w:t>
      </w:r>
    </w:p>
    <w:sectPr w:rsidR="000E1C05" w:rsidRPr="00083967" w:rsidSect="00034616">
      <w:pgSz w:w="11906" w:h="16838"/>
      <w:pgMar w:top="1134" w:right="1134" w:bottom="850"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32F61D2"/>
    <w:multiLevelType w:val="hybridMultilevel"/>
    <w:tmpl w:val="DE504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F94C1D"/>
    <w:multiLevelType w:val="hybridMultilevel"/>
    <w:tmpl w:val="0562C5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67128132">
    <w:abstractNumId w:val="8"/>
  </w:num>
  <w:num w:numId="2" w16cid:durableId="1490636535">
    <w:abstractNumId w:val="6"/>
  </w:num>
  <w:num w:numId="3" w16cid:durableId="1114985916">
    <w:abstractNumId w:val="5"/>
  </w:num>
  <w:num w:numId="4" w16cid:durableId="1277522259">
    <w:abstractNumId w:val="4"/>
  </w:num>
  <w:num w:numId="5" w16cid:durableId="1194032666">
    <w:abstractNumId w:val="7"/>
  </w:num>
  <w:num w:numId="6" w16cid:durableId="1449474670">
    <w:abstractNumId w:val="3"/>
  </w:num>
  <w:num w:numId="7" w16cid:durableId="2043942180">
    <w:abstractNumId w:val="2"/>
  </w:num>
  <w:num w:numId="8" w16cid:durableId="587884697">
    <w:abstractNumId w:val="1"/>
  </w:num>
  <w:num w:numId="9" w16cid:durableId="317268915">
    <w:abstractNumId w:val="0"/>
  </w:num>
  <w:num w:numId="10" w16cid:durableId="887179562">
    <w:abstractNumId w:val="9"/>
  </w:num>
  <w:num w:numId="11" w16cid:durableId="18166778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967"/>
    <w:rsid w:val="0008458C"/>
    <w:rsid w:val="000962AE"/>
    <w:rsid w:val="000E1C05"/>
    <w:rsid w:val="000F18FF"/>
    <w:rsid w:val="0015074B"/>
    <w:rsid w:val="0017260D"/>
    <w:rsid w:val="001847C1"/>
    <w:rsid w:val="0029639D"/>
    <w:rsid w:val="00326F90"/>
    <w:rsid w:val="005C0620"/>
    <w:rsid w:val="006431EF"/>
    <w:rsid w:val="006D5B85"/>
    <w:rsid w:val="006F64FA"/>
    <w:rsid w:val="007343C5"/>
    <w:rsid w:val="00746CA7"/>
    <w:rsid w:val="0075721C"/>
    <w:rsid w:val="00774970"/>
    <w:rsid w:val="007E5880"/>
    <w:rsid w:val="00874136"/>
    <w:rsid w:val="00880843"/>
    <w:rsid w:val="008A25B3"/>
    <w:rsid w:val="008B1E98"/>
    <w:rsid w:val="00A16C57"/>
    <w:rsid w:val="00A3326A"/>
    <w:rsid w:val="00AA1D8D"/>
    <w:rsid w:val="00AA7799"/>
    <w:rsid w:val="00AB5A14"/>
    <w:rsid w:val="00B47730"/>
    <w:rsid w:val="00C5249A"/>
    <w:rsid w:val="00CB0664"/>
    <w:rsid w:val="00CF19E7"/>
    <w:rsid w:val="00F00B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754F14"/>
  <w14:defaultImageDpi w14:val="300"/>
  <w15:docId w15:val="{F583206B-1E0F-43A2-A045-3EC2FC1F7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jc w:val="both"/>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AA7799"/>
    <w:rPr>
      <w:color w:val="0000FF" w:themeColor="hyperlink"/>
      <w:u w:val="single"/>
    </w:rPr>
  </w:style>
  <w:style w:type="character" w:styleId="affb">
    <w:name w:val="Unresolved Mention"/>
    <w:basedOn w:val="a2"/>
    <w:uiPriority w:val="99"/>
    <w:semiHidden/>
    <w:unhideWhenUsed/>
    <w:rsid w:val="00AA77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11</Pages>
  <Words>4507</Words>
  <Characters>25695</Characters>
  <Application>Microsoft Office Word</Application>
  <DocSecurity>0</DocSecurity>
  <Lines>214</Lines>
  <Paragraphs>60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Качество и професионална компетентност в образованието и грижите в ранна детска възраст</vt:lpstr>
      <vt:lpstr/>
    </vt:vector>
  </TitlesOfParts>
  <Manager/>
  <Company/>
  <LinksUpToDate>false</LinksUpToDate>
  <CharactersWithSpaces>30142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и професионална компетентност в образованието и грижите в ранна детска възраст</dc:title>
  <dc:subject>Научен доклад за конференция</dc:subject>
  <dc:creator>Борислава Илиева Иванова</dc:creator>
  <cp:keywords>ОГРДВ; качество; професионална компетентност; педагогическа среда; системно управление</cp:keywords>
  <dc:description>generated by python-docx</dc:description>
  <cp:lastModifiedBy>Borislava Ivanova</cp:lastModifiedBy>
  <cp:revision>6</cp:revision>
  <dcterms:created xsi:type="dcterms:W3CDTF">2026-09-15T08:08:00Z</dcterms:created>
  <dcterms:modified xsi:type="dcterms:W3CDTF">2026-09-16T09:34:00Z</dcterms:modified>
  <cp:category/>
</cp:coreProperties>
</file>