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72A6F" w14:textId="77777777" w:rsidR="00636FFC" w:rsidRDefault="00000000">
      <w:pPr>
        <w:jc w:val="center"/>
      </w:pPr>
      <w:r>
        <w:rPr>
          <w:b/>
          <w:sz w:val="32"/>
        </w:rPr>
        <w:t>МОДЕЛИ НА УПРАВЛЕНИЕ НА ОБРАЗОВАНИЕТО И ГРИЖИТЕ В РАННА ДЕТСКА ВЪЗРАСТ</w:t>
      </w:r>
    </w:p>
    <w:p w14:paraId="36F39661" w14:textId="77777777" w:rsidR="00636FFC" w:rsidRDefault="00636FFC">
      <w:pPr>
        <w:jc w:val="center"/>
      </w:pPr>
    </w:p>
    <w:p w14:paraId="39DCC79A" w14:textId="77777777" w:rsidR="00636FFC" w:rsidRDefault="00636FFC">
      <w:pPr>
        <w:jc w:val="center"/>
      </w:pPr>
    </w:p>
    <w:p w14:paraId="65E239E8" w14:textId="77777777" w:rsidR="00636FFC" w:rsidRDefault="00000000">
      <w:pPr>
        <w:jc w:val="center"/>
      </w:pPr>
      <w:proofErr w:type="spellStart"/>
      <w:r>
        <w:rPr>
          <w:b/>
          <w:sz w:val="32"/>
        </w:rPr>
        <w:t>Борислава</w:t>
      </w:r>
      <w:proofErr w:type="spellEnd"/>
      <w:r>
        <w:rPr>
          <w:b/>
          <w:sz w:val="32"/>
        </w:rPr>
        <w:t xml:space="preserve"> </w:t>
      </w:r>
      <w:proofErr w:type="spellStart"/>
      <w:r>
        <w:rPr>
          <w:b/>
          <w:sz w:val="32"/>
        </w:rPr>
        <w:t>Иванова</w:t>
      </w:r>
      <w:proofErr w:type="spellEnd"/>
    </w:p>
    <w:p w14:paraId="32D466C1" w14:textId="77777777" w:rsidR="00636FFC" w:rsidRDefault="00636FFC">
      <w:pPr>
        <w:jc w:val="center"/>
      </w:pPr>
    </w:p>
    <w:p w14:paraId="1976BC0E" w14:textId="77777777" w:rsidR="00636FFC" w:rsidRDefault="00000000">
      <w:pPr>
        <w:jc w:val="center"/>
      </w:pPr>
      <w:r>
        <w:rPr>
          <w:b/>
          <w:sz w:val="32"/>
        </w:rPr>
        <w:t>MODELS OF GOVERNANCE OF EARLY CHILDHOOD EDUCATION AND CARE</w:t>
      </w:r>
    </w:p>
    <w:p w14:paraId="7B191290" w14:textId="77777777" w:rsidR="00636FFC" w:rsidRDefault="00636FFC">
      <w:pPr>
        <w:jc w:val="center"/>
      </w:pPr>
    </w:p>
    <w:p w14:paraId="0BEA2855" w14:textId="77777777" w:rsidR="00636FFC" w:rsidRDefault="00000000">
      <w:pPr>
        <w:jc w:val="center"/>
      </w:pPr>
      <w:r>
        <w:rPr>
          <w:b/>
          <w:sz w:val="32"/>
        </w:rPr>
        <w:t>Borislava Ivanova</w:t>
      </w:r>
    </w:p>
    <w:p w14:paraId="311A0ED6" w14:textId="77777777" w:rsidR="00636FFC" w:rsidRDefault="00636FFC">
      <w:pPr>
        <w:jc w:val="center"/>
      </w:pPr>
    </w:p>
    <w:p w14:paraId="4FB7E5EF" w14:textId="77777777" w:rsidR="00636FFC" w:rsidRDefault="00636FFC">
      <w:pPr>
        <w:jc w:val="center"/>
      </w:pPr>
    </w:p>
    <w:p w14:paraId="5CFCD285" w14:textId="77777777" w:rsidR="00636FFC" w:rsidRDefault="00000000" w:rsidP="00E95E56">
      <w:pPr>
        <w:ind w:firstLine="562"/>
        <w:jc w:val="both"/>
      </w:pPr>
      <w:proofErr w:type="spellStart"/>
      <w:r w:rsidRPr="00E95E56">
        <w:rPr>
          <w:b/>
          <w:bCs/>
          <w:i/>
          <w:sz w:val="24"/>
        </w:rPr>
        <w:t>Резюме</w:t>
      </w:r>
      <w:proofErr w:type="spellEnd"/>
      <w:r w:rsidRPr="00E95E56">
        <w:rPr>
          <w:b/>
          <w:bCs/>
          <w:i/>
          <w:sz w:val="24"/>
        </w:rPr>
        <w:t>: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Докладът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представя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сравнителен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теоретико-аналитичен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анализ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на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разделения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интегрирания</w:t>
      </w:r>
      <w:proofErr w:type="spellEnd"/>
      <w:r>
        <w:rPr>
          <w:i/>
          <w:sz w:val="24"/>
        </w:rPr>
        <w:t xml:space="preserve"> и </w:t>
      </w:r>
      <w:proofErr w:type="spellStart"/>
      <w:r>
        <w:rPr>
          <w:i/>
          <w:sz w:val="24"/>
        </w:rPr>
        <w:t>хибридния</w:t>
      </w:r>
      <w:proofErr w:type="spellEnd"/>
      <w:r>
        <w:rPr>
          <w:i/>
          <w:sz w:val="24"/>
        </w:rPr>
        <w:t>/</w:t>
      </w:r>
      <w:proofErr w:type="spellStart"/>
      <w:r>
        <w:rPr>
          <w:i/>
          <w:sz w:val="24"/>
        </w:rPr>
        <w:t>координирания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модел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на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управление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на</w:t>
      </w:r>
      <w:proofErr w:type="spellEnd"/>
      <w:r>
        <w:rPr>
          <w:i/>
          <w:sz w:val="24"/>
        </w:rPr>
        <w:t xml:space="preserve"> ОГРДВ. </w:t>
      </w:r>
      <w:proofErr w:type="spellStart"/>
      <w:r>
        <w:rPr>
          <w:i/>
          <w:sz w:val="24"/>
        </w:rPr>
        <w:t>Моделите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са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съпоставени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по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институционална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отговорност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координация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регулация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финансиране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професионални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компетентности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качество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достъп</w:t>
      </w:r>
      <w:proofErr w:type="spellEnd"/>
      <w:r>
        <w:rPr>
          <w:i/>
          <w:sz w:val="24"/>
        </w:rPr>
        <w:t xml:space="preserve"> и </w:t>
      </w:r>
      <w:proofErr w:type="spellStart"/>
      <w:r>
        <w:rPr>
          <w:i/>
          <w:sz w:val="24"/>
        </w:rPr>
        <w:t>отчетност</w:t>
      </w:r>
      <w:proofErr w:type="spellEnd"/>
      <w:r>
        <w:rPr>
          <w:i/>
          <w:sz w:val="24"/>
        </w:rPr>
        <w:t xml:space="preserve">. </w:t>
      </w:r>
      <w:proofErr w:type="spellStart"/>
      <w:r>
        <w:rPr>
          <w:i/>
          <w:sz w:val="24"/>
        </w:rPr>
        <w:t>България</w:t>
      </w:r>
      <w:proofErr w:type="spellEnd"/>
      <w:r>
        <w:rPr>
          <w:i/>
          <w:sz w:val="24"/>
        </w:rPr>
        <w:t xml:space="preserve"> е </w:t>
      </w:r>
      <w:proofErr w:type="spellStart"/>
      <w:r>
        <w:rPr>
          <w:i/>
          <w:sz w:val="24"/>
        </w:rPr>
        <w:t>разгледана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като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разделена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институционална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архитектура</w:t>
      </w:r>
      <w:proofErr w:type="spellEnd"/>
      <w:r>
        <w:rPr>
          <w:i/>
          <w:sz w:val="24"/>
        </w:rPr>
        <w:t xml:space="preserve"> с </w:t>
      </w:r>
      <w:proofErr w:type="spellStart"/>
      <w:r>
        <w:rPr>
          <w:i/>
          <w:sz w:val="24"/>
        </w:rPr>
        <w:t>развиващи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се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координационни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механизми</w:t>
      </w:r>
      <w:proofErr w:type="spellEnd"/>
      <w:r>
        <w:rPr>
          <w:i/>
          <w:sz w:val="24"/>
        </w:rPr>
        <w:t>.</w:t>
      </w:r>
    </w:p>
    <w:p w14:paraId="6A252A35" w14:textId="77777777" w:rsidR="00636FFC" w:rsidRDefault="00636FFC" w:rsidP="00E95E56">
      <w:pPr>
        <w:ind w:firstLine="562"/>
        <w:jc w:val="center"/>
      </w:pPr>
    </w:p>
    <w:p w14:paraId="2ED110B1" w14:textId="77777777" w:rsidR="00636FFC" w:rsidRDefault="00000000" w:rsidP="00E95E56">
      <w:pPr>
        <w:ind w:firstLine="562"/>
        <w:jc w:val="both"/>
      </w:pPr>
      <w:proofErr w:type="spellStart"/>
      <w:proofErr w:type="gramStart"/>
      <w:r w:rsidRPr="00E95E56">
        <w:rPr>
          <w:b/>
          <w:bCs/>
          <w:i/>
          <w:sz w:val="24"/>
        </w:rPr>
        <w:t>Ключови</w:t>
      </w:r>
      <w:proofErr w:type="spellEnd"/>
      <w:r w:rsidRPr="00E95E56">
        <w:rPr>
          <w:b/>
          <w:bCs/>
          <w:i/>
          <w:sz w:val="24"/>
        </w:rPr>
        <w:t xml:space="preserve"> </w:t>
      </w:r>
      <w:proofErr w:type="spellStart"/>
      <w:r w:rsidRPr="00E95E56">
        <w:rPr>
          <w:b/>
          <w:bCs/>
          <w:i/>
          <w:sz w:val="24"/>
        </w:rPr>
        <w:t>думи</w:t>
      </w:r>
      <w:proofErr w:type="spellEnd"/>
      <w:r w:rsidRPr="00E95E56">
        <w:rPr>
          <w:b/>
          <w:bCs/>
          <w:i/>
          <w:sz w:val="24"/>
        </w:rPr>
        <w:t>:</w:t>
      </w:r>
      <w:r>
        <w:rPr>
          <w:i/>
          <w:sz w:val="24"/>
        </w:rPr>
        <w:t xml:space="preserve"> ОГРДВ, </w:t>
      </w:r>
      <w:proofErr w:type="spellStart"/>
      <w:r>
        <w:rPr>
          <w:i/>
          <w:sz w:val="24"/>
        </w:rPr>
        <w:t>управление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интеграция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координация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компетентности</w:t>
      </w:r>
      <w:proofErr w:type="spellEnd"/>
      <w:proofErr w:type="gramEnd"/>
    </w:p>
    <w:p w14:paraId="257A1D2F" w14:textId="77777777" w:rsidR="00636FFC" w:rsidRDefault="00636FFC" w:rsidP="00E95E56">
      <w:pPr>
        <w:ind w:firstLine="562"/>
        <w:jc w:val="center"/>
      </w:pPr>
    </w:p>
    <w:p w14:paraId="58BE6778" w14:textId="77777777" w:rsidR="00636FFC" w:rsidRDefault="00000000" w:rsidP="00E95E56">
      <w:pPr>
        <w:ind w:firstLine="562"/>
        <w:jc w:val="both"/>
      </w:pPr>
      <w:r w:rsidRPr="00E95E56">
        <w:rPr>
          <w:b/>
          <w:bCs/>
          <w:i/>
          <w:sz w:val="24"/>
        </w:rPr>
        <w:t>Abstract:</w:t>
      </w:r>
      <w:r>
        <w:rPr>
          <w:i/>
          <w:sz w:val="24"/>
        </w:rPr>
        <w:t xml:space="preserve"> The paper presents a comparative theoretical-analytical analysis of separated, integrated and hybrid/coordinated governance models in ECEC. The models are compared by institutional responsibility, coordination, regulation, financing, professional competences, quality, access and accountability. Bulgaria is </w:t>
      </w:r>
      <w:proofErr w:type="spellStart"/>
      <w:r>
        <w:rPr>
          <w:i/>
          <w:sz w:val="24"/>
        </w:rPr>
        <w:t>analysed</w:t>
      </w:r>
      <w:proofErr w:type="spellEnd"/>
      <w:r>
        <w:rPr>
          <w:i/>
          <w:sz w:val="24"/>
        </w:rPr>
        <w:t xml:space="preserve"> as a separated institutional architecture with developing coordination mechanisms.</w:t>
      </w:r>
    </w:p>
    <w:p w14:paraId="1B9446CE" w14:textId="77777777" w:rsidR="00636FFC" w:rsidRDefault="00636FFC" w:rsidP="00E95E56">
      <w:pPr>
        <w:ind w:firstLine="562"/>
        <w:jc w:val="center"/>
      </w:pPr>
    </w:p>
    <w:p w14:paraId="226D0901" w14:textId="77777777" w:rsidR="00636FFC" w:rsidRDefault="00000000" w:rsidP="00E95E56">
      <w:pPr>
        <w:ind w:firstLine="562"/>
        <w:jc w:val="both"/>
      </w:pPr>
      <w:r w:rsidRPr="00E95E56">
        <w:rPr>
          <w:b/>
          <w:bCs/>
          <w:i/>
          <w:sz w:val="24"/>
        </w:rPr>
        <w:t>Keywords:</w:t>
      </w:r>
      <w:r>
        <w:rPr>
          <w:i/>
          <w:sz w:val="24"/>
        </w:rPr>
        <w:t xml:space="preserve"> ECEC, governance, integration, coordination, competences</w:t>
      </w:r>
    </w:p>
    <w:p w14:paraId="4BFF3FBB" w14:textId="77777777" w:rsidR="00636FFC" w:rsidRDefault="00636FFC" w:rsidP="00E95E56">
      <w:pPr>
        <w:ind w:firstLine="562"/>
        <w:jc w:val="center"/>
      </w:pPr>
    </w:p>
    <w:p w14:paraId="1A3CD702" w14:textId="77777777" w:rsidR="00636FFC" w:rsidRDefault="00636FFC">
      <w:pPr>
        <w:jc w:val="center"/>
      </w:pPr>
    </w:p>
    <w:p w14:paraId="2B1114AF" w14:textId="3E570D5B" w:rsidR="00636FFC" w:rsidRPr="00122ADD" w:rsidRDefault="00000000" w:rsidP="00E95E56">
      <w:pPr>
        <w:pStyle w:val="1"/>
        <w:ind w:firstLine="562"/>
        <w:rPr>
          <w:lang w:val="bg-BG"/>
        </w:rPr>
      </w:pPr>
      <w:r w:rsidRPr="00122ADD">
        <w:rPr>
          <w:rFonts w:ascii="Times New Roman" w:eastAsia="Times New Roman" w:hAnsi="Times New Roman"/>
          <w:color w:val="000000"/>
          <w:lang w:val="bg-BG"/>
        </w:rPr>
        <w:t>Въведение</w:t>
      </w:r>
    </w:p>
    <w:p w14:paraId="495356D0" w14:textId="599CE518" w:rsidR="00636FFC" w:rsidRPr="00122ADD" w:rsidRDefault="00000000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Образованието и грижите в ранна детска възраст (ОГРДВ) представляват комплексна област на публичната политика, в която се преплитат здравеопазване, грижа, образование, социализация и подкрепа за семейството. Потребностите на детето не се ограничават в рамките на отделни административни сектори. Поради това начинът, по който държавата разпределя отговорностите и организира взаимодействието между институциите, има пряко значение за последователността, достъпа, качеството и устойчивостта на системата. </w:t>
      </w:r>
      <w:r w:rsidR="0022535B" w:rsidRPr="00122ADD">
        <w:rPr>
          <w:lang w:val="bg-BG"/>
        </w:rPr>
        <w:t>Международните изследвания не подкрепят съществуването на една универсална институционална архитектура</w:t>
      </w:r>
      <w:r w:rsidR="00161B89" w:rsidRPr="00122ADD">
        <w:rPr>
          <w:lang w:val="bg-BG"/>
        </w:rPr>
        <w:t>,</w:t>
      </w:r>
      <w:r w:rsidR="0022535B" w:rsidRPr="00122ADD">
        <w:rPr>
          <w:lang w:val="bg-BG"/>
        </w:rPr>
        <w:t xml:space="preserve"> различни</w:t>
      </w:r>
      <w:r w:rsidR="00161B89" w:rsidRPr="00122ADD">
        <w:rPr>
          <w:lang w:val="bg-BG"/>
        </w:rPr>
        <w:t>те</w:t>
      </w:r>
      <w:r w:rsidR="0022535B" w:rsidRPr="00122ADD">
        <w:rPr>
          <w:lang w:val="bg-BG"/>
        </w:rPr>
        <w:t xml:space="preserve"> национални контексти постигат съгласуваност чрез различни съотношения между интеграция и координация </w:t>
      </w:r>
      <w:r w:rsidRPr="00122ADD">
        <w:rPr>
          <w:lang w:val="bg-BG"/>
        </w:rPr>
        <w:t>[6; 7].</w:t>
      </w:r>
    </w:p>
    <w:p w14:paraId="1D365037" w14:textId="38672BA0" w:rsidR="00636FFC" w:rsidRPr="00122ADD" w:rsidRDefault="00161B89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В центъра на научния проблем стои въпросът как управленските конфигурации структурират отношенията между държавата, местната власт и институциите в ОГРДВ и как тези отношения се отразяват върху достъпа, качеството, равнопоставеността и отчетността. Основната теза е, че </w:t>
      </w:r>
      <w:r w:rsidRPr="00122ADD">
        <w:rPr>
          <w:lang w:val="bg-BG"/>
        </w:rPr>
        <w:lastRenderedPageBreak/>
        <w:t>формалната степен на интеграция не е достатъчна за оценка на системната ефективност. Съществено значение имат също ясното разпределение на отговорностите, координационният капацитет, наличието на общи стандарти, устойчивото финансиране, професионалният капацитет и механизмите за проследяване на резултатите [7; 8].</w:t>
      </w:r>
    </w:p>
    <w:p w14:paraId="0E78AA29" w14:textId="02AB5418" w:rsidR="00161B89" w:rsidRPr="00122ADD" w:rsidRDefault="00161B89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>Изследователската цел е да се систематизират и сравнително анализират основните модели на управление на ОГРДВ, да се изведат критерии за тяхното съпоставяне и да се определи мястото на България в сравнителната рамка. За постигането ѝ се поставят следните задачи: концептуализиране на управленския модел; разграничаване на основните управленски конфигурации; разработване на аналитични критерии за тяхното съпоставяне; анализ и сравнение на международни примери; анализ на българската система и формулиране на направления за нейното развитие.</w:t>
      </w:r>
    </w:p>
    <w:p w14:paraId="33FC40D2" w14:textId="4F487B93" w:rsidR="00161B89" w:rsidRPr="00122ADD" w:rsidRDefault="00161B89" w:rsidP="00161B89">
      <w:pPr>
        <w:pStyle w:val="1"/>
        <w:ind w:firstLine="562"/>
        <w:jc w:val="both"/>
        <w:rPr>
          <w:rFonts w:ascii="Times New Roman" w:eastAsia="Times New Roman" w:hAnsi="Times New Roman"/>
          <w:b w:val="0"/>
          <w:bCs w:val="0"/>
          <w:color w:val="000000"/>
          <w:lang w:val="bg-BG"/>
        </w:rPr>
      </w:pPr>
      <w:r w:rsidRPr="00122ADD">
        <w:rPr>
          <w:rFonts w:ascii="Times New Roman" w:eastAsia="Times New Roman" w:hAnsi="Times New Roman"/>
          <w:b w:val="0"/>
          <w:bCs w:val="0"/>
          <w:color w:val="000000"/>
          <w:lang w:val="bg-BG"/>
        </w:rPr>
        <w:t>Изследването има теоретико-аналитичен и сравнителен характер. Прилагат се анализ и синтез на научна литература, анализ на нормативни и стратегически документи и структурно-сравнителен подход. В този контекст не се цели установяване на статистически причинно-следствени зависимости, а аналитично осмисляне и съпоставяне на моделите на управление на ОГРДВ.</w:t>
      </w:r>
    </w:p>
    <w:p w14:paraId="62C39748" w14:textId="4E19D3DA" w:rsidR="00636FFC" w:rsidRPr="00122ADD" w:rsidRDefault="00122ADD" w:rsidP="00E95E56">
      <w:pPr>
        <w:pStyle w:val="1"/>
        <w:ind w:firstLine="562"/>
        <w:rPr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1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 Теоретико-методологични основи</w:t>
      </w:r>
    </w:p>
    <w:p w14:paraId="048FA2E4" w14:textId="1CDE2B3D" w:rsidR="00636FFC" w:rsidRPr="00122ADD" w:rsidRDefault="00CC30E7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В съответствие с разбирането на </w:t>
      </w:r>
      <w:r w:rsidR="00C81153" w:rsidRPr="00122ADD">
        <w:rPr>
          <w:lang w:val="bg-BG"/>
        </w:rPr>
        <w:t>Организацията за икономическо сътрудничество и развитие (</w:t>
      </w:r>
      <w:r w:rsidRPr="00122ADD">
        <w:rPr>
          <w:lang w:val="bg-BG"/>
        </w:rPr>
        <w:t>ОИСР</w:t>
      </w:r>
      <w:r w:rsidR="00C81153" w:rsidRPr="00122ADD">
        <w:rPr>
          <w:lang w:val="bg-BG"/>
        </w:rPr>
        <w:t>)</w:t>
      </w:r>
      <w:r w:rsidRPr="00122ADD">
        <w:rPr>
          <w:lang w:val="bg-BG"/>
        </w:rPr>
        <w:t xml:space="preserve"> за управлението на системите за ОГРДВ, „модел на управление“ се разглежда като съвкупност от взаимосвързани характеристики, определящи разпределението на институционалните отговорности, секторната интеграция, равнищата на управление, вертикалната и хоризонталната координация, нормативната рамка, финансирането, кадровата политика, стандартите за качество, мониторинга и оценяването, достъпа, социалното включване, участието на семейството и отчетността на системата [8].</w:t>
      </w:r>
    </w:p>
    <w:p w14:paraId="1568B05D" w14:textId="77777777" w:rsidR="00636FFC" w:rsidRPr="00122ADD" w:rsidRDefault="00000000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>Необходимо е ясно разграничаване между институционална интеграция и междусекторна координация. Интеграцията предполага по-висока степен на институционално единство и промяна в разпределението на отговорностите, докато координацията може да функционира при запазени секторни граници чрез правила, процедури, обмен на информация, съвместно планиране и общи стандарти [6; 11]. Следователно наличието на множество институции не е само по себе си доказателство за неефективност.</w:t>
      </w:r>
    </w:p>
    <w:p w14:paraId="6C42A7B7" w14:textId="77777777" w:rsidR="00636FFC" w:rsidRPr="00122ADD" w:rsidRDefault="00000000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Важен е и компетентностният аспект на управлението. Съвременният анализ на ОГРДВ не може да се ограничи до институционалната архитектура, ако не отчита способността на професионалистите да реализират на практика заложените политики и стандарти. В този смисъл стратегическата концепция на Иванова, Тодорова и Калейнска подчертава значението на систематичния преглед на научната литература и нормативните документи и разработването на сравнителна матрица на компетентностите, подкрепена от експертна </w:t>
      </w:r>
      <w:proofErr w:type="spellStart"/>
      <w:r w:rsidRPr="00122ADD">
        <w:rPr>
          <w:lang w:val="bg-BG"/>
        </w:rPr>
        <w:t>валидизация</w:t>
      </w:r>
      <w:proofErr w:type="spellEnd"/>
      <w:r w:rsidRPr="00122ADD">
        <w:rPr>
          <w:lang w:val="bg-BG"/>
        </w:rPr>
        <w:t xml:space="preserve"> [2]. Тази перспектива допълва анализа на управлението: институционалната </w:t>
      </w:r>
      <w:r w:rsidRPr="00122ADD">
        <w:rPr>
          <w:lang w:val="bg-BG"/>
        </w:rPr>
        <w:lastRenderedPageBreak/>
        <w:t>съгласуваност има практическа стойност само когато е подкрепена от съгласувани професионални изисквания и реален капацитет за тяхното изпълнение.</w:t>
      </w:r>
    </w:p>
    <w:p w14:paraId="5428FFB4" w14:textId="77777777" w:rsidR="00636FFC" w:rsidRPr="00122ADD" w:rsidRDefault="00000000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>Връзката между управлението и качеството може условно да се представи като „управленска структура → ресурси и условия → процеси → резултати за детето“. Тя не е линейна причинно-следствена зависимост, а взаимосвързана система от условия. Следователно оценката трябва да проследява как управленските решения се превръщат в реални условия за развитие, участие и благополучие на детето [8; 9].</w:t>
      </w:r>
    </w:p>
    <w:p w14:paraId="43E68FB5" w14:textId="0EB62C2D" w:rsidR="00636FFC" w:rsidRPr="00122ADD" w:rsidRDefault="00122ADD" w:rsidP="00E95E56">
      <w:pPr>
        <w:pStyle w:val="1"/>
        <w:ind w:firstLine="562"/>
        <w:rPr>
          <w:rFonts w:ascii="Times New Roman" w:eastAsia="Times New Roman" w:hAnsi="Times New Roman"/>
          <w:color w:val="000000"/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2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 Основни модели на управление на ОГРДВ</w:t>
      </w:r>
    </w:p>
    <w:p w14:paraId="6D34713A" w14:textId="4EA594C6" w:rsidR="00C81153" w:rsidRPr="00122ADD" w:rsidRDefault="00C81153" w:rsidP="00C81153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В международните сравнителни анализи на ОГРДВ различията между системите се свързват в значителна степен с начина, по който са разпределени отговорностите между секторите и равнищата на управление. </w:t>
      </w:r>
      <w:r w:rsidR="00CF6E94" w:rsidRPr="00122ADD">
        <w:rPr>
          <w:lang w:val="bg-BG"/>
        </w:rPr>
        <w:t xml:space="preserve">ОИСР разглежда като основни организационни конфигурации разделения и интегрирания модел, като подчертава, че ефективността на разделения модел зависи в значителна степен от наличието на механизми за координация и осигуряване на последователност на политиките и услугите </w:t>
      </w:r>
      <w:r w:rsidRPr="00122ADD">
        <w:rPr>
          <w:lang w:val="bg-BG"/>
        </w:rPr>
        <w:t>[12; 13].</w:t>
      </w:r>
    </w:p>
    <w:p w14:paraId="7F23DB22" w14:textId="3219F9C0" w:rsidR="00636FFC" w:rsidRPr="00122ADD" w:rsidRDefault="00122ADD" w:rsidP="00E95E56">
      <w:pPr>
        <w:pStyle w:val="21"/>
        <w:ind w:firstLine="562"/>
        <w:rPr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2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.1. Разделен (секторен) модел</w:t>
      </w:r>
    </w:p>
    <w:p w14:paraId="1D9A9307" w14:textId="323B471D" w:rsidR="00636FFC" w:rsidRPr="00122ADD" w:rsidRDefault="00CF6E94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>При разделения модел различни ведомства и управленски равнища носят отговорност за отделни направления – образование, здравеопазване, социална подкрепа и семейни политики. Предимство на този модел са ясно очертаните секторни функции и експертните компетентности на отговорните институции. Рискът възниква, когато стандартите, финансирането, информационните системи и процедурите се развиват изолирано, което може да наруши последователността на подкрепата. Следователно секторната организация не е равнозначна на фрагментация, но изисква работещи механизми за координация.</w:t>
      </w:r>
    </w:p>
    <w:p w14:paraId="4E0727C4" w14:textId="6EF94ED7" w:rsidR="00636FFC" w:rsidRPr="00122ADD" w:rsidRDefault="00122ADD" w:rsidP="00E95E56">
      <w:pPr>
        <w:pStyle w:val="21"/>
        <w:ind w:firstLine="562"/>
        <w:rPr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2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.2. Интегриран модел</w:t>
      </w:r>
    </w:p>
    <w:p w14:paraId="038D7B33" w14:textId="19C2D66B" w:rsidR="00636FFC" w:rsidRPr="00122ADD" w:rsidRDefault="00CF6E94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>Интегрираният модел предполага единна или силно обвързана политическа и управленска рамка, общи стандарти и висока степен на свързаност между услугите. Силна страна на модела е възможността за обща стратегическа визия и по-единна нормативна и професионална рамка. Потенциални ограничения са прекомерната централизация, организационната сложност и рискът от недостатъчно отчитане на специфичните секторни функции и компетентности. Международният опит показва, че интеграцията функционира успешно, когато е подкрепена с необходимите ресурси, професионален капацитет и ясна отчетност [10].</w:t>
      </w:r>
    </w:p>
    <w:p w14:paraId="65BC03B4" w14:textId="0E78B482" w:rsidR="00636FFC" w:rsidRPr="00122ADD" w:rsidRDefault="00122ADD" w:rsidP="00E95E56">
      <w:pPr>
        <w:pStyle w:val="21"/>
        <w:ind w:firstLine="562"/>
        <w:rPr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2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.3. Хибриден/координиран модел</w:t>
      </w:r>
    </w:p>
    <w:p w14:paraId="78E708B9" w14:textId="04559E12" w:rsidR="00636FFC" w:rsidRPr="00122ADD" w:rsidRDefault="00CF6E94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Хибридният модел съчетава секторни компетентности с общи политики, споделени стандарти и координационни механизми. Той е особено приложим в системи, формирани исторически като секторно разделени. Предимството му е възможността да се запазят специфичните секторни функции и компетентности, без да се нарушава системната съгласуваност. Ограничение е зависимостта от реалната управленска </w:t>
      </w:r>
      <w:r w:rsidRPr="00122ADD">
        <w:rPr>
          <w:lang w:val="bg-BG"/>
        </w:rPr>
        <w:lastRenderedPageBreak/>
        <w:t>ефективност на координационните механизми. Координацията не трябва да остава декларативна, а изисква ясни процедури, ресурси, данни, компетентности и отчетност.</w:t>
      </w:r>
    </w:p>
    <w:p w14:paraId="52469678" w14:textId="02C31027" w:rsidR="00636FFC" w:rsidRPr="00122ADD" w:rsidRDefault="00122ADD" w:rsidP="00E95E56">
      <w:pPr>
        <w:pStyle w:val="1"/>
        <w:ind w:firstLine="562"/>
        <w:rPr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3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 Сравнителна матрица</w:t>
      </w:r>
    </w:p>
    <w:p w14:paraId="79075DC5" w14:textId="34A5CE55" w:rsidR="00636FFC" w:rsidRPr="00122ADD" w:rsidRDefault="004C0E8F" w:rsidP="00E95E5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За да се осигури по-пълно и системно съпоставяне на моделите, е разработена сравнителна аналитична рамка, представена в Таблица 1. Тя включва критерии, отразяващи институционалната отговорност, секторната интеграция, координацията, степента на централизация, финансирането, регулацията, кадровата политика, качеството, мониторинга и отчетността, достъпа, социалното включване, участието на семейството и системната устойчивост. Рамката е авторска и е допълнена с </w:t>
      </w:r>
      <w:proofErr w:type="spellStart"/>
      <w:r w:rsidRPr="00122ADD">
        <w:rPr>
          <w:lang w:val="bg-BG"/>
        </w:rPr>
        <w:t>компетентностната</w:t>
      </w:r>
      <w:proofErr w:type="spellEnd"/>
      <w:r w:rsidRPr="00122ADD">
        <w:rPr>
          <w:lang w:val="bg-BG"/>
        </w:rPr>
        <w:t xml:space="preserve"> перспектива, разработена от Б. Иванова, М. Калейнска и К. Тодорова [2].</w:t>
      </w:r>
    </w:p>
    <w:p w14:paraId="2AA54927" w14:textId="77777777" w:rsidR="00636FFC" w:rsidRPr="00122ADD" w:rsidRDefault="00636FFC">
      <w:pPr>
        <w:jc w:val="center"/>
        <w:rPr>
          <w:lang w:val="bg-BG"/>
        </w:rPr>
      </w:pPr>
    </w:p>
    <w:p w14:paraId="43652BCF" w14:textId="5989ECDB" w:rsidR="00494866" w:rsidRPr="00122ADD" w:rsidRDefault="00000000">
      <w:pPr>
        <w:keepNext/>
        <w:jc w:val="center"/>
        <w:rPr>
          <w:b/>
          <w:szCs w:val="28"/>
          <w:lang w:val="bg-BG"/>
        </w:rPr>
      </w:pPr>
      <w:r w:rsidRPr="00122ADD">
        <w:rPr>
          <w:b/>
          <w:szCs w:val="28"/>
          <w:lang w:val="bg-BG"/>
        </w:rPr>
        <w:t xml:space="preserve">Таблица 1 – Сравнителна </w:t>
      </w:r>
      <w:r w:rsidR="004C0E8F" w:rsidRPr="00122ADD">
        <w:rPr>
          <w:b/>
          <w:szCs w:val="28"/>
          <w:lang w:val="bg-BG"/>
        </w:rPr>
        <w:t>аналитична рамка</w:t>
      </w:r>
      <w:r w:rsidRPr="00122ADD">
        <w:rPr>
          <w:b/>
          <w:szCs w:val="28"/>
          <w:lang w:val="bg-BG"/>
        </w:rPr>
        <w:t xml:space="preserve"> на основните модели </w:t>
      </w:r>
    </w:p>
    <w:p w14:paraId="21F416F1" w14:textId="064C97B8" w:rsidR="00636FFC" w:rsidRPr="00122ADD" w:rsidRDefault="00000000">
      <w:pPr>
        <w:keepNext/>
        <w:jc w:val="center"/>
        <w:rPr>
          <w:b/>
          <w:szCs w:val="28"/>
          <w:lang w:val="bg-BG"/>
        </w:rPr>
      </w:pPr>
      <w:r w:rsidRPr="00122ADD">
        <w:rPr>
          <w:b/>
          <w:szCs w:val="28"/>
          <w:lang w:val="bg-BG"/>
        </w:rPr>
        <w:t>на управление на ОГРДВ</w:t>
      </w:r>
    </w:p>
    <w:p w14:paraId="0085C226" w14:textId="77777777" w:rsidR="00494866" w:rsidRPr="00122ADD" w:rsidRDefault="00494866">
      <w:pPr>
        <w:keepNext/>
        <w:jc w:val="center"/>
        <w:rPr>
          <w:szCs w:val="28"/>
          <w:lang w:val="bg-BG"/>
        </w:rPr>
      </w:pPr>
    </w:p>
    <w:tbl>
      <w:tblPr>
        <w:tblW w:w="95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2520"/>
        <w:gridCol w:w="1800"/>
        <w:gridCol w:w="2591"/>
      </w:tblGrid>
      <w:tr w:rsidR="00494866" w:rsidRPr="00122ADD" w14:paraId="0E52BF29" w14:textId="77777777" w:rsidTr="00494866">
        <w:trPr>
          <w:jc w:val="center"/>
        </w:trPr>
        <w:tc>
          <w:tcPr>
            <w:tcW w:w="2605" w:type="dxa"/>
            <w:shd w:val="clear" w:color="auto" w:fill="D9E1F2"/>
            <w:vAlign w:val="center"/>
          </w:tcPr>
          <w:p w14:paraId="3CE75C60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Аналитично измерение</w:t>
            </w:r>
          </w:p>
        </w:tc>
        <w:tc>
          <w:tcPr>
            <w:tcW w:w="2520" w:type="dxa"/>
            <w:shd w:val="clear" w:color="auto" w:fill="D9E1F2"/>
            <w:vAlign w:val="center"/>
          </w:tcPr>
          <w:p w14:paraId="12CFA2CC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Разделен модел</w:t>
            </w:r>
          </w:p>
        </w:tc>
        <w:tc>
          <w:tcPr>
            <w:tcW w:w="1800" w:type="dxa"/>
            <w:shd w:val="clear" w:color="auto" w:fill="D9E1F2"/>
            <w:vAlign w:val="center"/>
          </w:tcPr>
          <w:p w14:paraId="42A5305F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Интегриран модел</w:t>
            </w:r>
          </w:p>
        </w:tc>
        <w:tc>
          <w:tcPr>
            <w:tcW w:w="2591" w:type="dxa"/>
            <w:shd w:val="clear" w:color="auto" w:fill="D9E1F2"/>
            <w:vAlign w:val="center"/>
          </w:tcPr>
          <w:p w14:paraId="563D7232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Хибриден/координиран модел</w:t>
            </w:r>
          </w:p>
        </w:tc>
      </w:tr>
      <w:tr w:rsidR="00494866" w:rsidRPr="00122ADD" w14:paraId="44F25D7C" w14:textId="77777777" w:rsidTr="00494866">
        <w:trPr>
          <w:jc w:val="center"/>
        </w:trPr>
        <w:tc>
          <w:tcPr>
            <w:tcW w:w="2605" w:type="dxa"/>
            <w:vAlign w:val="center"/>
          </w:tcPr>
          <w:p w14:paraId="177C36F4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Институционална отговорност</w:t>
            </w:r>
          </w:p>
        </w:tc>
        <w:tc>
          <w:tcPr>
            <w:tcW w:w="2520" w:type="dxa"/>
            <w:vAlign w:val="center"/>
          </w:tcPr>
          <w:p w14:paraId="1354E4D1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Разпределена между сектори</w:t>
            </w:r>
          </w:p>
        </w:tc>
        <w:tc>
          <w:tcPr>
            <w:tcW w:w="1800" w:type="dxa"/>
            <w:vAlign w:val="center"/>
          </w:tcPr>
          <w:p w14:paraId="3ADAE5EA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Единна/силно интегрирана</w:t>
            </w:r>
          </w:p>
        </w:tc>
        <w:tc>
          <w:tcPr>
            <w:tcW w:w="2591" w:type="dxa"/>
            <w:vAlign w:val="center"/>
          </w:tcPr>
          <w:p w14:paraId="7AB3207D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Споделена чрез координация</w:t>
            </w:r>
          </w:p>
        </w:tc>
      </w:tr>
      <w:tr w:rsidR="00494866" w:rsidRPr="00122ADD" w14:paraId="60B49A03" w14:textId="77777777" w:rsidTr="00494866">
        <w:trPr>
          <w:jc w:val="center"/>
        </w:trPr>
        <w:tc>
          <w:tcPr>
            <w:tcW w:w="2605" w:type="dxa"/>
            <w:vAlign w:val="center"/>
          </w:tcPr>
          <w:p w14:paraId="20F9447A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Степен на секторна интеграция</w:t>
            </w:r>
          </w:p>
        </w:tc>
        <w:tc>
          <w:tcPr>
            <w:tcW w:w="2520" w:type="dxa"/>
            <w:vAlign w:val="center"/>
          </w:tcPr>
          <w:p w14:paraId="15C4BB6A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Ниска</w:t>
            </w:r>
          </w:p>
        </w:tc>
        <w:tc>
          <w:tcPr>
            <w:tcW w:w="1800" w:type="dxa"/>
            <w:vAlign w:val="center"/>
          </w:tcPr>
          <w:p w14:paraId="375682BD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Висока</w:t>
            </w:r>
          </w:p>
        </w:tc>
        <w:tc>
          <w:tcPr>
            <w:tcW w:w="2591" w:type="dxa"/>
            <w:vAlign w:val="center"/>
          </w:tcPr>
          <w:p w14:paraId="0CE24D1A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Средна до висока</w:t>
            </w:r>
          </w:p>
        </w:tc>
      </w:tr>
      <w:tr w:rsidR="00494866" w:rsidRPr="00122ADD" w14:paraId="253C9663" w14:textId="77777777" w:rsidTr="00494866">
        <w:trPr>
          <w:jc w:val="center"/>
        </w:trPr>
        <w:tc>
          <w:tcPr>
            <w:tcW w:w="2605" w:type="dxa"/>
            <w:vAlign w:val="center"/>
          </w:tcPr>
          <w:p w14:paraId="77E07997" w14:textId="77777777" w:rsidR="00494866" w:rsidRPr="00122ADD" w:rsidRDefault="00494866" w:rsidP="00494866">
            <w:pPr>
              <w:jc w:val="center"/>
              <w:rPr>
                <w:rFonts w:cs="Times New Roman"/>
                <w:b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 xml:space="preserve">Междусекторна </w:t>
            </w:r>
          </w:p>
          <w:p w14:paraId="0B854E71" w14:textId="7D8F2738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координация</w:t>
            </w:r>
          </w:p>
        </w:tc>
        <w:tc>
          <w:tcPr>
            <w:tcW w:w="2520" w:type="dxa"/>
            <w:vAlign w:val="center"/>
          </w:tcPr>
          <w:p w14:paraId="141F075E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Допълнителна</w:t>
            </w:r>
          </w:p>
        </w:tc>
        <w:tc>
          <w:tcPr>
            <w:tcW w:w="1800" w:type="dxa"/>
            <w:vAlign w:val="center"/>
          </w:tcPr>
          <w:p w14:paraId="056A4B1D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Вградена в системата</w:t>
            </w:r>
          </w:p>
        </w:tc>
        <w:tc>
          <w:tcPr>
            <w:tcW w:w="2591" w:type="dxa"/>
            <w:vAlign w:val="center"/>
          </w:tcPr>
          <w:p w14:paraId="59D04038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Ключов механизъм</w:t>
            </w:r>
          </w:p>
        </w:tc>
      </w:tr>
      <w:tr w:rsidR="00494866" w:rsidRPr="00122ADD" w14:paraId="4F02952B" w14:textId="77777777" w:rsidTr="00494866">
        <w:trPr>
          <w:jc w:val="center"/>
        </w:trPr>
        <w:tc>
          <w:tcPr>
            <w:tcW w:w="2605" w:type="dxa"/>
            <w:vAlign w:val="center"/>
          </w:tcPr>
          <w:p w14:paraId="5E022BA5" w14:textId="77777777" w:rsidR="00494866" w:rsidRPr="00122ADD" w:rsidRDefault="00494866" w:rsidP="00494866">
            <w:pPr>
              <w:jc w:val="center"/>
              <w:rPr>
                <w:rFonts w:cs="Times New Roman"/>
                <w:b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Централизация/</w:t>
            </w:r>
          </w:p>
          <w:p w14:paraId="206218FA" w14:textId="79A58592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децентрализация</w:t>
            </w:r>
          </w:p>
        </w:tc>
        <w:tc>
          <w:tcPr>
            <w:tcW w:w="2520" w:type="dxa"/>
            <w:vAlign w:val="center"/>
          </w:tcPr>
          <w:p w14:paraId="6E64ED75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Вариативна</w:t>
            </w:r>
          </w:p>
        </w:tc>
        <w:tc>
          <w:tcPr>
            <w:tcW w:w="1800" w:type="dxa"/>
            <w:vAlign w:val="center"/>
          </w:tcPr>
          <w:p w14:paraId="30F69C03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Обикновено ясна обща рамка</w:t>
            </w:r>
          </w:p>
        </w:tc>
        <w:tc>
          <w:tcPr>
            <w:tcW w:w="2591" w:type="dxa"/>
            <w:vAlign w:val="center"/>
          </w:tcPr>
          <w:p w14:paraId="7FCBF853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Комбинирана</w:t>
            </w:r>
          </w:p>
        </w:tc>
      </w:tr>
      <w:tr w:rsidR="00494866" w:rsidRPr="00122ADD" w14:paraId="114164FE" w14:textId="77777777" w:rsidTr="00494866">
        <w:trPr>
          <w:jc w:val="center"/>
        </w:trPr>
        <w:tc>
          <w:tcPr>
            <w:tcW w:w="2605" w:type="dxa"/>
            <w:tcBorders>
              <w:right w:val="single" w:sz="2" w:space="0" w:color="auto"/>
            </w:tcBorders>
            <w:vAlign w:val="center"/>
          </w:tcPr>
          <w:p w14:paraId="312166C4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Финансиране</w:t>
            </w:r>
          </w:p>
        </w:tc>
        <w:tc>
          <w:tcPr>
            <w:tcW w:w="2520" w:type="dxa"/>
            <w:tcBorders>
              <w:left w:val="single" w:sz="2" w:space="0" w:color="auto"/>
            </w:tcBorders>
            <w:vAlign w:val="center"/>
          </w:tcPr>
          <w:p w14:paraId="6970465E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Разделени режими</w:t>
            </w:r>
          </w:p>
        </w:tc>
        <w:tc>
          <w:tcPr>
            <w:tcW w:w="1800" w:type="dxa"/>
            <w:vAlign w:val="center"/>
          </w:tcPr>
          <w:p w14:paraId="134863D6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Координирано/общо</w:t>
            </w:r>
          </w:p>
        </w:tc>
        <w:tc>
          <w:tcPr>
            <w:tcW w:w="2591" w:type="dxa"/>
            <w:vAlign w:val="center"/>
          </w:tcPr>
          <w:p w14:paraId="5B2ABA7E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Смесено и координирано</w:t>
            </w:r>
          </w:p>
        </w:tc>
      </w:tr>
      <w:tr w:rsidR="00494866" w:rsidRPr="00122ADD" w14:paraId="2627A62A" w14:textId="77777777" w:rsidTr="00494866">
        <w:trPr>
          <w:jc w:val="center"/>
        </w:trPr>
        <w:tc>
          <w:tcPr>
            <w:tcW w:w="2605" w:type="dxa"/>
            <w:vAlign w:val="center"/>
          </w:tcPr>
          <w:p w14:paraId="14CC295C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Регулаторна рамка</w:t>
            </w:r>
          </w:p>
        </w:tc>
        <w:tc>
          <w:tcPr>
            <w:tcW w:w="2520" w:type="dxa"/>
            <w:vAlign w:val="center"/>
          </w:tcPr>
          <w:p w14:paraId="775B7407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Секторни стандарти</w:t>
            </w:r>
          </w:p>
        </w:tc>
        <w:tc>
          <w:tcPr>
            <w:tcW w:w="1800" w:type="dxa"/>
            <w:vAlign w:val="center"/>
          </w:tcPr>
          <w:p w14:paraId="0A7F26EF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Общи стандарти</w:t>
            </w:r>
          </w:p>
        </w:tc>
        <w:tc>
          <w:tcPr>
            <w:tcW w:w="2591" w:type="dxa"/>
            <w:vAlign w:val="center"/>
          </w:tcPr>
          <w:p w14:paraId="4B055200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Общи + секторни стандарти</w:t>
            </w:r>
          </w:p>
        </w:tc>
      </w:tr>
      <w:tr w:rsidR="00494866" w:rsidRPr="00122ADD" w14:paraId="03E4A127" w14:textId="77777777" w:rsidTr="00494866">
        <w:trPr>
          <w:jc w:val="center"/>
        </w:trPr>
        <w:tc>
          <w:tcPr>
            <w:tcW w:w="2605" w:type="dxa"/>
            <w:vAlign w:val="center"/>
          </w:tcPr>
          <w:p w14:paraId="5A1E5CC4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Кадрова политика</w:t>
            </w:r>
          </w:p>
        </w:tc>
        <w:tc>
          <w:tcPr>
            <w:tcW w:w="2520" w:type="dxa"/>
            <w:vAlign w:val="center"/>
          </w:tcPr>
          <w:p w14:paraId="59D9BE4B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Секторно диференцирана</w:t>
            </w:r>
          </w:p>
        </w:tc>
        <w:tc>
          <w:tcPr>
            <w:tcW w:w="1800" w:type="dxa"/>
            <w:vAlign w:val="center"/>
          </w:tcPr>
          <w:p w14:paraId="11661D17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По-съгласувана</w:t>
            </w:r>
          </w:p>
        </w:tc>
        <w:tc>
          <w:tcPr>
            <w:tcW w:w="2591" w:type="dxa"/>
            <w:vAlign w:val="center"/>
          </w:tcPr>
          <w:p w14:paraId="1576A6AB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Споделени компетентностни изисквания</w:t>
            </w:r>
          </w:p>
        </w:tc>
      </w:tr>
      <w:tr w:rsidR="00494866" w:rsidRPr="00122ADD" w14:paraId="4990C41A" w14:textId="77777777" w:rsidTr="00494866">
        <w:trPr>
          <w:jc w:val="center"/>
        </w:trPr>
        <w:tc>
          <w:tcPr>
            <w:tcW w:w="2605" w:type="dxa"/>
            <w:vAlign w:val="center"/>
          </w:tcPr>
          <w:p w14:paraId="7506FD07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Общи стандарти за качество</w:t>
            </w:r>
          </w:p>
        </w:tc>
        <w:tc>
          <w:tcPr>
            <w:tcW w:w="2520" w:type="dxa"/>
            <w:vAlign w:val="center"/>
          </w:tcPr>
          <w:p w14:paraId="2825E7A9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Ограничени/различни</w:t>
            </w:r>
          </w:p>
        </w:tc>
        <w:tc>
          <w:tcPr>
            <w:tcW w:w="1800" w:type="dxa"/>
            <w:vAlign w:val="center"/>
          </w:tcPr>
          <w:p w14:paraId="51350A72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Висока степен на общност</w:t>
            </w:r>
          </w:p>
        </w:tc>
        <w:tc>
          <w:tcPr>
            <w:tcW w:w="2591" w:type="dxa"/>
            <w:vAlign w:val="center"/>
          </w:tcPr>
          <w:p w14:paraId="7ADE9F43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Частично споделени</w:t>
            </w:r>
          </w:p>
        </w:tc>
      </w:tr>
      <w:tr w:rsidR="00494866" w:rsidRPr="00122ADD" w14:paraId="33223BD9" w14:textId="77777777" w:rsidTr="00494866">
        <w:trPr>
          <w:jc w:val="center"/>
        </w:trPr>
        <w:tc>
          <w:tcPr>
            <w:tcW w:w="2605" w:type="dxa"/>
            <w:vAlign w:val="center"/>
          </w:tcPr>
          <w:p w14:paraId="51BFEF8A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Мониторинг и отчетност</w:t>
            </w:r>
          </w:p>
        </w:tc>
        <w:tc>
          <w:tcPr>
            <w:tcW w:w="2520" w:type="dxa"/>
            <w:vAlign w:val="center"/>
          </w:tcPr>
          <w:p w14:paraId="4B554FA8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Секторни линии</w:t>
            </w:r>
          </w:p>
        </w:tc>
        <w:tc>
          <w:tcPr>
            <w:tcW w:w="1800" w:type="dxa"/>
            <w:vAlign w:val="center"/>
          </w:tcPr>
          <w:p w14:paraId="22DDC7A9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Интегрирани механизми</w:t>
            </w:r>
          </w:p>
        </w:tc>
        <w:tc>
          <w:tcPr>
            <w:tcW w:w="2591" w:type="dxa"/>
            <w:vAlign w:val="center"/>
          </w:tcPr>
          <w:p w14:paraId="314159E4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Съвместими/координирани</w:t>
            </w:r>
          </w:p>
        </w:tc>
      </w:tr>
      <w:tr w:rsidR="00494866" w:rsidRPr="00122ADD" w14:paraId="3C4087A0" w14:textId="77777777" w:rsidTr="00494866">
        <w:trPr>
          <w:jc w:val="center"/>
        </w:trPr>
        <w:tc>
          <w:tcPr>
            <w:tcW w:w="2605" w:type="dxa"/>
            <w:vAlign w:val="center"/>
          </w:tcPr>
          <w:p w14:paraId="435EBA44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Достъп и обхват</w:t>
            </w:r>
          </w:p>
        </w:tc>
        <w:tc>
          <w:tcPr>
            <w:tcW w:w="2520" w:type="dxa"/>
            <w:vAlign w:val="center"/>
          </w:tcPr>
          <w:p w14:paraId="241C92A7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Зависими от сектора</w:t>
            </w:r>
          </w:p>
        </w:tc>
        <w:tc>
          <w:tcPr>
            <w:tcW w:w="1800" w:type="dxa"/>
            <w:vAlign w:val="center"/>
          </w:tcPr>
          <w:p w14:paraId="7732E33C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По-лесно планиране в обща рамка</w:t>
            </w:r>
          </w:p>
        </w:tc>
        <w:tc>
          <w:tcPr>
            <w:tcW w:w="2591" w:type="dxa"/>
            <w:vAlign w:val="center"/>
          </w:tcPr>
          <w:p w14:paraId="76447B71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Зависят от координацията</w:t>
            </w:r>
          </w:p>
        </w:tc>
      </w:tr>
      <w:tr w:rsidR="00494866" w:rsidRPr="00122ADD" w14:paraId="48921CCE" w14:textId="77777777" w:rsidTr="00494866">
        <w:trPr>
          <w:jc w:val="center"/>
        </w:trPr>
        <w:tc>
          <w:tcPr>
            <w:tcW w:w="2605" w:type="dxa"/>
            <w:vAlign w:val="center"/>
          </w:tcPr>
          <w:p w14:paraId="129FDC6B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Социално включване</w:t>
            </w:r>
          </w:p>
        </w:tc>
        <w:tc>
          <w:tcPr>
            <w:tcW w:w="2520" w:type="dxa"/>
            <w:vAlign w:val="center"/>
          </w:tcPr>
          <w:p w14:paraId="19D7BFCD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Често чрез допълнителни мерки</w:t>
            </w:r>
          </w:p>
        </w:tc>
        <w:tc>
          <w:tcPr>
            <w:tcW w:w="1800" w:type="dxa"/>
            <w:vAlign w:val="center"/>
          </w:tcPr>
          <w:p w14:paraId="04E5E787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Интегрирано в политиката</w:t>
            </w:r>
          </w:p>
        </w:tc>
        <w:tc>
          <w:tcPr>
            <w:tcW w:w="2591" w:type="dxa"/>
            <w:vAlign w:val="center"/>
          </w:tcPr>
          <w:p w14:paraId="02EFE789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Координирано между услуги</w:t>
            </w:r>
          </w:p>
        </w:tc>
      </w:tr>
      <w:tr w:rsidR="00494866" w:rsidRPr="00122ADD" w14:paraId="30C0E15E" w14:textId="77777777" w:rsidTr="00494866">
        <w:trPr>
          <w:jc w:val="center"/>
        </w:trPr>
        <w:tc>
          <w:tcPr>
            <w:tcW w:w="2605" w:type="dxa"/>
            <w:vAlign w:val="center"/>
          </w:tcPr>
          <w:p w14:paraId="2867E0DC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Участие на семейството</w:t>
            </w:r>
          </w:p>
        </w:tc>
        <w:tc>
          <w:tcPr>
            <w:tcW w:w="2520" w:type="dxa"/>
            <w:vAlign w:val="center"/>
          </w:tcPr>
          <w:p w14:paraId="342A101F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Вариативно по сектори</w:t>
            </w:r>
          </w:p>
        </w:tc>
        <w:tc>
          <w:tcPr>
            <w:tcW w:w="1800" w:type="dxa"/>
            <w:vAlign w:val="center"/>
          </w:tcPr>
          <w:p w14:paraId="4CB93194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Част от общата рамка</w:t>
            </w:r>
          </w:p>
        </w:tc>
        <w:tc>
          <w:tcPr>
            <w:tcW w:w="2591" w:type="dxa"/>
            <w:vAlign w:val="center"/>
          </w:tcPr>
          <w:p w14:paraId="77AFDD12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Споделена отговорност</w:t>
            </w:r>
          </w:p>
        </w:tc>
      </w:tr>
      <w:tr w:rsidR="00494866" w:rsidRPr="00122ADD" w14:paraId="689D17DB" w14:textId="77777777" w:rsidTr="00494866">
        <w:trPr>
          <w:jc w:val="center"/>
        </w:trPr>
        <w:tc>
          <w:tcPr>
            <w:tcW w:w="2605" w:type="dxa"/>
            <w:vAlign w:val="center"/>
          </w:tcPr>
          <w:p w14:paraId="7292A74A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Системна устойчивост</w:t>
            </w:r>
          </w:p>
        </w:tc>
        <w:tc>
          <w:tcPr>
            <w:tcW w:w="2520" w:type="dxa"/>
            <w:vAlign w:val="center"/>
          </w:tcPr>
          <w:p w14:paraId="7F28C168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Риск от прекъсвания</w:t>
            </w:r>
          </w:p>
        </w:tc>
        <w:tc>
          <w:tcPr>
            <w:tcW w:w="1800" w:type="dxa"/>
            <w:vAlign w:val="center"/>
          </w:tcPr>
          <w:p w14:paraId="5990B8FA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По-висока потенциална съгласуваност</w:t>
            </w:r>
          </w:p>
        </w:tc>
        <w:tc>
          <w:tcPr>
            <w:tcW w:w="2591" w:type="dxa"/>
            <w:vAlign w:val="center"/>
          </w:tcPr>
          <w:p w14:paraId="201534F3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Зависи от силата на координацията</w:t>
            </w:r>
          </w:p>
        </w:tc>
      </w:tr>
      <w:tr w:rsidR="00494866" w:rsidRPr="00122ADD" w14:paraId="24056A15" w14:textId="77777777" w:rsidTr="00494866">
        <w:trPr>
          <w:jc w:val="center"/>
        </w:trPr>
        <w:tc>
          <w:tcPr>
            <w:tcW w:w="2605" w:type="dxa"/>
            <w:vAlign w:val="center"/>
          </w:tcPr>
          <w:p w14:paraId="6DA914A2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Основни предимства</w:t>
            </w:r>
          </w:p>
        </w:tc>
        <w:tc>
          <w:tcPr>
            <w:tcW w:w="2520" w:type="dxa"/>
            <w:vAlign w:val="center"/>
          </w:tcPr>
          <w:p w14:paraId="0A897028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Специализация; ясни секторни функции</w:t>
            </w:r>
          </w:p>
        </w:tc>
        <w:tc>
          <w:tcPr>
            <w:tcW w:w="1800" w:type="dxa"/>
            <w:vAlign w:val="center"/>
          </w:tcPr>
          <w:p w14:paraId="55A0782F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Цялостност; общи стандарти</w:t>
            </w:r>
          </w:p>
        </w:tc>
        <w:tc>
          <w:tcPr>
            <w:tcW w:w="2591" w:type="dxa"/>
            <w:vAlign w:val="center"/>
          </w:tcPr>
          <w:p w14:paraId="082F921F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Гъвкавост; съчетава специализация и интеграция</w:t>
            </w:r>
          </w:p>
        </w:tc>
      </w:tr>
      <w:tr w:rsidR="00494866" w:rsidRPr="00122ADD" w14:paraId="69BD30B2" w14:textId="77777777" w:rsidTr="00494866">
        <w:trPr>
          <w:jc w:val="center"/>
        </w:trPr>
        <w:tc>
          <w:tcPr>
            <w:tcW w:w="2605" w:type="dxa"/>
            <w:vAlign w:val="center"/>
          </w:tcPr>
          <w:p w14:paraId="7EC371A8" w14:textId="77777777" w:rsidR="00494866" w:rsidRPr="00122ADD" w:rsidRDefault="00494866" w:rsidP="00494866">
            <w:pPr>
              <w:jc w:val="center"/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b/>
                <w:sz w:val="20"/>
                <w:szCs w:val="20"/>
                <w:lang w:val="bg-BG"/>
              </w:rPr>
              <w:t>Основни ограничения</w:t>
            </w:r>
          </w:p>
        </w:tc>
        <w:tc>
          <w:tcPr>
            <w:tcW w:w="2520" w:type="dxa"/>
            <w:vAlign w:val="center"/>
          </w:tcPr>
          <w:p w14:paraId="2AEC258E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Фрагментация; различни режими</w:t>
            </w:r>
          </w:p>
        </w:tc>
        <w:tc>
          <w:tcPr>
            <w:tcW w:w="1800" w:type="dxa"/>
            <w:vAlign w:val="center"/>
          </w:tcPr>
          <w:p w14:paraId="4069853D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Централизация; сложност</w:t>
            </w:r>
          </w:p>
        </w:tc>
        <w:tc>
          <w:tcPr>
            <w:tcW w:w="2591" w:type="dxa"/>
            <w:vAlign w:val="center"/>
          </w:tcPr>
          <w:p w14:paraId="2B294808" w14:textId="77777777" w:rsidR="00494866" w:rsidRPr="00122ADD" w:rsidRDefault="00494866" w:rsidP="00494866">
            <w:pPr>
              <w:rPr>
                <w:rFonts w:cs="Times New Roman"/>
                <w:sz w:val="20"/>
                <w:szCs w:val="20"/>
                <w:lang w:val="bg-BG"/>
              </w:rPr>
            </w:pPr>
            <w:r w:rsidRPr="00122ADD">
              <w:rPr>
                <w:rFonts w:cs="Times New Roman"/>
                <w:sz w:val="20"/>
                <w:szCs w:val="20"/>
                <w:lang w:val="bg-BG"/>
              </w:rPr>
              <w:t>Координационни разходи; зависимост от механизмите</w:t>
            </w:r>
          </w:p>
        </w:tc>
      </w:tr>
    </w:tbl>
    <w:p w14:paraId="2FEBB0F8" w14:textId="77777777" w:rsidR="00636FFC" w:rsidRPr="00122ADD" w:rsidRDefault="00636FFC">
      <w:pPr>
        <w:jc w:val="center"/>
        <w:rPr>
          <w:lang w:val="bg-BG"/>
        </w:rPr>
      </w:pPr>
    </w:p>
    <w:p w14:paraId="7FF0E2D8" w14:textId="63AE1AD8" w:rsidR="00636FFC" w:rsidRPr="00122ADD" w:rsidRDefault="004C0E8F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Съпоставянето показва, че разграничението между моделите има аналитичен, а не строго взаимоизключващ характер. Секторно разделена </w:t>
      </w:r>
      <w:r w:rsidRPr="00122ADD">
        <w:rPr>
          <w:lang w:val="bg-BG"/>
        </w:rPr>
        <w:lastRenderedPageBreak/>
        <w:t>система може да функционира при висока степен на координация, както и интегриран модел може да запазва специфични секторни функции и компетентности. Поради това характеристиките и ефективността на даден модел следва да се оценяват не само според формалното разпределение на отговорностите, а и според степента на съгласуваност между управленските равнища, ресурсите, стандартите, професионалните компетентности, услугите и информационните потоци.</w:t>
      </w:r>
    </w:p>
    <w:p w14:paraId="573B86FB" w14:textId="4EF1A0D3" w:rsidR="00636FFC" w:rsidRPr="00122ADD" w:rsidRDefault="00122ADD" w:rsidP="006A7636">
      <w:pPr>
        <w:pStyle w:val="1"/>
        <w:ind w:firstLine="562"/>
        <w:rPr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4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 Международен контекст</w:t>
      </w:r>
    </w:p>
    <w:p w14:paraId="5516EE90" w14:textId="77777777" w:rsidR="004C0E8F" w:rsidRPr="00122ADD" w:rsidRDefault="004C0E8F" w:rsidP="004C0E8F">
      <w:pPr>
        <w:ind w:firstLine="562"/>
        <w:jc w:val="both"/>
        <w:rPr>
          <w:lang w:val="bg-BG"/>
        </w:rPr>
      </w:pPr>
      <w:r w:rsidRPr="00122ADD">
        <w:rPr>
          <w:lang w:val="bg-BG"/>
        </w:rPr>
        <w:t>Международният опит показва, че системната съгласуваност в ОГРДВ може да се постига чрез различни управленски конфигурации. Нова Зеландия прилага интегрирана рамка, обединяваща образователната политика и управлението на услугите; Австралия съчетава национална рамка за качество с разпределение на отговорностите между федералното и щатското равнище; Южна Корея развива механизми за координация между системите за образование и грижи; Япония запазва разделението между традиционните форми, като едновременно развива интегрирани центрове за образование и грижи [10; 11]. Съпоставянето на тези примери показва, че институционалната интеграция сама по себе си не определя ефективността на системата. По-значими са ясното разпределение на отговорностите, механизмите за координация и способността за осигуряване на последователна подкрепа за децата и семействата.</w:t>
      </w:r>
    </w:p>
    <w:p w14:paraId="668008C7" w14:textId="03841D1C" w:rsidR="00636FFC" w:rsidRPr="00122ADD" w:rsidRDefault="004C0E8F" w:rsidP="004C0E8F">
      <w:pPr>
        <w:ind w:firstLine="562"/>
        <w:jc w:val="both"/>
        <w:rPr>
          <w:lang w:val="bg-BG"/>
        </w:rPr>
      </w:pPr>
      <w:r w:rsidRPr="00122ADD">
        <w:rPr>
          <w:lang w:val="bg-BG"/>
        </w:rPr>
        <w:t>В този контекст качеството представлява ключов критерий за оценка на различните управленски решения. Европейската рамка за висококачествени системи за ОГРДВ и международните стандарти за качество поставят акцент върху структурните условия, професионалната подготовка, качеството на педагогическите взаимодействия, достъпа и мониторинга [5]. Това позволява институционалната архитектура да бъде оценявана не сама по себе си, а според способността ѝ да създава условия за качествени услуги и положителни резултати за децата и семействата.</w:t>
      </w:r>
    </w:p>
    <w:p w14:paraId="58DDA178" w14:textId="51755C63" w:rsidR="00636FFC" w:rsidRPr="00122ADD" w:rsidRDefault="00122ADD" w:rsidP="006A7636">
      <w:pPr>
        <w:pStyle w:val="1"/>
        <w:ind w:firstLine="562"/>
        <w:rPr>
          <w:rFonts w:ascii="Times New Roman" w:eastAsia="Times New Roman" w:hAnsi="Times New Roman"/>
          <w:color w:val="000000"/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5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 xml:space="preserve">. </w:t>
      </w:r>
      <w:r w:rsidR="00FE119F" w:rsidRPr="00122ADD">
        <w:rPr>
          <w:rFonts w:ascii="Times New Roman" w:eastAsia="Times New Roman" w:hAnsi="Times New Roman"/>
          <w:color w:val="000000"/>
          <w:lang w:val="bg-BG"/>
        </w:rPr>
        <w:t>България в сравнителната рамка на моделите на управление на ОГРДВ</w:t>
      </w:r>
    </w:p>
    <w:p w14:paraId="21803AB9" w14:textId="667DB4C4" w:rsidR="00FE119F" w:rsidRPr="00122ADD" w:rsidRDefault="00FE119F" w:rsidP="00FE119F">
      <w:pPr>
        <w:ind w:firstLine="562"/>
        <w:jc w:val="both"/>
        <w:rPr>
          <w:lang w:val="bg-BG"/>
        </w:rPr>
      </w:pPr>
      <w:r w:rsidRPr="00122ADD">
        <w:rPr>
          <w:lang w:val="bg-BG"/>
        </w:rPr>
        <w:t>Българската система се характеризира с разпределена институционална и нормативна отговорност. Предучилищното образование е част от системата на предучилищното и училищното образование и се осъществява в детските градини и училищата, при обща нормативна рамка, определена от Закона за предучилищното и училищното образование и Наредба № 5 от 03.06.2016 г. за предучилищното образование. Наредбата регламентира организацията и съдържанието на предучилищното образование и определя основни изисквания към неговото осъществяване в детските градини. За разлика от тях, детските ясли функционират в отделна нормативна и институционална рамка. Наредба № 26 от 18.11.2008 г. регламентира устройството и дейността на детските ясли и свързаните с тях здравни изисквания [3; 4].</w:t>
      </w:r>
    </w:p>
    <w:p w14:paraId="57AA2B55" w14:textId="77777777" w:rsidR="00FE119F" w:rsidRPr="00122ADD" w:rsidRDefault="00FE119F" w:rsidP="00FE119F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Управленската структура включва Министерството на образованието и науката и регионалните управления на образованието, Министерството на </w:t>
      </w:r>
      <w:r w:rsidRPr="00122ADD">
        <w:rPr>
          <w:lang w:val="bg-BG"/>
        </w:rPr>
        <w:lastRenderedPageBreak/>
        <w:t>здравеопазването и регионалните здравни инспекции, Министерството на труда и социалната политика и структурите за социална закрила и социални услуги, общините, образователните институции и доставчиците на услуги за деца и семейства. Това разпределение на отговорностите превръща междуинституционалната координация в необходимо условие за осигуряване на последователна подкрепа.</w:t>
      </w:r>
    </w:p>
    <w:p w14:paraId="364D465A" w14:textId="77777777" w:rsidR="00FE119F" w:rsidRPr="00122ADD" w:rsidRDefault="00FE119F" w:rsidP="00FE119F">
      <w:pPr>
        <w:ind w:firstLine="562"/>
        <w:jc w:val="both"/>
        <w:rPr>
          <w:lang w:val="bg-BG"/>
        </w:rPr>
      </w:pPr>
      <w:r w:rsidRPr="00122ADD">
        <w:rPr>
          <w:lang w:val="bg-BG"/>
        </w:rPr>
        <w:t>Особена роля имат общините, които участват в управлението на общинските детски градини и ясли, поддържането на материалната база, местното планиране и предоставянето на услуги. Поради това резултатите зависят не само от националната политика, но и от местния административен и финансов капацитет. Различията в наличните ресурси могат да се отразят върху достъпа, равнопоставеността и устойчивостта на услугите.</w:t>
      </w:r>
    </w:p>
    <w:p w14:paraId="4D90C8CE" w14:textId="77777777" w:rsidR="00FE119F" w:rsidRPr="00122ADD" w:rsidRDefault="00FE119F" w:rsidP="00FE119F">
      <w:pPr>
        <w:ind w:firstLine="562"/>
        <w:jc w:val="both"/>
        <w:rPr>
          <w:lang w:val="bg-BG"/>
        </w:rPr>
      </w:pPr>
      <w:r w:rsidRPr="00122ADD">
        <w:rPr>
          <w:lang w:val="bg-BG"/>
        </w:rPr>
        <w:t>Различията в механизмите и равнищата на финансиране също имат значение за управленската съгласуваност. Предучилищното образование е включено в установени механизми на публично финансиране, докато ресурсното обезпечаване на детските ясли е в значителна степен свързано с общинското управление и местните финансови възможности. Това обуславя необходимостта от по-добро съгласуване на планирането, ресурсите и отговорностите между секторите и равнищата на управление.</w:t>
      </w:r>
    </w:p>
    <w:p w14:paraId="46746612" w14:textId="77777777" w:rsidR="00FE119F" w:rsidRPr="00122ADD" w:rsidRDefault="00FE119F" w:rsidP="00FE119F">
      <w:pPr>
        <w:ind w:firstLine="562"/>
        <w:jc w:val="both"/>
        <w:rPr>
          <w:lang w:val="bg-BG"/>
        </w:rPr>
      </w:pPr>
      <w:r w:rsidRPr="00122ADD">
        <w:rPr>
          <w:lang w:val="bg-BG"/>
        </w:rPr>
        <w:t>Нормативната и стратегическата рамка показват тенденция към засилване на координацията. Законът за социалните услуги създава предпоставки за взаимодействие между институции и доставчици, а стратегическите политики поставят акцент върху комплексната подкрепа за детето и семейството. Същевременно секторното разпределение на отговорностите и различията в нормативните и управленските режими остават съществена характеристика на системата.</w:t>
      </w:r>
    </w:p>
    <w:p w14:paraId="03E9BB10" w14:textId="563C89B3" w:rsidR="00636FFC" w:rsidRPr="00122ADD" w:rsidRDefault="00FE119F" w:rsidP="00FE119F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В сравнителната рамка българският модел най-прецизно може да бъде определен като </w:t>
      </w:r>
      <w:r w:rsidRPr="00122ADD">
        <w:rPr>
          <w:b/>
          <w:bCs/>
          <w:lang w:val="bg-BG"/>
        </w:rPr>
        <w:t>разделена институционална архитектура с развиващи се механизми за координация</w:t>
      </w:r>
      <w:r w:rsidRPr="00122ADD">
        <w:rPr>
          <w:lang w:val="bg-BG"/>
        </w:rPr>
        <w:t>. Той не представлява завършен хибриден модел, а система, в която секторното разпределение на отговорностите съществува паралелно с процеси на институционално сближаване и координация. Именно степента, устойчивостта и ефективността на тези механизми са определящи за възможността да се преодолеят фрагментираните управленски решения и да се осигури по-голяма съгласуваност на политиките и услугите за децата и семействата.</w:t>
      </w:r>
    </w:p>
    <w:p w14:paraId="38BA0E82" w14:textId="4E9E9B80" w:rsidR="00636FFC" w:rsidRPr="00122ADD" w:rsidRDefault="00122ADD" w:rsidP="006A7636">
      <w:pPr>
        <w:pStyle w:val="1"/>
        <w:ind w:firstLine="562"/>
        <w:rPr>
          <w:lang w:val="bg-BG"/>
        </w:rPr>
      </w:pPr>
      <w:r>
        <w:rPr>
          <w:rFonts w:ascii="Times New Roman" w:eastAsia="Times New Roman" w:hAnsi="Times New Roman"/>
          <w:color w:val="000000"/>
          <w:lang w:val="bg-BG"/>
        </w:rPr>
        <w:t>6</w:t>
      </w:r>
      <w:r w:rsidR="00000000" w:rsidRPr="00122ADD">
        <w:rPr>
          <w:rFonts w:ascii="Times New Roman" w:eastAsia="Times New Roman" w:hAnsi="Times New Roman"/>
          <w:color w:val="000000"/>
          <w:lang w:val="bg-BG"/>
        </w:rPr>
        <w:t>. Дискусия</w:t>
      </w:r>
    </w:p>
    <w:p w14:paraId="54CB65D2" w14:textId="77777777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>Сравнителният анализ не потвърждава тезата, че един от трите модела е универсално по-ефективен. Предимствата на интегрирания модел се реализират при достатъчен ресурс, професионален капацитет и ясна отчетност; разделеният модел може да бъде устойчив при ефективна координация; хибридният модел е реалистична форма на развитие там, където исторически формираните секторни структури не предполагат бързо институционално обединяване.</w:t>
      </w:r>
    </w:p>
    <w:p w14:paraId="1A0E05E7" w14:textId="77777777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lastRenderedPageBreak/>
        <w:t>Ключовият въпрос за България е как да се превърне координацията в реална управленска инфраструктура. Това означава съвместно планиране, ясни процедури за взаимодействие, съгласувани стандарти, съвместими информационни практики, ресурсно обезпечаване, ясно определени отговорности и системно проследяване на резултатите. Формалното наличие на координационна структура не е достатъчен показател за интегрираност.</w:t>
      </w:r>
    </w:p>
    <w:p w14:paraId="270535E0" w14:textId="77777777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Тук </w:t>
      </w:r>
      <w:proofErr w:type="spellStart"/>
      <w:r w:rsidRPr="00122ADD">
        <w:rPr>
          <w:lang w:val="bg-BG"/>
        </w:rPr>
        <w:t>компетентностната</w:t>
      </w:r>
      <w:proofErr w:type="spellEnd"/>
      <w:r w:rsidRPr="00122ADD">
        <w:rPr>
          <w:lang w:val="bg-BG"/>
        </w:rPr>
        <w:t xml:space="preserve"> перспектива има съществено значение. Методологическият дизайн на Иванова, Тодорова и Калейнска разглежда сравнителната матрица на професионалните компетентности като резултат от систематичен преглед на литература и нормативни документи и експертна </w:t>
      </w:r>
      <w:proofErr w:type="spellStart"/>
      <w:r w:rsidRPr="00122ADD">
        <w:rPr>
          <w:lang w:val="bg-BG"/>
        </w:rPr>
        <w:t>валидизация</w:t>
      </w:r>
      <w:proofErr w:type="spellEnd"/>
      <w:r w:rsidRPr="00122ADD">
        <w:rPr>
          <w:lang w:val="bg-BG"/>
        </w:rPr>
        <w:t xml:space="preserve"> [2]. В рамките на настоящия анализ това позволява да се изведе допълнителен критерий: управленската съгласуваност следва да се оценява и според степента, в която различните сектори споделят съвместими изисквания към професионалните роли и компетентности.</w:t>
      </w:r>
    </w:p>
    <w:p w14:paraId="0DF0ACBE" w14:textId="77777777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>Следователно връзката между управленска архитектура и качество може да се мисли като взаимозависима последователност: институционалната структура създава условия за координационен капацитет; координацията влияе върху мобилизирането на ресурсите; ресурсите и професионалните компетентности се отразяват върху процесите; качеството на процесите създава условия за развитието и благополучието на детето. Тази логика не предполага линейна зависимост, а система от взаимно свързани условия.</w:t>
      </w:r>
    </w:p>
    <w:p w14:paraId="651FAABF" w14:textId="77777777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>В българския контекст не се налага извод за незабавно и пълно институционално преструктуриране. По-реалистична е постепенна функционална интеграция чрез общи или съгласувани стандарти, споделени компетентностни изисквания, координирано планиране и ресурсно обезпечаване, устойчиво професионално взаимодействие, съвместими данни и системно проследяване на резултатите.</w:t>
      </w:r>
    </w:p>
    <w:p w14:paraId="0AE6444C" w14:textId="051AF852" w:rsidR="00636FFC" w:rsidRPr="00122ADD" w:rsidRDefault="00000000" w:rsidP="006A7636">
      <w:pPr>
        <w:pStyle w:val="1"/>
        <w:ind w:firstLine="562"/>
        <w:rPr>
          <w:lang w:val="bg-BG"/>
        </w:rPr>
      </w:pPr>
      <w:r w:rsidRPr="00122ADD">
        <w:rPr>
          <w:rFonts w:ascii="Times New Roman" w:eastAsia="Times New Roman" w:hAnsi="Times New Roman"/>
          <w:color w:val="000000"/>
          <w:lang w:val="bg-BG"/>
        </w:rPr>
        <w:t>Заключение</w:t>
      </w:r>
    </w:p>
    <w:p w14:paraId="30556721" w14:textId="77777777" w:rsidR="00DA4909" w:rsidRPr="00122ADD" w:rsidRDefault="00DA4909" w:rsidP="00DA4909">
      <w:pPr>
        <w:ind w:firstLine="562"/>
        <w:jc w:val="both"/>
        <w:rPr>
          <w:lang w:val="bg-BG"/>
        </w:rPr>
      </w:pPr>
      <w:r w:rsidRPr="00122ADD">
        <w:rPr>
          <w:lang w:val="bg-BG"/>
        </w:rPr>
        <w:t>Сравнителният анализ показва, че разделеният, интегрираният и хибридният/координираният модел представляват различни конфигурации на институционалната отговорност, чиято ефективност следва да се оценява в конкретния национален контекст. Разделеният модел осигурява ясно разграничени секторни функции, но създава риск от фрагментация; интегрираният насърчава единна политическа и управленска рамка, но може да бъде свързан с по-висока централизация и организационна сложност; хибридният съчетава секторно разпределение на отговорностите с механизми за интеграция и координация, чиято ефективност зависи от реалния координационен капацитет.</w:t>
      </w:r>
    </w:p>
    <w:p w14:paraId="57622871" w14:textId="77777777" w:rsidR="00DA4909" w:rsidRPr="00122ADD" w:rsidRDefault="00DA4909" w:rsidP="00DA4909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В българския контекст се установява устойчиво секторно разпределение на отговорностите, съчетано с развиващи се механизми за междуинституционална координация. Поради това системата не може да бъде определена нито като изцяло разделена, нито като институционално интегрирана. По-точно е да се разглежда като разделена институционална </w:t>
      </w:r>
      <w:r w:rsidRPr="00122ADD">
        <w:rPr>
          <w:lang w:val="bg-BG"/>
        </w:rPr>
        <w:lastRenderedPageBreak/>
        <w:t>архитектура с елементи на координирана интеграция, при която функционалната съгласуваност все още представлява направление за развитие.</w:t>
      </w:r>
    </w:p>
    <w:p w14:paraId="6BB64D84" w14:textId="77777777" w:rsidR="00DA4909" w:rsidRPr="00122ADD" w:rsidRDefault="00DA4909" w:rsidP="00DA4909">
      <w:pPr>
        <w:ind w:firstLine="562"/>
        <w:jc w:val="both"/>
        <w:rPr>
          <w:lang w:val="bg-BG"/>
        </w:rPr>
      </w:pPr>
      <w:r w:rsidRPr="00122ADD">
        <w:rPr>
          <w:lang w:val="bg-BG"/>
        </w:rPr>
        <w:t>Ключовият въпрос пред управлението на ОГРДВ е не формалното обединяване на институции, а способността на системата да осигурява съгласувана, достъпна и качествена подкрепа за детето и семейството. Това предполага взаимно обвързване на нормативната рамка, финансирането, достъпа, професионалните компетентности, стандартите за качество, информационните ресурси и отчетността.</w:t>
      </w:r>
    </w:p>
    <w:p w14:paraId="4BC8B252" w14:textId="77777777" w:rsidR="00DA4909" w:rsidRPr="00122ADD" w:rsidRDefault="00DA4909" w:rsidP="00DA4909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В тази </w:t>
      </w:r>
      <w:r w:rsidRPr="00122ADD">
        <w:rPr>
          <w:color w:val="000000" w:themeColor="text1"/>
          <w:lang w:val="bg-BG"/>
        </w:rPr>
        <w:t xml:space="preserve">перспектива компетентностният анализ </w:t>
      </w:r>
      <w:r w:rsidRPr="00122ADD">
        <w:rPr>
          <w:lang w:val="bg-BG"/>
        </w:rPr>
        <w:t>представлява допълващо равнище на оценка на системния капацитет. Сравнителната матрица на професионалните компетентности и предложеното от Иванова, Тодорова и Калейнска експертно валидиране могат да послужат като основа за изследване на съответствието между нормативно определените управленски функции и изискваните професионални компетентности [2]. Така анализът на управленските модели се свързва с по-широка оценка на способността на системата да реализира своите цели и да осигурява устойчиви резултати за децата и семействата.</w:t>
      </w:r>
    </w:p>
    <w:p w14:paraId="3BC10162" w14:textId="77777777" w:rsidR="00636FFC" w:rsidRPr="00DA4909" w:rsidRDefault="00636FFC" w:rsidP="00DA4909">
      <w:pPr>
        <w:ind w:firstLine="562"/>
        <w:rPr>
          <w:lang w:val="bg-BG"/>
        </w:rPr>
      </w:pPr>
    </w:p>
    <w:p w14:paraId="765EDA99" w14:textId="77777777" w:rsidR="00636FFC" w:rsidRPr="00122ADD" w:rsidRDefault="00000000" w:rsidP="006A7636">
      <w:pPr>
        <w:ind w:firstLine="562"/>
        <w:rPr>
          <w:lang w:val="bg-BG"/>
        </w:rPr>
      </w:pPr>
      <w:r w:rsidRPr="00122ADD">
        <w:rPr>
          <w:b/>
          <w:lang w:val="bg-BG"/>
        </w:rPr>
        <w:t>Благодарности и финансиране</w:t>
      </w:r>
    </w:p>
    <w:p w14:paraId="2FF52328" w14:textId="747B6C24" w:rsidR="00636FFC" w:rsidRPr="00122ADD" w:rsidRDefault="0022535B" w:rsidP="0022535B">
      <w:pPr>
        <w:ind w:firstLine="562"/>
        <w:jc w:val="both"/>
        <w:rPr>
          <w:color w:val="000000" w:themeColor="text1"/>
          <w:lang w:val="bg-BG"/>
        </w:rPr>
      </w:pPr>
      <w:r w:rsidRPr="00122ADD">
        <w:rPr>
          <w:color w:val="000000" w:themeColor="text1"/>
          <w:lang w:val="bg-BG"/>
        </w:rPr>
        <w:t>Тази публикация е финансирана по Национална научна програма „Развитие на научните изследвания и иновациите в областта на българското предучилищно и училищно образование“. Авторът носи цялата отговорност за съдържанието на настоящия документ и при никакви обстоятелства той не може да се приеме като официална позиция на Института по образование.</w:t>
      </w:r>
    </w:p>
    <w:p w14:paraId="6A528DDF" w14:textId="77777777" w:rsidR="00636FFC" w:rsidRPr="00122ADD" w:rsidRDefault="00636FFC" w:rsidP="006A7636">
      <w:pPr>
        <w:ind w:firstLine="562"/>
        <w:jc w:val="center"/>
        <w:rPr>
          <w:lang w:val="bg-BG"/>
        </w:rPr>
      </w:pPr>
    </w:p>
    <w:p w14:paraId="7C1983C4" w14:textId="77777777" w:rsidR="00636FFC" w:rsidRDefault="00000000" w:rsidP="006A7636">
      <w:pPr>
        <w:ind w:firstLine="562"/>
      </w:pPr>
      <w:r>
        <w:rPr>
          <w:b/>
        </w:rPr>
        <w:t>БЕЛЕЖКИ</w:t>
      </w:r>
    </w:p>
    <w:p w14:paraId="79E0FBA6" w14:textId="77777777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[1] ЗАКОН ЗА СОЦИАЛНИТЕ УСЛУГИ. </w:t>
      </w:r>
      <w:r w:rsidRPr="00122ADD">
        <w:rPr>
          <w:i/>
          <w:iCs/>
          <w:lang w:val="bg-BG"/>
        </w:rPr>
        <w:t>Държавен вестник</w:t>
      </w:r>
      <w:r w:rsidRPr="00122ADD">
        <w:rPr>
          <w:lang w:val="bg-BG"/>
        </w:rPr>
        <w:t>, бр. 24 от 22.03.2019 г., с последващи изменения и допълнения.</w:t>
      </w:r>
    </w:p>
    <w:p w14:paraId="4722FC7A" w14:textId="0F050FEE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>[2]</w:t>
      </w:r>
      <w:r w:rsidR="006A7636" w:rsidRPr="00122ADD">
        <w:rPr>
          <w:lang w:val="bg-BG"/>
        </w:rPr>
        <w:t xml:space="preserve"> </w:t>
      </w:r>
      <w:r w:rsidRPr="00122ADD">
        <w:rPr>
          <w:lang w:val="bg-BG"/>
        </w:rPr>
        <w:t>ИВАНОВА, Б</w:t>
      </w:r>
      <w:r w:rsidR="004A6FE5" w:rsidRPr="00122ADD">
        <w:rPr>
          <w:lang w:val="bg-BG"/>
        </w:rPr>
        <w:t>. и др</w:t>
      </w:r>
      <w:r w:rsidRPr="00122ADD">
        <w:rPr>
          <w:lang w:val="bg-BG"/>
        </w:rPr>
        <w:t xml:space="preserve">. </w:t>
      </w:r>
      <w:r w:rsidRPr="00122ADD">
        <w:rPr>
          <w:i/>
          <w:iCs/>
          <w:lang w:val="bg-BG"/>
        </w:rPr>
        <w:t>Стратегическа концепция за сравнителен анализ на нормативни рамки и компетентностни модели в образованието и грижата в ранна детска възраст: методологически подход и изследователски дизайн.</w:t>
      </w:r>
      <w:r w:rsidRPr="00122ADD">
        <w:rPr>
          <w:lang w:val="bg-BG"/>
        </w:rPr>
        <w:t xml:space="preserve"> Педагогически алманах, 34(1), 2026, </w:t>
      </w:r>
      <w:proofErr w:type="spellStart"/>
      <w:r w:rsidRPr="00122ADD">
        <w:rPr>
          <w:lang w:val="bg-BG"/>
        </w:rPr>
        <w:t>pp</w:t>
      </w:r>
      <w:proofErr w:type="spellEnd"/>
      <w:r w:rsidRPr="00122ADD">
        <w:rPr>
          <w:lang w:val="bg-BG"/>
        </w:rPr>
        <w:t>. 72–78. https://doi.org/10.54664/LXBA1177.</w:t>
      </w:r>
    </w:p>
    <w:p w14:paraId="243CA0D3" w14:textId="77777777" w:rsidR="00636FFC" w:rsidRPr="00122ADD" w:rsidRDefault="00000000" w:rsidP="006A7636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[3] МИНИСТЕРСТВО НА ЗДРАВЕОПАЗВАНЕТО. </w:t>
      </w:r>
      <w:r w:rsidRPr="00122ADD">
        <w:rPr>
          <w:i/>
          <w:iCs/>
          <w:lang w:val="bg-BG"/>
        </w:rPr>
        <w:t>Наредба № 26 от 18.11.2008 г. за устройството и дейността на детските ясли и детските кухни и здравните изисквания към тях</w:t>
      </w:r>
      <w:r w:rsidRPr="00122ADD">
        <w:rPr>
          <w:lang w:val="bg-BG"/>
        </w:rPr>
        <w:t>. София: Министерство на здравеопазването, 2008.</w:t>
      </w:r>
    </w:p>
    <w:p w14:paraId="70C4E90F" w14:textId="19661981" w:rsidR="004A6FE5" w:rsidRPr="00122ADD" w:rsidRDefault="00000000" w:rsidP="004A6FE5">
      <w:pPr>
        <w:ind w:firstLine="562"/>
        <w:jc w:val="both"/>
        <w:rPr>
          <w:lang w:val="bg-BG"/>
        </w:rPr>
      </w:pPr>
      <w:r w:rsidRPr="00122ADD">
        <w:rPr>
          <w:lang w:val="bg-BG"/>
        </w:rPr>
        <w:t xml:space="preserve">[4] МИНИСТЕРСТВО НА ОБРАЗОВАНИЕТО И НАУКАТА. </w:t>
      </w:r>
      <w:r w:rsidRPr="00122ADD">
        <w:rPr>
          <w:i/>
          <w:iCs/>
          <w:lang w:val="bg-BG"/>
        </w:rPr>
        <w:t>Наредба № 5 от 03.06.2016 г. за предучилищното образование</w:t>
      </w:r>
      <w:r w:rsidRPr="00122ADD">
        <w:rPr>
          <w:lang w:val="bg-BG"/>
        </w:rPr>
        <w:t>. София: Министерство на образованието и науката, 2016.</w:t>
      </w:r>
    </w:p>
    <w:p w14:paraId="26AEEF87" w14:textId="77777777" w:rsidR="00636FFC" w:rsidRDefault="00000000" w:rsidP="006A7636">
      <w:pPr>
        <w:ind w:firstLine="562"/>
        <w:jc w:val="both"/>
      </w:pPr>
      <w:r>
        <w:t xml:space="preserve">[5] </w:t>
      </w:r>
      <w:r w:rsidRPr="004A6FE5">
        <w:rPr>
          <w:i/>
          <w:iCs/>
        </w:rPr>
        <w:t>Council of the European Union</w:t>
      </w:r>
      <w:r>
        <w:t>. Council Recommendation of 22 May 2019 on High-Quality Early Childhood Education and Care Systems (2019/C 189/02). Official Journal of the European Union, C 189, 2019, pp. 4–14.</w:t>
      </w:r>
    </w:p>
    <w:p w14:paraId="2027E650" w14:textId="77777777" w:rsidR="00636FFC" w:rsidRDefault="00000000" w:rsidP="006A7636">
      <w:pPr>
        <w:ind w:firstLine="562"/>
        <w:jc w:val="both"/>
      </w:pPr>
      <w:r>
        <w:lastRenderedPageBreak/>
        <w:t xml:space="preserve">[6] KAGA, Yoko, John BENNETT and Peter MOSS. </w:t>
      </w:r>
      <w:r w:rsidRPr="004A6FE5">
        <w:rPr>
          <w:i/>
          <w:iCs/>
        </w:rPr>
        <w:t>Caring and Learning Together: A Cross-National Study on the Integration of Early Childhood Care and Education within Education</w:t>
      </w:r>
      <w:r>
        <w:t>. Paris: UNESCO, 2010.</w:t>
      </w:r>
    </w:p>
    <w:p w14:paraId="35BB3D7D" w14:textId="77777777" w:rsidR="00636FFC" w:rsidRDefault="00000000" w:rsidP="006A7636">
      <w:pPr>
        <w:ind w:firstLine="562"/>
        <w:jc w:val="both"/>
      </w:pPr>
      <w:r>
        <w:t xml:space="preserve">[7] OECD. Starting Strong VI: </w:t>
      </w:r>
      <w:r w:rsidRPr="004A6FE5">
        <w:rPr>
          <w:i/>
          <w:iCs/>
        </w:rPr>
        <w:t>Supporting Meaningful Interactions in Early Childhood Education and Care</w:t>
      </w:r>
      <w:r>
        <w:t>. Paris: OECD Publishing, 2021.</w:t>
      </w:r>
    </w:p>
    <w:p w14:paraId="6B32C79D" w14:textId="77777777" w:rsidR="00636FFC" w:rsidRDefault="00000000" w:rsidP="006A7636">
      <w:pPr>
        <w:ind w:firstLine="562"/>
        <w:jc w:val="both"/>
      </w:pPr>
      <w:r>
        <w:t xml:space="preserve">[8] OECD. Starting Strong III: </w:t>
      </w:r>
      <w:r w:rsidRPr="004A6FE5">
        <w:rPr>
          <w:i/>
          <w:iCs/>
        </w:rPr>
        <w:t>A Quality Toolbox for Early Childhood Education and Care</w:t>
      </w:r>
      <w:r>
        <w:t>. Paris: OECD Publishing, 2012.</w:t>
      </w:r>
    </w:p>
    <w:p w14:paraId="1620BEC2" w14:textId="77777777" w:rsidR="00636FFC" w:rsidRDefault="00000000" w:rsidP="006A7636">
      <w:pPr>
        <w:ind w:firstLine="562"/>
        <w:jc w:val="both"/>
      </w:pPr>
      <w:r>
        <w:t xml:space="preserve">[9] OECD. Starting Strong: </w:t>
      </w:r>
      <w:r w:rsidRPr="004A6FE5">
        <w:rPr>
          <w:i/>
          <w:iCs/>
        </w:rPr>
        <w:t>Early Childhood Education and Care</w:t>
      </w:r>
      <w:r>
        <w:t>. Paris: OECD Publishing, 2001. https://doi.org/10.1787/9789264192829-en.</w:t>
      </w:r>
    </w:p>
    <w:p w14:paraId="0142E189" w14:textId="77777777" w:rsidR="00636FFC" w:rsidRDefault="00000000" w:rsidP="006A7636">
      <w:pPr>
        <w:ind w:firstLine="562"/>
        <w:jc w:val="both"/>
      </w:pPr>
      <w:r>
        <w:t xml:space="preserve">[10] OECD. Starting Strong 2017: </w:t>
      </w:r>
      <w:r w:rsidRPr="004A6FE5">
        <w:rPr>
          <w:i/>
          <w:iCs/>
        </w:rPr>
        <w:t>Key OECD Indicators on Early Childhood Education and Care</w:t>
      </w:r>
      <w:r>
        <w:t>. Paris: OECD Publishing, 2017.</w:t>
      </w:r>
    </w:p>
    <w:p w14:paraId="1A8909B2" w14:textId="7924445F" w:rsidR="00636FFC" w:rsidRDefault="00000000" w:rsidP="006A7636">
      <w:pPr>
        <w:ind w:firstLine="562"/>
        <w:jc w:val="both"/>
        <w:rPr>
          <w:lang w:val="bg-BG"/>
        </w:rPr>
      </w:pPr>
      <w:r>
        <w:t xml:space="preserve">[11] UNESCO and UNICEF. </w:t>
      </w:r>
      <w:r w:rsidRPr="004A6FE5">
        <w:rPr>
          <w:i/>
          <w:iCs/>
        </w:rPr>
        <w:t>Global Report on Early Childhood Care and Education: The Right to a Strong Foundation</w:t>
      </w:r>
      <w:r>
        <w:t xml:space="preserve">. Paris: UNESCO, 2024. </w:t>
      </w:r>
      <w:r w:rsidR="00CC30E7" w:rsidRPr="00CC30E7">
        <w:t>https://doi.org/10.54675/FWQA2113</w:t>
      </w:r>
      <w:r>
        <w:t>.</w:t>
      </w:r>
    </w:p>
    <w:p w14:paraId="7FF062AE" w14:textId="26252D87" w:rsidR="00CC30E7" w:rsidRPr="00CC30E7" w:rsidRDefault="00CC30E7" w:rsidP="006A7636">
      <w:pPr>
        <w:ind w:firstLine="562"/>
        <w:jc w:val="both"/>
        <w:rPr>
          <w:lang w:val="bg-BG"/>
        </w:rPr>
      </w:pPr>
      <w:r>
        <w:t>[1</w:t>
      </w:r>
      <w:r>
        <w:rPr>
          <w:lang w:val="bg-BG"/>
        </w:rPr>
        <w:t>2</w:t>
      </w:r>
      <w:r>
        <w:t xml:space="preserve">] </w:t>
      </w:r>
      <w:r w:rsidRPr="00CC30E7">
        <w:t>OECD</w:t>
      </w:r>
      <w:r w:rsidRPr="004A6FE5">
        <w:rPr>
          <w:i/>
          <w:iCs/>
        </w:rPr>
        <w:t>. Starting Strong: Early Childhood Education and Care</w:t>
      </w:r>
      <w:r w:rsidRPr="00CC30E7">
        <w:t>. Paris: OECD Publishing.</w:t>
      </w:r>
      <w:r>
        <w:rPr>
          <w:lang w:val="bg-BG"/>
        </w:rPr>
        <w:t>, 2001,</w:t>
      </w:r>
      <w:r w:rsidRPr="00CC30E7">
        <w:t xml:space="preserve"> https://doi.org/10.1787/9789264192829-en</w:t>
      </w:r>
    </w:p>
    <w:p w14:paraId="1645C30A" w14:textId="68D92621" w:rsidR="00636FFC" w:rsidRDefault="00CC30E7" w:rsidP="006A7636">
      <w:pPr>
        <w:ind w:firstLine="562"/>
        <w:jc w:val="both"/>
      </w:pPr>
      <w:r>
        <w:t>[1</w:t>
      </w:r>
      <w:r>
        <w:rPr>
          <w:lang w:val="bg-BG"/>
        </w:rPr>
        <w:t>3</w:t>
      </w:r>
      <w:r>
        <w:t>]</w:t>
      </w:r>
      <w:r>
        <w:rPr>
          <w:lang w:val="bg-BG"/>
        </w:rPr>
        <w:t xml:space="preserve"> </w:t>
      </w:r>
      <w:r w:rsidRPr="00CC30E7">
        <w:t xml:space="preserve">OECD. </w:t>
      </w:r>
      <w:r w:rsidRPr="004A6FE5">
        <w:rPr>
          <w:i/>
          <w:iCs/>
        </w:rPr>
        <w:t>Reducing Inequalities by Investing in Early Childhood Education and Care</w:t>
      </w:r>
      <w:r w:rsidRPr="00CC30E7">
        <w:t>. Paris: OECD Publishing.</w:t>
      </w:r>
      <w:r>
        <w:rPr>
          <w:lang w:val="bg-BG"/>
        </w:rPr>
        <w:t>, 2025,</w:t>
      </w:r>
      <w:r w:rsidRPr="00CC30E7">
        <w:t xml:space="preserve"> https://doi.org/10.1787/b78f8b25-en</w:t>
      </w:r>
    </w:p>
    <w:p w14:paraId="0D581427" w14:textId="77777777" w:rsidR="00636FFC" w:rsidRDefault="00636FFC" w:rsidP="006A7636">
      <w:pPr>
        <w:ind w:firstLine="562"/>
        <w:jc w:val="center"/>
      </w:pPr>
    </w:p>
    <w:p w14:paraId="0709D485" w14:textId="77777777" w:rsidR="00636FFC" w:rsidRDefault="00000000" w:rsidP="006A7636">
      <w:pPr>
        <w:ind w:firstLine="562"/>
        <w:jc w:val="both"/>
      </w:pPr>
      <w:r>
        <w:rPr>
          <w:b/>
        </w:rPr>
        <w:t>ЛИТЕРАТУРА</w:t>
      </w:r>
    </w:p>
    <w:p w14:paraId="1F2A9636" w14:textId="77777777" w:rsidR="00636FFC" w:rsidRDefault="00000000" w:rsidP="006A7636">
      <w:pPr>
        <w:ind w:firstLine="562"/>
        <w:jc w:val="both"/>
      </w:pPr>
      <w:r>
        <w:t xml:space="preserve">1. ЗАКОН ЗА СОЦИАЛНИТЕ УСЛУГИ. </w:t>
      </w:r>
      <w:proofErr w:type="spellStart"/>
      <w:r w:rsidRPr="004A6FE5">
        <w:rPr>
          <w:i/>
          <w:iCs/>
        </w:rPr>
        <w:t>Държавен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вестник</w:t>
      </w:r>
      <w:proofErr w:type="spellEnd"/>
      <w:r>
        <w:t xml:space="preserve">, </w:t>
      </w:r>
      <w:proofErr w:type="spellStart"/>
      <w:r>
        <w:t>бр</w:t>
      </w:r>
      <w:proofErr w:type="spellEnd"/>
      <w:r>
        <w:t xml:space="preserve">. 24 </w:t>
      </w:r>
      <w:proofErr w:type="spellStart"/>
      <w:r>
        <w:t>от</w:t>
      </w:r>
      <w:proofErr w:type="spellEnd"/>
      <w:r>
        <w:t xml:space="preserve"> 22.03.2019 г., с </w:t>
      </w:r>
      <w:proofErr w:type="spellStart"/>
      <w:r>
        <w:t>последващи</w:t>
      </w:r>
      <w:proofErr w:type="spellEnd"/>
      <w:r>
        <w:t xml:space="preserve"> </w:t>
      </w:r>
      <w:proofErr w:type="spellStart"/>
      <w:r>
        <w:t>изменения</w:t>
      </w:r>
      <w:proofErr w:type="spellEnd"/>
      <w:r>
        <w:t xml:space="preserve"> и </w:t>
      </w:r>
      <w:proofErr w:type="spellStart"/>
      <w:r>
        <w:t>допълнения</w:t>
      </w:r>
      <w:proofErr w:type="spellEnd"/>
      <w:r>
        <w:t>.</w:t>
      </w:r>
    </w:p>
    <w:p w14:paraId="3FD14951" w14:textId="62462C5B" w:rsidR="00636FFC" w:rsidRDefault="00000000" w:rsidP="006A7636">
      <w:pPr>
        <w:ind w:firstLine="562"/>
        <w:jc w:val="both"/>
      </w:pPr>
      <w:r>
        <w:t>2. ИВАНОВА, Б.</w:t>
      </w:r>
      <w:r w:rsidR="004A6FE5">
        <w:rPr>
          <w:lang w:val="bg-BG"/>
        </w:rPr>
        <w:t xml:space="preserve"> и др.</w:t>
      </w:r>
      <w:r>
        <w:t xml:space="preserve"> </w:t>
      </w:r>
      <w:r w:rsidRPr="004A6FE5">
        <w:rPr>
          <w:i/>
          <w:iCs/>
          <w:lang w:val="bg-BG"/>
        </w:rPr>
        <w:t>Стратегическа концепция за сравнителен анализ на нормативни рамки и компетентностни модели в образованието и грижата в ранна детска възраст: методологически подход и изследователски дизайн</w:t>
      </w:r>
      <w:r>
        <w:t xml:space="preserve">. </w:t>
      </w:r>
      <w:proofErr w:type="spellStart"/>
      <w:r>
        <w:t>Педагогически</w:t>
      </w:r>
      <w:proofErr w:type="spellEnd"/>
      <w:r>
        <w:t xml:space="preserve"> </w:t>
      </w:r>
      <w:proofErr w:type="spellStart"/>
      <w:r>
        <w:t>алманах</w:t>
      </w:r>
      <w:proofErr w:type="spellEnd"/>
      <w:r>
        <w:t>, 34(1), 2026, pp. 72–78. https://doi.org/10.54664/LXBA1177.</w:t>
      </w:r>
    </w:p>
    <w:p w14:paraId="5AF68F00" w14:textId="77777777" w:rsidR="00636FFC" w:rsidRDefault="00000000" w:rsidP="006A7636">
      <w:pPr>
        <w:ind w:firstLine="562"/>
        <w:jc w:val="both"/>
      </w:pPr>
      <w:r>
        <w:t xml:space="preserve">3. МИНИСТЕРСТВО НА ЗДРАВЕОПАЗВАНЕТО. </w:t>
      </w:r>
      <w:proofErr w:type="spellStart"/>
      <w:r w:rsidRPr="004A6FE5">
        <w:rPr>
          <w:i/>
          <w:iCs/>
        </w:rPr>
        <w:t>Наредба</w:t>
      </w:r>
      <w:proofErr w:type="spellEnd"/>
      <w:r w:rsidRPr="004A6FE5">
        <w:rPr>
          <w:i/>
          <w:iCs/>
        </w:rPr>
        <w:t xml:space="preserve"> № 26 </w:t>
      </w:r>
      <w:proofErr w:type="spellStart"/>
      <w:r w:rsidRPr="004A6FE5">
        <w:rPr>
          <w:i/>
          <w:iCs/>
        </w:rPr>
        <w:t>от</w:t>
      </w:r>
      <w:proofErr w:type="spellEnd"/>
      <w:r w:rsidRPr="004A6FE5">
        <w:rPr>
          <w:i/>
          <w:iCs/>
        </w:rPr>
        <w:t xml:space="preserve"> 18.11.2008 г. </w:t>
      </w:r>
      <w:proofErr w:type="spellStart"/>
      <w:r w:rsidRPr="004A6FE5">
        <w:rPr>
          <w:i/>
          <w:iCs/>
        </w:rPr>
        <w:t>за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устройството</w:t>
      </w:r>
      <w:proofErr w:type="spellEnd"/>
      <w:r w:rsidRPr="004A6FE5">
        <w:rPr>
          <w:i/>
          <w:iCs/>
        </w:rPr>
        <w:t xml:space="preserve"> и </w:t>
      </w:r>
      <w:proofErr w:type="spellStart"/>
      <w:r w:rsidRPr="004A6FE5">
        <w:rPr>
          <w:i/>
          <w:iCs/>
        </w:rPr>
        <w:t>дейността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на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детските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ясли</w:t>
      </w:r>
      <w:proofErr w:type="spellEnd"/>
      <w:r w:rsidRPr="004A6FE5">
        <w:rPr>
          <w:i/>
          <w:iCs/>
        </w:rPr>
        <w:t xml:space="preserve"> и </w:t>
      </w:r>
      <w:proofErr w:type="spellStart"/>
      <w:r w:rsidRPr="004A6FE5">
        <w:rPr>
          <w:i/>
          <w:iCs/>
        </w:rPr>
        <w:t>детските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кухни</w:t>
      </w:r>
      <w:proofErr w:type="spellEnd"/>
      <w:r w:rsidRPr="004A6FE5">
        <w:rPr>
          <w:i/>
          <w:iCs/>
        </w:rPr>
        <w:t xml:space="preserve"> и </w:t>
      </w:r>
      <w:proofErr w:type="spellStart"/>
      <w:r w:rsidRPr="004A6FE5">
        <w:rPr>
          <w:i/>
          <w:iCs/>
        </w:rPr>
        <w:t>здравните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изисквания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към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тях</w:t>
      </w:r>
      <w:proofErr w:type="spellEnd"/>
      <w:r>
        <w:t xml:space="preserve">. </w:t>
      </w:r>
      <w:proofErr w:type="spellStart"/>
      <w:r>
        <w:t>София</w:t>
      </w:r>
      <w:proofErr w:type="spellEnd"/>
      <w:r>
        <w:t xml:space="preserve">: </w:t>
      </w:r>
      <w:proofErr w:type="spellStart"/>
      <w:r>
        <w:t>Министерство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здравеопазването</w:t>
      </w:r>
      <w:proofErr w:type="spellEnd"/>
      <w:r>
        <w:t>, 2008.</w:t>
      </w:r>
    </w:p>
    <w:p w14:paraId="3FD8E664" w14:textId="77777777" w:rsidR="00636FFC" w:rsidRDefault="00000000" w:rsidP="006A7636">
      <w:pPr>
        <w:ind w:firstLine="562"/>
        <w:jc w:val="both"/>
      </w:pPr>
      <w:r>
        <w:t xml:space="preserve">4. МИНИСТЕРСТВО НА ОБРАЗОВАНИЕТО И НАУКАТА. </w:t>
      </w:r>
      <w:proofErr w:type="spellStart"/>
      <w:r w:rsidRPr="004A6FE5">
        <w:rPr>
          <w:i/>
          <w:iCs/>
        </w:rPr>
        <w:t>Наредба</w:t>
      </w:r>
      <w:proofErr w:type="spellEnd"/>
      <w:r w:rsidRPr="004A6FE5">
        <w:rPr>
          <w:i/>
          <w:iCs/>
        </w:rPr>
        <w:t xml:space="preserve"> № 5 </w:t>
      </w:r>
      <w:proofErr w:type="spellStart"/>
      <w:r w:rsidRPr="004A6FE5">
        <w:rPr>
          <w:i/>
          <w:iCs/>
        </w:rPr>
        <w:t>от</w:t>
      </w:r>
      <w:proofErr w:type="spellEnd"/>
      <w:r w:rsidRPr="004A6FE5">
        <w:rPr>
          <w:i/>
          <w:iCs/>
        </w:rPr>
        <w:t xml:space="preserve"> 03.06.2016 г. </w:t>
      </w:r>
      <w:proofErr w:type="spellStart"/>
      <w:r w:rsidRPr="004A6FE5">
        <w:rPr>
          <w:i/>
          <w:iCs/>
        </w:rPr>
        <w:t>за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предучилищното</w:t>
      </w:r>
      <w:proofErr w:type="spellEnd"/>
      <w:r w:rsidRPr="004A6FE5">
        <w:rPr>
          <w:i/>
          <w:iCs/>
        </w:rPr>
        <w:t xml:space="preserve"> </w:t>
      </w:r>
      <w:proofErr w:type="spellStart"/>
      <w:r w:rsidRPr="004A6FE5">
        <w:rPr>
          <w:i/>
          <w:iCs/>
        </w:rPr>
        <w:t>образование</w:t>
      </w:r>
      <w:proofErr w:type="spellEnd"/>
      <w:r>
        <w:t xml:space="preserve">. </w:t>
      </w:r>
      <w:proofErr w:type="spellStart"/>
      <w:r>
        <w:t>София</w:t>
      </w:r>
      <w:proofErr w:type="spellEnd"/>
      <w:r>
        <w:t xml:space="preserve">: </w:t>
      </w:r>
      <w:proofErr w:type="spellStart"/>
      <w:r>
        <w:t>Министерство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образованието и </w:t>
      </w:r>
      <w:proofErr w:type="spellStart"/>
      <w:r>
        <w:t>науката</w:t>
      </w:r>
      <w:proofErr w:type="spellEnd"/>
      <w:r>
        <w:t>, 2016.</w:t>
      </w:r>
    </w:p>
    <w:p w14:paraId="7F0B59AC" w14:textId="77777777" w:rsidR="00636FFC" w:rsidRDefault="00000000" w:rsidP="006A7636">
      <w:pPr>
        <w:ind w:firstLine="562"/>
        <w:jc w:val="both"/>
      </w:pPr>
      <w:r>
        <w:t xml:space="preserve">5. KAGA, Yoko, John BENNETT and Peter MOSS. </w:t>
      </w:r>
      <w:r w:rsidRPr="004A6FE5">
        <w:rPr>
          <w:i/>
          <w:iCs/>
        </w:rPr>
        <w:t>Caring and Learning Together: A Cross-National Study on the Integration of Early Childhood Care and Education within Education</w:t>
      </w:r>
      <w:r>
        <w:t>. Paris: UNESCO, 2010.</w:t>
      </w:r>
    </w:p>
    <w:p w14:paraId="717C2965" w14:textId="77777777" w:rsidR="00636FFC" w:rsidRDefault="00000000" w:rsidP="006A7636">
      <w:pPr>
        <w:ind w:firstLine="562"/>
        <w:jc w:val="both"/>
      </w:pPr>
      <w:r>
        <w:t xml:space="preserve">6. </w:t>
      </w:r>
      <w:r w:rsidRPr="004A6FE5">
        <w:rPr>
          <w:i/>
          <w:iCs/>
        </w:rPr>
        <w:t>Council of the European Union</w:t>
      </w:r>
      <w:r>
        <w:t>. Council Recommendation of 22 May 2019 on High-Quality Early Childhood Education and Care Systems (2019/C 189/02). Official Journal of the European Union, C 189, 2019, pp. 4–14.</w:t>
      </w:r>
    </w:p>
    <w:p w14:paraId="434D0918" w14:textId="77777777" w:rsidR="00636FFC" w:rsidRDefault="00000000" w:rsidP="006A7636">
      <w:pPr>
        <w:ind w:firstLine="562"/>
        <w:jc w:val="both"/>
      </w:pPr>
      <w:r>
        <w:t xml:space="preserve">7. OECD. Starting Strong III: </w:t>
      </w:r>
      <w:r w:rsidRPr="004A6FE5">
        <w:rPr>
          <w:i/>
          <w:iCs/>
        </w:rPr>
        <w:t>A Quality Toolbox for Early Childhood Education and Care</w:t>
      </w:r>
      <w:r>
        <w:t>. Paris: OECD Publishing, 2012.</w:t>
      </w:r>
    </w:p>
    <w:p w14:paraId="7D62ABDE" w14:textId="77777777" w:rsidR="00636FFC" w:rsidRDefault="00000000" w:rsidP="006A7636">
      <w:pPr>
        <w:ind w:firstLine="562"/>
        <w:jc w:val="both"/>
      </w:pPr>
      <w:r>
        <w:t xml:space="preserve">8. OECD. Starting Strong VI: </w:t>
      </w:r>
      <w:r w:rsidRPr="004A6FE5">
        <w:rPr>
          <w:i/>
          <w:iCs/>
        </w:rPr>
        <w:t>Supporting Meaningful Interactions in Early Childhood Education and Care</w:t>
      </w:r>
      <w:r>
        <w:t>. Paris: OECD Publishing, 2021.</w:t>
      </w:r>
    </w:p>
    <w:p w14:paraId="4D684ECC" w14:textId="77777777" w:rsidR="00636FFC" w:rsidRDefault="00000000" w:rsidP="006A7636">
      <w:pPr>
        <w:ind w:firstLine="562"/>
        <w:jc w:val="both"/>
      </w:pPr>
      <w:r>
        <w:lastRenderedPageBreak/>
        <w:t xml:space="preserve">9. OECD. Starting Strong: </w:t>
      </w:r>
      <w:r w:rsidRPr="004A6FE5">
        <w:rPr>
          <w:i/>
          <w:iCs/>
        </w:rPr>
        <w:t>Early Childhood Education and Care</w:t>
      </w:r>
      <w:r>
        <w:t>. Paris: OECD Publishing, 2001. https://doi.org/10.1787/9789264192829-en.</w:t>
      </w:r>
    </w:p>
    <w:p w14:paraId="35A3B85C" w14:textId="77777777" w:rsidR="00636FFC" w:rsidRDefault="00000000" w:rsidP="006A7636">
      <w:pPr>
        <w:ind w:firstLine="562"/>
        <w:jc w:val="both"/>
      </w:pPr>
      <w:r>
        <w:t xml:space="preserve">10. OECD. Starting Strong 2017: </w:t>
      </w:r>
      <w:r w:rsidRPr="004A6FE5">
        <w:rPr>
          <w:i/>
          <w:iCs/>
        </w:rPr>
        <w:t>Key OECD Indicators on Early Childhood Education and Care</w:t>
      </w:r>
      <w:r>
        <w:t>. Paris: OECD Publishing, 2017.</w:t>
      </w:r>
    </w:p>
    <w:p w14:paraId="64E46980" w14:textId="7EE5F007" w:rsidR="00636FFC" w:rsidRDefault="00000000" w:rsidP="006A7636">
      <w:pPr>
        <w:ind w:firstLine="562"/>
        <w:jc w:val="both"/>
        <w:rPr>
          <w:lang w:val="bg-BG"/>
        </w:rPr>
      </w:pPr>
      <w:r>
        <w:t xml:space="preserve">11. UNESCO and UNICEF. </w:t>
      </w:r>
      <w:r w:rsidRPr="004A6FE5">
        <w:rPr>
          <w:i/>
          <w:iCs/>
        </w:rPr>
        <w:t>Global Report on Early Childhood Care and Education: The Right to a Strong Foundation</w:t>
      </w:r>
      <w:r>
        <w:t xml:space="preserve">. Paris: UNESCO, 2024. </w:t>
      </w:r>
      <w:r w:rsidR="00CC30E7" w:rsidRPr="00CC30E7">
        <w:t>https://doi.org/10.54675/FWQA2113</w:t>
      </w:r>
      <w:r>
        <w:t>.</w:t>
      </w:r>
    </w:p>
    <w:p w14:paraId="0206263C" w14:textId="3E96AD6A" w:rsidR="00CC30E7" w:rsidRPr="00CC30E7" w:rsidRDefault="00CC30E7" w:rsidP="00CC30E7">
      <w:pPr>
        <w:ind w:firstLine="562"/>
        <w:jc w:val="both"/>
        <w:rPr>
          <w:lang w:val="bg-BG"/>
        </w:rPr>
      </w:pPr>
      <w:r>
        <w:rPr>
          <w:lang w:val="bg-BG"/>
        </w:rPr>
        <w:t xml:space="preserve">12. </w:t>
      </w:r>
      <w:r w:rsidRPr="00CC30E7">
        <w:t xml:space="preserve">OECD. Starting Strong: </w:t>
      </w:r>
      <w:r w:rsidRPr="004A6FE5">
        <w:rPr>
          <w:i/>
          <w:iCs/>
        </w:rPr>
        <w:t>Early Childhood Education and Care</w:t>
      </w:r>
      <w:r w:rsidRPr="00CC30E7">
        <w:t>. Paris: OECD Publishing.</w:t>
      </w:r>
      <w:r w:rsidR="004A6FE5">
        <w:rPr>
          <w:lang w:val="bg-BG"/>
        </w:rPr>
        <w:t>, 2001,</w:t>
      </w:r>
      <w:r w:rsidRPr="00CC30E7">
        <w:t xml:space="preserve"> https://doi.org/10.1787/9789264192829-en</w:t>
      </w:r>
    </w:p>
    <w:p w14:paraId="40F58CE9" w14:textId="46876A76" w:rsidR="00CC30E7" w:rsidRPr="00C81153" w:rsidRDefault="00C81153" w:rsidP="00C81153">
      <w:pPr>
        <w:ind w:firstLine="562"/>
        <w:jc w:val="both"/>
        <w:rPr>
          <w:lang w:val="bg-BG"/>
        </w:rPr>
      </w:pPr>
      <w:r>
        <w:rPr>
          <w:lang w:val="bg-BG"/>
        </w:rPr>
        <w:t xml:space="preserve">13. </w:t>
      </w:r>
      <w:r w:rsidRPr="00CC30E7">
        <w:t xml:space="preserve">OECD. </w:t>
      </w:r>
      <w:r w:rsidRPr="004A6FE5">
        <w:rPr>
          <w:i/>
          <w:iCs/>
        </w:rPr>
        <w:t>Reducing Inequalities by Investing in Early Childhood Education and Care</w:t>
      </w:r>
      <w:r w:rsidRPr="00CC30E7">
        <w:t>. Paris: OECD Publishing.</w:t>
      </w:r>
      <w:r>
        <w:rPr>
          <w:lang w:val="bg-BG"/>
        </w:rPr>
        <w:t>, 2025,</w:t>
      </w:r>
      <w:r w:rsidRPr="00CC30E7">
        <w:t xml:space="preserve"> https://doi.org/10.1787/b78f8b25-en</w:t>
      </w:r>
    </w:p>
    <w:p w14:paraId="2A4DB2C2" w14:textId="272B9A92" w:rsidR="00CC30E7" w:rsidRPr="00CC30E7" w:rsidRDefault="00CC30E7" w:rsidP="006A7636">
      <w:pPr>
        <w:ind w:firstLine="562"/>
        <w:jc w:val="both"/>
        <w:rPr>
          <w:lang w:val="bg-BG"/>
        </w:rPr>
      </w:pPr>
    </w:p>
    <w:p w14:paraId="2B5DF223" w14:textId="77777777" w:rsidR="00A45307" w:rsidRPr="00A45307" w:rsidRDefault="00A45307">
      <w:pPr>
        <w:rPr>
          <w:i/>
          <w:sz w:val="24"/>
          <w:lang w:val="bg-BG"/>
        </w:rPr>
      </w:pPr>
    </w:p>
    <w:p w14:paraId="61E781BE" w14:textId="1212D130" w:rsidR="00A45307" w:rsidRPr="005A7C4C" w:rsidRDefault="00A45307" w:rsidP="00A45307">
      <w:pPr>
        <w:ind w:firstLine="567"/>
        <w:jc w:val="both"/>
        <w:rPr>
          <w:rFonts w:cs="Times New Roman"/>
          <w:i/>
          <w:iCs/>
          <w:sz w:val="24"/>
          <w:szCs w:val="24"/>
          <w:lang w:val="bg-BG" w:eastAsia="bg-BG"/>
        </w:rPr>
      </w:pPr>
      <w:r>
        <w:rPr>
          <w:rFonts w:cs="Times New Roman"/>
          <w:i/>
          <w:iCs/>
          <w:sz w:val="24"/>
          <w:szCs w:val="24"/>
          <w:lang w:val="bg-BG" w:eastAsia="bg-BG"/>
        </w:rPr>
        <w:t>Борислава Илиева Иванова</w:t>
      </w:r>
      <w:r w:rsidR="005A7C4C">
        <w:rPr>
          <w:rFonts w:cs="Times New Roman"/>
          <w:i/>
          <w:iCs/>
          <w:sz w:val="24"/>
          <w:szCs w:val="24"/>
          <w:lang w:val="en-GB" w:eastAsia="bg-BG"/>
        </w:rPr>
        <w:t xml:space="preserve">, </w:t>
      </w:r>
      <w:r w:rsidR="005A7C4C">
        <w:rPr>
          <w:rFonts w:cs="Times New Roman"/>
          <w:i/>
          <w:iCs/>
          <w:sz w:val="24"/>
          <w:szCs w:val="24"/>
          <w:lang w:val="bg-BG" w:eastAsia="bg-BG"/>
        </w:rPr>
        <w:t>гл. ас. д-р</w:t>
      </w:r>
    </w:p>
    <w:p w14:paraId="09694F56" w14:textId="44FA548F" w:rsidR="00A45307" w:rsidRPr="00A45307" w:rsidRDefault="00A45307" w:rsidP="00A45307">
      <w:pPr>
        <w:ind w:firstLine="567"/>
        <w:jc w:val="both"/>
        <w:rPr>
          <w:rFonts w:cs="Times New Roman"/>
          <w:i/>
          <w:iCs/>
          <w:sz w:val="24"/>
          <w:szCs w:val="24"/>
          <w:lang w:val="bg-BG" w:eastAsia="bg-BG"/>
        </w:rPr>
      </w:pPr>
      <w:r>
        <w:rPr>
          <w:rFonts w:cs="Times New Roman"/>
          <w:i/>
          <w:iCs/>
          <w:sz w:val="24"/>
          <w:szCs w:val="24"/>
          <w:lang w:val="bg-BG" w:eastAsia="bg-BG"/>
        </w:rPr>
        <w:t>ВТУ ,,Св. св. Кирил и Методий“</w:t>
      </w:r>
    </w:p>
    <w:p w14:paraId="08CEF168" w14:textId="46D2DC24" w:rsidR="00A45307" w:rsidRPr="00A45307" w:rsidRDefault="00A45307" w:rsidP="00A45307">
      <w:pPr>
        <w:jc w:val="both"/>
        <w:rPr>
          <w:rFonts w:cs="Times New Roman"/>
          <w:i/>
          <w:iCs/>
          <w:sz w:val="24"/>
          <w:szCs w:val="24"/>
          <w:lang w:val="bg-BG" w:eastAsia="bg-BG"/>
        </w:rPr>
      </w:pPr>
      <w:r>
        <w:rPr>
          <w:rFonts w:cs="Times New Roman"/>
          <w:i/>
          <w:iCs/>
          <w:sz w:val="24"/>
          <w:szCs w:val="24"/>
          <w:lang w:val="bg-BG" w:eastAsia="bg-BG"/>
        </w:rPr>
        <w:t xml:space="preserve">        </w:t>
      </w:r>
      <w:r w:rsidRPr="00A45307">
        <w:rPr>
          <w:rFonts w:cs="Times New Roman"/>
          <w:i/>
          <w:iCs/>
          <w:sz w:val="24"/>
          <w:szCs w:val="24"/>
          <w:lang w:val="bg-BG" w:eastAsia="bg-BG"/>
        </w:rPr>
        <w:t xml:space="preserve"> e-</w:t>
      </w:r>
      <w:proofErr w:type="spellStart"/>
      <w:r w:rsidRPr="00A45307">
        <w:rPr>
          <w:rFonts w:cs="Times New Roman"/>
          <w:i/>
          <w:iCs/>
          <w:sz w:val="24"/>
          <w:szCs w:val="24"/>
          <w:lang w:val="bg-BG" w:eastAsia="bg-BG"/>
        </w:rPr>
        <w:t>mail</w:t>
      </w:r>
      <w:proofErr w:type="spellEnd"/>
      <w:r>
        <w:rPr>
          <w:rFonts w:cs="Times New Roman"/>
          <w:i/>
          <w:iCs/>
          <w:sz w:val="24"/>
          <w:szCs w:val="24"/>
          <w:lang w:val="bg-BG" w:eastAsia="bg-BG"/>
        </w:rPr>
        <w:t xml:space="preserve">: </w:t>
      </w:r>
      <w:r w:rsidRPr="00A45307">
        <w:rPr>
          <w:rFonts w:cs="Times New Roman"/>
          <w:i/>
          <w:iCs/>
          <w:sz w:val="24"/>
          <w:szCs w:val="24"/>
          <w:lang w:eastAsia="bg-BG"/>
        </w:rPr>
        <w:t>b</w:t>
      </w:r>
      <w:r w:rsidRPr="00A45307">
        <w:rPr>
          <w:rFonts w:cs="Times New Roman"/>
          <w:i/>
          <w:iCs/>
          <w:sz w:val="24"/>
          <w:szCs w:val="24"/>
          <w:lang w:val="bg" w:eastAsia="bg-BG"/>
        </w:rPr>
        <w:t>.</w:t>
      </w:r>
      <w:proofErr w:type="spellStart"/>
      <w:r w:rsidRPr="00A45307">
        <w:rPr>
          <w:rFonts w:cs="Times New Roman"/>
          <w:i/>
          <w:iCs/>
          <w:sz w:val="24"/>
          <w:szCs w:val="24"/>
          <w:lang w:eastAsia="bg-BG"/>
        </w:rPr>
        <w:t>ivanova</w:t>
      </w:r>
      <w:proofErr w:type="spellEnd"/>
      <w:r w:rsidRPr="00A45307">
        <w:rPr>
          <w:rFonts w:cs="Times New Roman"/>
          <w:i/>
          <w:iCs/>
          <w:sz w:val="24"/>
          <w:szCs w:val="24"/>
          <w:lang w:val="bg" w:eastAsia="bg-BG"/>
        </w:rPr>
        <w:t>@</w:t>
      </w:r>
      <w:proofErr w:type="spellStart"/>
      <w:r w:rsidRPr="00A45307">
        <w:rPr>
          <w:rFonts w:cs="Times New Roman"/>
          <w:i/>
          <w:iCs/>
          <w:sz w:val="24"/>
          <w:szCs w:val="24"/>
          <w:lang w:eastAsia="bg-BG"/>
        </w:rPr>
        <w:t>ts</w:t>
      </w:r>
      <w:proofErr w:type="spellEnd"/>
      <w:r w:rsidRPr="00A45307">
        <w:rPr>
          <w:rFonts w:cs="Times New Roman"/>
          <w:i/>
          <w:iCs/>
          <w:sz w:val="24"/>
          <w:szCs w:val="24"/>
          <w:lang w:val="bg" w:eastAsia="bg-BG"/>
        </w:rPr>
        <w:t>.</w:t>
      </w:r>
      <w:proofErr w:type="spellStart"/>
      <w:r w:rsidRPr="00A45307">
        <w:rPr>
          <w:rFonts w:cs="Times New Roman"/>
          <w:i/>
          <w:iCs/>
          <w:sz w:val="24"/>
          <w:szCs w:val="24"/>
          <w:lang w:eastAsia="bg-BG"/>
        </w:rPr>
        <w:t>uni</w:t>
      </w:r>
      <w:proofErr w:type="spellEnd"/>
      <w:r w:rsidRPr="00A45307">
        <w:rPr>
          <w:rFonts w:cs="Times New Roman"/>
          <w:i/>
          <w:iCs/>
          <w:sz w:val="24"/>
          <w:szCs w:val="24"/>
          <w:lang w:val="bg" w:eastAsia="bg-BG"/>
        </w:rPr>
        <w:t>-</w:t>
      </w:r>
      <w:proofErr w:type="spellStart"/>
      <w:r w:rsidRPr="00A45307">
        <w:rPr>
          <w:rFonts w:cs="Times New Roman"/>
          <w:i/>
          <w:iCs/>
          <w:sz w:val="24"/>
          <w:szCs w:val="24"/>
          <w:lang w:eastAsia="bg-BG"/>
        </w:rPr>
        <w:t>vt</w:t>
      </w:r>
      <w:proofErr w:type="spellEnd"/>
      <w:r w:rsidRPr="00A45307">
        <w:rPr>
          <w:rFonts w:cs="Times New Roman"/>
          <w:i/>
          <w:iCs/>
          <w:sz w:val="24"/>
          <w:szCs w:val="24"/>
          <w:lang w:val="bg" w:eastAsia="bg-BG"/>
        </w:rPr>
        <w:t>.</w:t>
      </w:r>
      <w:proofErr w:type="spellStart"/>
      <w:r w:rsidRPr="00A45307">
        <w:rPr>
          <w:rFonts w:cs="Times New Roman"/>
          <w:i/>
          <w:iCs/>
          <w:sz w:val="24"/>
          <w:szCs w:val="24"/>
          <w:lang w:eastAsia="bg-BG"/>
        </w:rPr>
        <w:t>bg</w:t>
      </w:r>
      <w:proofErr w:type="spellEnd"/>
    </w:p>
    <w:p w14:paraId="28154CA4" w14:textId="060FD55D" w:rsidR="00A45307" w:rsidRPr="00A45307" w:rsidRDefault="00A45307" w:rsidP="00A45307">
      <w:pPr>
        <w:jc w:val="both"/>
        <w:rPr>
          <w:rFonts w:cs="Times New Roman"/>
          <w:i/>
          <w:iCs/>
          <w:sz w:val="24"/>
          <w:szCs w:val="24"/>
          <w:lang w:val="bg-BG" w:eastAsia="bg-BG"/>
        </w:rPr>
      </w:pPr>
    </w:p>
    <w:p w14:paraId="542A0479" w14:textId="77777777" w:rsidR="00A45307" w:rsidRPr="00A45307" w:rsidRDefault="00A45307" w:rsidP="00A45307">
      <w:pPr>
        <w:ind w:firstLine="567"/>
        <w:jc w:val="both"/>
        <w:rPr>
          <w:rFonts w:cs="Times New Roman"/>
          <w:szCs w:val="28"/>
          <w:lang w:val="bg-BG" w:eastAsia="bg-BG"/>
        </w:rPr>
      </w:pPr>
    </w:p>
    <w:p w14:paraId="13DA93FB" w14:textId="77777777" w:rsidR="00A45307" w:rsidRPr="00A45307" w:rsidRDefault="00A45307">
      <w:pPr>
        <w:rPr>
          <w:lang w:val="bg-BG"/>
        </w:rPr>
      </w:pPr>
    </w:p>
    <w:sectPr w:rsidR="00A45307" w:rsidRPr="00A45307" w:rsidSect="00034616">
      <w:headerReference w:type="default" r:id="rId8"/>
      <w:footerReference w:type="default" r:id="rId9"/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8718C" w14:textId="77777777" w:rsidR="00EA770D" w:rsidRDefault="00EA770D">
      <w:r>
        <w:separator/>
      </w:r>
    </w:p>
  </w:endnote>
  <w:endnote w:type="continuationSeparator" w:id="0">
    <w:p w14:paraId="0BD9956F" w14:textId="77777777" w:rsidR="00EA770D" w:rsidRDefault="00EA77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9D11A" w14:textId="77777777" w:rsidR="00636FFC" w:rsidRDefault="00636FF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D7EC8" w14:textId="77777777" w:rsidR="00EA770D" w:rsidRDefault="00EA770D">
      <w:r>
        <w:separator/>
      </w:r>
    </w:p>
  </w:footnote>
  <w:footnote w:type="continuationSeparator" w:id="0">
    <w:p w14:paraId="2137C718" w14:textId="77777777" w:rsidR="00EA770D" w:rsidRDefault="00EA77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51500" w14:textId="77777777" w:rsidR="00636FFC" w:rsidRDefault="00636FF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3089476">
    <w:abstractNumId w:val="8"/>
  </w:num>
  <w:num w:numId="2" w16cid:durableId="1545824073">
    <w:abstractNumId w:val="6"/>
  </w:num>
  <w:num w:numId="3" w16cid:durableId="1325204402">
    <w:abstractNumId w:val="5"/>
  </w:num>
  <w:num w:numId="4" w16cid:durableId="1804272381">
    <w:abstractNumId w:val="4"/>
  </w:num>
  <w:num w:numId="5" w16cid:durableId="1317025736">
    <w:abstractNumId w:val="7"/>
  </w:num>
  <w:num w:numId="6" w16cid:durableId="848298630">
    <w:abstractNumId w:val="3"/>
  </w:num>
  <w:num w:numId="7" w16cid:durableId="264923045">
    <w:abstractNumId w:val="2"/>
  </w:num>
  <w:num w:numId="8" w16cid:durableId="9529077">
    <w:abstractNumId w:val="1"/>
  </w:num>
  <w:num w:numId="9" w16cid:durableId="66447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3BA2"/>
    <w:rsid w:val="00122ADD"/>
    <w:rsid w:val="0015074B"/>
    <w:rsid w:val="00161B89"/>
    <w:rsid w:val="0017260D"/>
    <w:rsid w:val="0022535B"/>
    <w:rsid w:val="0029639D"/>
    <w:rsid w:val="00326F90"/>
    <w:rsid w:val="00340316"/>
    <w:rsid w:val="00405E05"/>
    <w:rsid w:val="00494866"/>
    <w:rsid w:val="004A6FE5"/>
    <w:rsid w:val="004C0E8F"/>
    <w:rsid w:val="005A7C4C"/>
    <w:rsid w:val="00636FFC"/>
    <w:rsid w:val="006A7636"/>
    <w:rsid w:val="008612B7"/>
    <w:rsid w:val="00A45307"/>
    <w:rsid w:val="00AA1D8D"/>
    <w:rsid w:val="00B47730"/>
    <w:rsid w:val="00C3704F"/>
    <w:rsid w:val="00C5249A"/>
    <w:rsid w:val="00C81153"/>
    <w:rsid w:val="00CB0664"/>
    <w:rsid w:val="00CC30E7"/>
    <w:rsid w:val="00CF6E94"/>
    <w:rsid w:val="00DA2360"/>
    <w:rsid w:val="00DA4909"/>
    <w:rsid w:val="00E95E56"/>
    <w:rsid w:val="00EA770D"/>
    <w:rsid w:val="00ED7234"/>
    <w:rsid w:val="00EF2E46"/>
    <w:rsid w:val="00FC693F"/>
    <w:rsid w:val="00FE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9AC7C1"/>
  <w14:defaultImageDpi w14:val="300"/>
  <w15:docId w15:val="{8D27249E-553E-4147-B6B3-8B9A1D60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CC30E7"/>
    <w:rPr>
      <w:color w:val="0000FF" w:themeColor="hyperlink"/>
      <w:u w:val="single"/>
    </w:rPr>
  </w:style>
  <w:style w:type="character" w:styleId="affb">
    <w:name w:val="Unresolved Mention"/>
    <w:basedOn w:val="a2"/>
    <w:uiPriority w:val="99"/>
    <w:semiHidden/>
    <w:unhideWhenUsed/>
    <w:rsid w:val="00CC30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746</TotalTime>
  <Pages>10</Pages>
  <Words>3635</Words>
  <Characters>20720</Characters>
  <Application>Microsoft Office Word</Application>
  <DocSecurity>0</DocSecurity>
  <Lines>172</Lines>
  <Paragraphs>48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24307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Borislava Ivanova</cp:lastModifiedBy>
  <cp:revision>8</cp:revision>
  <dcterms:created xsi:type="dcterms:W3CDTF">2026-09-10T08:45:00Z</dcterms:created>
  <dcterms:modified xsi:type="dcterms:W3CDTF">2026-09-15T08:58:00Z</dcterms:modified>
  <cp:category/>
</cp:coreProperties>
</file>