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1">
      <w:pPr>
        <w:jc w:val="center"/>
        <w:rPr/>
      </w:pPr>
      <w:r>
        <w:rPr>
          <w:b/>
          <w:sz w:val="32"/>
        </w:rPr>
        <w:t>МОТИВАЦИЯ И ЦЕЛЕПОЛАГАНЕ В ИНДИВИДУАЛНАТА ПСИХОЛОГИЯ НА АЛФРЕД АДЛЕР</w:t>
      </w:r>
    </w:p>
    <w:p w14:paraId="00000002">
      <w:pPr>
        <w:jc w:val="center"/>
        <w:rPr/>
      </w:pPr>
      <w:r>
        <w:t xml:space="preserve"> </w:t>
      </w:r>
    </w:p>
    <w:p w14:paraId="00000003">
      <w:pPr>
        <w:jc w:val="center"/>
        <w:rPr/>
      </w:pPr>
      <w:r>
        <w:t xml:space="preserve"> </w:t>
      </w:r>
    </w:p>
    <w:p w14:paraId="00000004">
      <w:pPr>
        <w:jc w:val="center"/>
        <w:rPr>
          <w:lang w:val="bg-BG"/>
        </w:rPr>
      </w:pPr>
      <w:r>
        <w:rPr>
          <w:lang w:val="bg-BG"/>
        </w:rPr>
        <w:t>Атанас Атанасов</w:t>
      </w:r>
    </w:p>
    <w:p w14:paraId="00000005">
      <w:pPr>
        <w:jc w:val="center"/>
        <w:rPr>
          <w:lang w:val="bg-BG"/>
        </w:rPr>
      </w:pPr>
    </w:p>
    <w:p w14:paraId="00000006">
      <w:pPr>
        <w:jc w:val="center"/>
        <w:rPr/>
      </w:pPr>
      <w:r>
        <w:rPr>
          <w:b/>
          <w:sz w:val="32"/>
        </w:rPr>
        <w:t>MOTIVATION AND GOAL SETTING IN ALFRED ADLER’S INDIVIDUAL PSYCHOLOGY</w:t>
      </w:r>
    </w:p>
    <w:p w14:paraId="00000007">
      <w:r>
        <w:t xml:space="preserve"> </w:t>
      </w:r>
    </w:p>
    <w:p w14:paraId="00000008">
      <w:pPr>
        <w:jc w:val="center"/>
        <w:rPr/>
      </w:pPr>
      <w:r>
        <w:rPr>
          <w:b/>
          <w:sz w:val="32"/>
        </w:rPr>
        <w:t>Atanas</w:t>
      </w:r>
      <w:r>
        <w:rPr>
          <w:b/>
          <w:sz w:val="32"/>
        </w:rPr>
        <w:t xml:space="preserve"> </w:t>
      </w:r>
      <w:r>
        <w:rPr>
          <w:b/>
          <w:sz w:val="32"/>
        </w:rPr>
        <w:t>Atanasov</w:t>
      </w:r>
    </w:p>
    <w:p w14:paraId="00000009">
      <w:r>
        <w:t xml:space="preserve"> </w:t>
      </w:r>
    </w:p>
    <w:p w14:paraId="0000000A">
      <w:r>
        <w:t xml:space="preserve"> </w:t>
      </w:r>
    </w:p>
    <w:p w14:paraId="0000000B">
      <w:pPr>
        <w:rPr>
          <w:lang w:val="bg-BG"/>
        </w:rPr>
      </w:pPr>
      <w:r>
        <w:rPr>
          <w:i/>
          <w:sz w:val="24"/>
          <w:lang w:val="bg-BG"/>
        </w:rPr>
        <w:t xml:space="preserve">Резюме: Докладът анализира мотивацията и </w:t>
      </w:r>
      <w:r>
        <w:rPr>
          <w:i/>
          <w:sz w:val="24"/>
          <w:lang w:val="bg-BG"/>
        </w:rPr>
        <w:t>целеполагането в индивидуалната психология на Алфред Адлер. Акцентът е върху телеологичния характер на поведението, чувството за непълноценност, стремежа към превъзходство, фикционната крайна цел, жизнения стил и социалния интерес. Показва се как субективн</w:t>
      </w:r>
      <w:r>
        <w:rPr>
          <w:i/>
          <w:sz w:val="24"/>
          <w:lang w:val="bg-BG"/>
        </w:rPr>
        <w:t>о конструираните цели организират поведението и насочват решаването на основните жизнени задачи.</w:t>
      </w:r>
    </w:p>
    <w:p w14:paraId="0000000C">
      <w:pPr>
        <w:rPr>
          <w:lang w:val="bg-BG"/>
        </w:rPr>
      </w:pPr>
      <w:r>
        <w:rPr>
          <w:lang w:val="bg-BG"/>
        </w:rPr>
        <w:t xml:space="preserve"> </w:t>
      </w:r>
    </w:p>
    <w:p w14:paraId="0000000D">
      <w:pPr>
        <w:rPr>
          <w:lang w:val="bg-BG"/>
        </w:rPr>
      </w:pPr>
      <w:r>
        <w:rPr>
          <w:i/>
          <w:sz w:val="24"/>
          <w:lang w:val="bg-BG"/>
        </w:rPr>
        <w:t>Ключови думи: Алфред Адлер; индивидуална психология; мотивация; целеполагане; жизнен стил.</w:t>
      </w:r>
    </w:p>
    <w:p w14:paraId="0000000E">
      <w:r>
        <w:t xml:space="preserve"> </w:t>
      </w:r>
    </w:p>
    <w:p w14:paraId="0000000F">
      <w:r>
        <w:rPr>
          <w:i/>
          <w:sz w:val="24"/>
        </w:rPr>
        <w:t>Abstract: The paper examines motivation and goal setting in Alfr</w:t>
      </w:r>
      <w:r>
        <w:rPr>
          <w:i/>
          <w:sz w:val="24"/>
        </w:rPr>
        <w:t>ed Adler’s Individual Psychology. It focuses on the teleological nature of behavior, feelings of inferiority, striving for superiority, the fictional final goal, lifestyle, and social interest. It argues that subjectively constructed goals organize present</w:t>
      </w:r>
      <w:r>
        <w:rPr>
          <w:i/>
          <w:sz w:val="24"/>
        </w:rPr>
        <w:t xml:space="preserve"> behavior and shape the individual’s approach to the major tasks of life.</w:t>
      </w:r>
    </w:p>
    <w:p w14:paraId="00000010">
      <w:r>
        <w:t xml:space="preserve"> </w:t>
      </w:r>
    </w:p>
    <w:p w14:paraId="00000011">
      <w:r>
        <w:rPr>
          <w:i/>
          <w:sz w:val="24"/>
        </w:rPr>
        <w:t>Keywords: Alfred Adler; Individual Psychology; motivation; goal setting; lifestyle.</w:t>
      </w:r>
    </w:p>
    <w:p w14:paraId="00000012">
      <w:r>
        <w:t xml:space="preserve"> </w:t>
      </w:r>
    </w:p>
    <w:p w14:paraId="00000013">
      <w:r>
        <w:t xml:space="preserve"> </w:t>
      </w:r>
    </w:p>
    <w:p w14:paraId="00000014">
      <w:pPr>
        <w:spacing w:before="160" w:after="40"/>
        <w:jc w:val="left"/>
        <w:rPr/>
      </w:pPr>
      <w:r>
        <w:rPr>
          <w:b/>
        </w:rPr>
        <w:t>УВОД</w:t>
      </w:r>
    </w:p>
    <w:p w14:paraId="00000015">
      <w:pPr>
        <w:ind w:firstLine="709"/>
        <w:rPr>
          <w:lang w:val="bg-BG"/>
        </w:rPr>
      </w:pPr>
      <w:r>
        <w:rPr>
          <w:lang w:val="bg-BG"/>
        </w:rPr>
        <w:t>Проблемът за човешката мотивация заема централно място в психологическите теории за лич</w:t>
      </w:r>
      <w:r>
        <w:rPr>
          <w:lang w:val="bg-BG"/>
        </w:rPr>
        <w:t>ността. В началото на XX век Алфред Адлер формулира концепция, която се отделя от класическия фройдистки модел и поставя акцент върху единството, целенасочеността и социалната обусловеност на личността. Индивидуалната психология разглежда човека не като па</w:t>
      </w:r>
      <w:r>
        <w:rPr>
          <w:lang w:val="bg-BG"/>
        </w:rPr>
        <w:t>сивен резултат от натрупани причинни въздействия, а като активен субект, който интерпретира опита си и организира поведението си в посока към субективно значими цели. В този смисъл адлерианската теория предлага телеологична перспектива: за разбиране</w:t>
      </w:r>
      <w:r>
        <w:rPr>
          <w:lang w:val="bg-BG"/>
        </w:rPr>
        <w:t>то на дадено действие е необходимо да се изследва не само от какво е причинено, но и към какъв резултат е насочено.</w:t>
      </w:r>
    </w:p>
    <w:p w14:paraId="00000016">
      <w:pPr>
        <w:ind w:firstLine="709"/>
        <w:rPr>
          <w:lang w:val="bg-BG"/>
        </w:rPr>
      </w:pPr>
      <w:r>
        <w:rPr>
          <w:lang w:val="bg-BG"/>
        </w:rPr>
        <w:t>Целта на настоящия доклад е да анализира механизмите на мотивацията и целеполагането в индивидуалната психология на Алфред Адлер. Разгледани</w:t>
      </w:r>
      <w:r>
        <w:rPr>
          <w:lang w:val="bg-BG"/>
        </w:rPr>
        <w:t xml:space="preserve"> са чувството за непълноценност и компенсацията, </w:t>
      </w:r>
      <w:r>
        <w:rPr>
          <w:lang w:val="bg-BG"/>
        </w:rPr>
        <w:t>стремежът към превъзходство, фикционната крайна цел, жизненият стил, творческата сила на личността и социалният интерес. Специално внимание се отделя на начина, по който тези понятия образуват единна система</w:t>
      </w:r>
      <w:r>
        <w:rPr>
          <w:lang w:val="bg-BG"/>
        </w:rPr>
        <w:t xml:space="preserve"> за обяснение на поведението и на основните жизнени задачи – работа, отношения с другите и любов.</w:t>
      </w:r>
    </w:p>
    <w:p w14:paraId="00000017">
      <w:pPr>
        <w:spacing w:before="160" w:after="40"/>
        <w:jc w:val="left"/>
        <w:rPr>
          <w:lang w:val="bg-BG"/>
        </w:rPr>
      </w:pPr>
      <w:r>
        <w:rPr>
          <w:b/>
          <w:lang w:val="bg-BG"/>
        </w:rPr>
        <w:t>1. ИНДИВИДУАЛНАТА ПСИХОЛОГИЯ И ТЕЛЕОЛОГИЧНИЯТ ПОДХОД</w:t>
      </w:r>
    </w:p>
    <w:p w14:paraId="00000018">
      <w:pPr>
        <w:ind w:firstLine="709"/>
        <w:rPr>
          <w:lang w:val="bg-BG"/>
        </w:rPr>
      </w:pPr>
      <w:r>
        <w:rPr>
          <w:lang w:val="bg-BG"/>
        </w:rPr>
        <w:t>Наименованието „индивидуална психология“ не означава психология на изолирания индивид. Латинското individ</w:t>
      </w:r>
      <w:r>
        <w:rPr>
          <w:lang w:val="bg-BG"/>
        </w:rPr>
        <w:t>uum насочва към неделимостта на личността. За Адлер психичните процеси не следва да бъдат разглеждани като независими сили, а като функционални части на цялостен жизнен модел. Мисли, чувства, спомени, фантазии и действия придобиват смисъл чрез мястото си в</w:t>
      </w:r>
      <w:r>
        <w:rPr>
          <w:lang w:val="bg-BG"/>
        </w:rPr>
        <w:t xml:space="preserve"> общата посока на личността. Това холистично допускане е съществено за теорията на мотивацията: поведението не е сбор от отделни импулси, а организирано движение към възприемана цел.</w:t>
      </w:r>
    </w:p>
    <w:p w14:paraId="00000019">
      <w:pPr>
        <w:ind w:firstLine="709"/>
        <w:rPr>
          <w:lang w:val="bg-BG"/>
        </w:rPr>
      </w:pPr>
      <w:r>
        <w:rPr>
          <w:lang w:val="bg-BG"/>
        </w:rPr>
        <w:t>Разграничението спрямо класическата психоанализа не трябва да се пред</w:t>
      </w:r>
      <w:r>
        <w:rPr>
          <w:lang w:val="bg-BG"/>
        </w:rPr>
        <w:t>ставя като пълно отрицание на миналото или на несъзнаваните процеси. Адлер признава значението на ранния опит, телесните условия, семейната среда и ранните отношения. Разликата е в начина, по който им се приписва психологическа причинност. Събитията от мин</w:t>
      </w:r>
      <w:r>
        <w:rPr>
          <w:lang w:val="bg-BG"/>
        </w:rPr>
        <w:t>алото не действат механично и еднозначно; решаващо е значението, което индивидът им придава, и мястото им в изградената от него посока на живот. Едно и също обективно обстоятелство може да бъде използвано по различен начин от различни личности.</w:t>
      </w:r>
    </w:p>
    <w:p w14:paraId="0000001A">
      <w:pPr>
        <w:ind w:firstLine="709"/>
        <w:rPr>
          <w:lang w:val="bg-BG"/>
        </w:rPr>
      </w:pPr>
      <w:r>
        <w:rPr>
          <w:lang w:val="bg-BG"/>
        </w:rPr>
        <w:t>Теле</w:t>
      </w:r>
      <w:r>
        <w:rPr>
          <w:lang w:val="bg-BG"/>
        </w:rPr>
        <w:t>ологичният анализ пита „за какво служи“ дадено поведение в индивидуалната система. Например избягването на трудна задача може да бъде разбрано не само като последица от преживян неуспех, а и като стратегия за запазване на самооценката и избягване на бъдещо</w:t>
      </w:r>
      <w:r>
        <w:rPr>
          <w:lang w:val="bg-BG"/>
        </w:rPr>
        <w:t xml:space="preserve"> доказателство за неспособност. Това не означава, че човек винаги съзнава целта си. В адлериански смисъл целта може да функционира имплицитно като организиращ принцип на поведението.</w:t>
      </w:r>
    </w:p>
    <w:p w14:paraId="0000001B">
      <w:pPr>
        <w:spacing w:before="160" w:after="40"/>
        <w:jc w:val="left"/>
        <w:rPr>
          <w:lang w:val="bg-BG"/>
        </w:rPr>
      </w:pPr>
      <w:r>
        <w:rPr>
          <w:b/>
          <w:lang w:val="bg-BG"/>
        </w:rPr>
        <w:t>2. ЧУВСТВОТО ЗА НЕПЪЛНОЦЕННОСТ КАТО МОТИВАЦИОННА ОСНОВА</w:t>
      </w:r>
    </w:p>
    <w:p w14:paraId="0000001C">
      <w:pPr>
        <w:ind w:firstLine="709"/>
        <w:rPr>
          <w:lang w:val="bg-BG"/>
        </w:rPr>
      </w:pPr>
      <w:r>
        <w:rPr>
          <w:lang w:val="bg-BG"/>
        </w:rPr>
        <w:t xml:space="preserve">Една от </w:t>
      </w:r>
      <w:r>
        <w:rPr>
          <w:lang w:val="bg-BG"/>
        </w:rPr>
        <w:t>най-разпознаваемите идеи на Адлер е концепцията за чувството за непълноценност. В ранните си разработки той изследва органната непълноценност и начините, по които организмът и личността компенсират слабостта. Впоследствие понятието получава по-широк пс</w:t>
      </w:r>
      <w:r>
        <w:rPr>
          <w:lang w:val="bg-BG"/>
        </w:rPr>
        <w:t>ихологически смисъл. Детето неизбежно преживява собствената си зависимост, ограниченост и по-малка компетентност спрямо възрастните. Следователно чувството за непълноценност не е само патологичен симптом, а нормален компонент на човешкото развитие.</w:t>
      </w:r>
    </w:p>
    <w:p w14:paraId="0000001D">
      <w:pPr>
        <w:ind w:firstLine="709"/>
        <w:rPr>
          <w:lang w:val="bg-BG"/>
        </w:rPr>
      </w:pPr>
      <w:r>
        <w:rPr>
          <w:lang w:val="bg-BG"/>
        </w:rPr>
        <w:t>Мотивац</w:t>
      </w:r>
      <w:r>
        <w:rPr>
          <w:lang w:val="bg-BG"/>
        </w:rPr>
        <w:t xml:space="preserve">ионното значение на непълноценността се състои в това, че преживяването на недостатъчност поражда движение към преодоляване. </w:t>
      </w:r>
      <w:r>
        <w:rPr>
          <w:lang w:val="bg-BG"/>
        </w:rPr>
        <w:t>Човек се стреми от състояние, възприемано като „по-малко“, към състояние, което субективно се преживява като „повече“ – по-голяма к</w:t>
      </w:r>
      <w:r>
        <w:rPr>
          <w:lang w:val="bg-BG"/>
        </w:rPr>
        <w:t>омпетентност, сигурност, цялостност или ефективност. Компенсацията може да бъде конструктивна, когато води до учене, развитие и участие в общността, но може да приеме и непродуктивни форми, когато личността се стреми да прикрие несигурността чрез избягване</w:t>
      </w:r>
      <w:r>
        <w:rPr>
          <w:lang w:val="bg-BG"/>
        </w:rPr>
        <w:t>, обезценяване на другите или демонстративно превъзходство.</w:t>
      </w:r>
    </w:p>
    <w:p w14:paraId="0000001E">
      <w:pPr>
        <w:ind w:firstLine="709"/>
        <w:rPr>
          <w:lang w:val="bg-BG"/>
        </w:rPr>
      </w:pPr>
      <w:r>
        <w:rPr>
          <w:lang w:val="bg-BG"/>
        </w:rPr>
        <w:t xml:space="preserve">Важно е да се разграничат нормалното чувство за непълноценност и комплексът за непълноценност. Последният обозначава ситуация, при която преживяването на недостатъчност става толкова силно </w:t>
      </w:r>
      <w:r>
        <w:rPr>
          <w:lang w:val="bg-BG"/>
        </w:rPr>
        <w:t>и стабилизирано, че затруднява активното решаване на жизнените задачи. В този случай субектът може да използва симптоми, оправдания или оттегляне като защитни стратегии. Парадоксално, комплексът за превъзходство може да изпълнява компенсаторна функция спря</w:t>
      </w:r>
      <w:r>
        <w:rPr>
          <w:lang w:val="bg-BG"/>
        </w:rPr>
        <w:t>мо дълбоко преживяна несигурност.</w:t>
      </w:r>
    </w:p>
    <w:p w14:paraId="0000001F">
      <w:pPr>
        <w:spacing w:before="160" w:after="40"/>
        <w:jc w:val="left"/>
        <w:rPr>
          <w:lang w:val="bg-BG"/>
        </w:rPr>
      </w:pPr>
      <w:r>
        <w:rPr>
          <w:b/>
          <w:lang w:val="bg-BG"/>
        </w:rPr>
        <w:t>3. СТРЕМЕЖЪТ КЪМ ПРЕВЪЗХОДСТВО И РАЗВИТИЕ</w:t>
      </w:r>
    </w:p>
    <w:p w14:paraId="00000020">
      <w:pPr>
        <w:ind w:firstLine="709"/>
        <w:rPr>
          <w:lang w:val="bg-BG"/>
        </w:rPr>
      </w:pPr>
      <w:r>
        <w:rPr>
          <w:lang w:val="bg-BG"/>
        </w:rPr>
        <w:t>Адлер постепенно формулира стремежа към превъзходство като общ динамичен принцип на личността. Терминът лесно се разбира погрешно, ако „превъзходство“ се сведе до власт над дру</w:t>
      </w:r>
      <w:r>
        <w:rPr>
          <w:lang w:val="bg-BG"/>
        </w:rPr>
        <w:t>ги хора. В теорията понятието има по-широк смисъл: движение към преодоляване на ограниченията, усъвършенстване, компетентност и субективно възприемана завършеност. Конкретната форма на този стремеж зависи от жизнения стил и от степента на социален и</w:t>
      </w:r>
      <w:r>
        <w:rPr>
          <w:lang w:val="bg-BG"/>
        </w:rPr>
        <w:t>нтерес.</w:t>
      </w:r>
    </w:p>
    <w:p w14:paraId="00000021">
      <w:pPr>
        <w:ind w:firstLine="709"/>
        <w:rPr>
          <w:lang w:val="bg-BG"/>
        </w:rPr>
      </w:pPr>
      <w:r>
        <w:rPr>
          <w:lang w:val="bg-BG"/>
        </w:rPr>
        <w:t>Тук се открива ключова връзка между мотивация и целеполагане. Чувството за недостатъчност създава напрежение, но само по себе си не определя конкретния път. Посоката се задава от образа на желаното състояние. Така адлерианската мотивация не е редуц</w:t>
      </w:r>
      <w:r>
        <w:rPr>
          <w:lang w:val="bg-BG"/>
        </w:rPr>
        <w:t>ируема до освобождаване от напрежение; тя е ориентирана към развитие и към конструирана представа за това какъв човек трябва да бъде индивидът и какво място трябва да заема в света.</w:t>
      </w:r>
    </w:p>
    <w:p w14:paraId="00000022">
      <w:pPr>
        <w:ind w:firstLine="709"/>
        <w:rPr>
          <w:lang w:val="bg-BG"/>
        </w:rPr>
      </w:pPr>
      <w:r>
        <w:rPr>
          <w:lang w:val="bg-BG"/>
        </w:rPr>
        <w:t>От психологическа гледна точка тази постановка позволява да се обясни защо</w:t>
      </w:r>
      <w:r>
        <w:rPr>
          <w:lang w:val="bg-BG"/>
        </w:rPr>
        <w:t xml:space="preserve"> двама души със сходни затруднения могат да изберат противоположни стратегии. Единият може да превърне усещането за недостатъчност в мотив за обучение и сътрудничество, а другият – в мотив за избягване на оценяване или за борба за лично превъзходство. След</w:t>
      </w:r>
      <w:r>
        <w:rPr>
          <w:lang w:val="bg-BG"/>
        </w:rPr>
        <w:t>ователно мотивиращото значение на преживяването зависи от целта, в която то е включено.</w:t>
      </w:r>
    </w:p>
    <w:p w14:paraId="00000023">
      <w:pPr>
        <w:spacing w:before="160" w:after="40"/>
        <w:jc w:val="left"/>
        <w:rPr>
          <w:lang w:val="bg-BG"/>
        </w:rPr>
      </w:pPr>
      <w:r>
        <w:rPr>
          <w:b/>
          <w:lang w:val="bg-BG"/>
        </w:rPr>
        <w:t>4. ФИКЦИОННА КРАЙНА ЦЕЛ И ЦЕЛЕПОЛАГАНЕ</w:t>
      </w:r>
    </w:p>
    <w:p w14:paraId="00000024">
      <w:pPr>
        <w:ind w:firstLine="709"/>
        <w:rPr>
          <w:lang w:val="bg-BG"/>
        </w:rPr>
      </w:pPr>
      <w:r>
        <w:rPr>
          <w:lang w:val="bg-BG"/>
        </w:rPr>
        <w:t xml:space="preserve">За да опише организиращата роля на бъдещето, Адлер използва идеята за фикционна крайна цел. Концепцията е свързана с философията </w:t>
      </w:r>
      <w:r>
        <w:rPr>
          <w:lang w:val="bg-BG"/>
        </w:rPr>
        <w:t>на Ханс Файхингер и с разбирането, че хората могат да действат според конструкции, които не са буквални описания на действителността, но функционират като практически ориентири. Фикционната цел е мисловен образ на желано състояние на сигурност, значимо</w:t>
      </w:r>
      <w:r>
        <w:rPr>
          <w:lang w:val="bg-BG"/>
        </w:rPr>
        <w:t xml:space="preserve">ст или </w:t>
      </w:r>
      <w:r>
        <w:rPr>
          <w:lang w:val="bg-BG"/>
        </w:rPr>
        <w:t>съвършенство, спрямо който личността организира настоящото си поведение.</w:t>
      </w:r>
    </w:p>
    <w:p w14:paraId="00000025">
      <w:pPr>
        <w:ind w:firstLine="709"/>
        <w:rPr>
          <w:lang w:val="bg-BG"/>
        </w:rPr>
      </w:pPr>
      <w:r>
        <w:rPr>
          <w:lang w:val="bg-BG"/>
        </w:rPr>
        <w:t>Определението „фикционна“ не означава непременно фантастична или невярна в обикновения смисъл. Става дума за регулативна конструкция – субективна хипотеза за това към какво тря</w:t>
      </w:r>
      <w:r>
        <w:rPr>
          <w:lang w:val="bg-BG"/>
        </w:rPr>
        <w:t>бва да се върви. Тя придава последователност на отделните действия и позволява те да бъдат разбрани като части от един жизнен проект. Често крайната цел не е напълно осъзната и може да бъде формулирана чрез условни правила от типа „само ако съм безупречен,</w:t>
      </w:r>
      <w:r>
        <w:rPr>
          <w:lang w:val="bg-BG"/>
        </w:rPr>
        <w:t xml:space="preserve"> ще бъда значим“ или „само ако никога не завися от другите, ще бъда сигурен“. Такива правила могат да мобилизират усилие, но и да ограничават адаптивността.</w:t>
      </w:r>
    </w:p>
    <w:p w14:paraId="00000026">
      <w:pPr>
        <w:ind w:firstLine="709"/>
        <w:rPr>
          <w:lang w:val="bg-BG"/>
        </w:rPr>
      </w:pPr>
      <w:r>
        <w:rPr>
          <w:lang w:val="bg-BG"/>
        </w:rPr>
        <w:t xml:space="preserve">Оттук следва съществена особеност на адлерианското целеполагане: психологическата сила на целта не </w:t>
      </w:r>
      <w:r>
        <w:rPr>
          <w:lang w:val="bg-BG"/>
        </w:rPr>
        <w:t>зависи изцяло от нейната обективна реалистичност. По-важно е доколко човек вярва в нея и организира изборите си спрямо нея. Психологическата интервенция поради това включва изследване на скритата логика на целите, на цената на използваните стратегии и на в</w:t>
      </w:r>
      <w:r>
        <w:rPr>
          <w:lang w:val="bg-BG"/>
        </w:rPr>
        <w:t>ъзможността за пренасочване към по-конструктивни и социално свързани цели.</w:t>
      </w:r>
    </w:p>
    <w:p w14:paraId="00000027">
      <w:pPr>
        <w:spacing w:before="160" w:after="40"/>
        <w:jc w:val="left"/>
        <w:rPr>
          <w:lang w:val="bg-BG"/>
        </w:rPr>
      </w:pPr>
      <w:r>
        <w:rPr>
          <w:b/>
          <w:lang w:val="bg-BG"/>
        </w:rPr>
        <w:t>5. ЖИЗНЕН СТИЛ И ТВОРЧЕСКА СИЛА НА ЛИЧНОСТТА</w:t>
      </w:r>
    </w:p>
    <w:p w14:paraId="00000028">
      <w:pPr>
        <w:ind w:firstLine="709"/>
        <w:rPr>
          <w:lang w:val="bg-BG"/>
        </w:rPr>
      </w:pPr>
      <w:r>
        <w:rPr>
          <w:lang w:val="bg-BG"/>
        </w:rPr>
        <w:t>Понятието „жизнен стил“ обозначава характерния начин, по който човек възприема себе си, другите и света, поставя цели и избира ср</w:t>
      </w:r>
      <w:r>
        <w:rPr>
          <w:lang w:val="bg-BG"/>
        </w:rPr>
        <w:t xml:space="preserve">едства за постигането им. Той включва устойчиви убеждения, очаквания, стратегии за справяне и типични модели на отношение. Според Адлер основните очертания на жизнения стил се формират рано, но това не означава неизменна съдба. Детето не просто регистрира </w:t>
      </w:r>
      <w:r>
        <w:rPr>
          <w:lang w:val="bg-BG"/>
        </w:rPr>
        <w:t>средата, а я интерпретира и изработва собствен отговор към нея.</w:t>
      </w:r>
    </w:p>
    <w:p w14:paraId="00000029">
      <w:pPr>
        <w:ind w:firstLine="709"/>
        <w:rPr>
          <w:lang w:val="bg-BG"/>
        </w:rPr>
      </w:pPr>
      <w:r>
        <w:rPr>
          <w:lang w:val="bg-BG"/>
        </w:rPr>
        <w:t xml:space="preserve">Тук се проявява идеята за творческата сила на личността. Наследствеността и средата предоставят условия и ограничения, но не могат сами да обяснят уникалната организация на живота. </w:t>
      </w:r>
      <w:r>
        <w:rPr>
          <w:lang w:val="bg-BG"/>
        </w:rPr>
        <w:t>Индивидът активно създава значение от преживяното. Това положение предпазва теорията както от строг биологичен, така и от строг социален детерминизъм. Свободата при Адлер обаче не е абсолютна: човек избира и конструира в рамките на реални телесни, семейни,</w:t>
      </w:r>
      <w:r>
        <w:rPr>
          <w:lang w:val="bg-BG"/>
        </w:rPr>
        <w:t xml:space="preserve"> културни и социални условия.</w:t>
      </w:r>
    </w:p>
    <w:p w14:paraId="0000002A">
      <w:pPr>
        <w:ind w:firstLine="709"/>
        <w:rPr>
          <w:lang w:val="bg-BG"/>
        </w:rPr>
      </w:pPr>
      <w:r>
        <w:rPr>
          <w:lang w:val="bg-BG"/>
        </w:rPr>
        <w:t xml:space="preserve">Ранните спомени имат специално място в адлерианската оценка не защото непременно представляват точен исторически запис, а защото подборът и интерпретацията им могат да разкрият настоящата жизнена схема. Същият принцип важи за </w:t>
      </w:r>
      <w:r>
        <w:rPr>
          <w:lang w:val="bg-BG"/>
        </w:rPr>
        <w:t>субективното преживяване на позицията в семейството. Адлер обръща внимание на поредността на раждане, но тя не следва да се използва като механична типология; психологическата позиция на детето и значението, което то придава на семейните отношения, са по-с</w:t>
      </w:r>
      <w:r>
        <w:rPr>
          <w:lang w:val="bg-BG"/>
        </w:rPr>
        <w:t>ъществени от самия пореден номер</w:t>
      </w:r>
      <w:r>
        <w:rPr>
          <w:lang w:val="bg-BG"/>
        </w:rPr>
        <w:t>.</w:t>
      </w:r>
    </w:p>
    <w:p w14:paraId="0000002B">
      <w:pPr>
        <w:spacing w:before="160" w:after="40"/>
        <w:jc w:val="left"/>
        <w:rPr>
          <w:lang w:val="bg-BG"/>
        </w:rPr>
      </w:pPr>
      <w:r>
        <w:rPr>
          <w:b/>
          <w:lang w:val="bg-BG"/>
        </w:rPr>
        <w:t>6. СОЦИАЛЕН ИНТЕРЕС КАТО КРИТЕРИЙ ЗА ЗРЯЛА МОТИВАЦИЯ</w:t>
      </w:r>
    </w:p>
    <w:p w14:paraId="0000002C">
      <w:pPr>
        <w:ind w:firstLine="709"/>
        <w:rPr>
          <w:lang w:val="bg-BG"/>
        </w:rPr>
      </w:pPr>
      <w:r>
        <w:rPr>
          <w:lang w:val="bg-BG"/>
        </w:rPr>
        <w:t>Социалният интерес (Gemeinschaftsgefühl) е фундаментален за зрелия вариант на индивидуалната психология. Той обозначава чувство за принадлежност към човешката общнос</w:t>
      </w:r>
      <w:r>
        <w:rPr>
          <w:lang w:val="bg-BG"/>
        </w:rPr>
        <w:t>т, способност за сътрудничество и готовност за принос към общото благо. Следователно индивидуалната психология не защитава индивидуализъм в смисъл на самодостатъчност. Човешкото развитие се осъществява в отношения и неговата психологическа здравина се оцен</w:t>
      </w:r>
      <w:r>
        <w:rPr>
          <w:lang w:val="bg-BG"/>
        </w:rPr>
        <w:t>ява и според способността за конструктивно участие в общността.</w:t>
      </w:r>
    </w:p>
    <w:p w14:paraId="0000002D">
      <w:pPr>
        <w:ind w:firstLine="709"/>
        <w:rPr>
          <w:lang w:val="bg-BG"/>
        </w:rPr>
      </w:pPr>
      <w:r>
        <w:rPr>
          <w:lang w:val="bg-BG"/>
        </w:rPr>
        <w:t>Социалният интерес променя и смисъла на стремежа към превъзходство. Когато стремежът е съчетан със сътрудничество, личните способности се развиват по начин, който едновременно подпомага</w:t>
      </w:r>
      <w:r>
        <w:rPr>
          <w:lang w:val="bg-BG"/>
        </w:rPr>
        <w:t xml:space="preserve"> индивида и другите. Когато социалният интерес е недостатъчно развит, целта може да се организира около престиж, контрол, избягване на поражение или доказване на собствена изключителност. Затова в адлерианската теория не всяко успешно постигане на цел е по</w:t>
      </w:r>
      <w:r>
        <w:rPr>
          <w:lang w:val="bg-BG"/>
        </w:rPr>
        <w:t>казател за психологическа зрялост. Значение има и социалната насоченост на целта.</w:t>
      </w:r>
    </w:p>
    <w:p w14:paraId="0000002E">
      <w:pPr>
        <w:ind w:firstLine="709"/>
        <w:rPr>
          <w:lang w:val="bg-BG"/>
        </w:rPr>
      </w:pPr>
      <w:r>
        <w:rPr>
          <w:lang w:val="bg-BG"/>
        </w:rPr>
        <w:t>Тази идея придава етико-социално измерение на мотивационната теория. Адаптивното целеполагане не се изчерпва с индивидуална ефективност. То предполага способност личните стре</w:t>
      </w:r>
      <w:r>
        <w:rPr>
          <w:lang w:val="bg-BG"/>
        </w:rPr>
        <w:t>межи да бъдат съгласувани с реалността на взаимната зависимост между хората. Насърчаването, чувството за принадлежност и развитието на сътрудничество поради това са централни принципи в адлерианската психотерапевтична и възпитателна практика.</w:t>
      </w:r>
    </w:p>
    <w:p w14:paraId="0000002F">
      <w:pPr>
        <w:spacing w:before="160" w:after="40"/>
        <w:jc w:val="left"/>
        <w:rPr>
          <w:lang w:val="bg-BG"/>
        </w:rPr>
      </w:pPr>
      <w:r>
        <w:rPr>
          <w:b/>
          <w:lang w:val="bg-BG"/>
        </w:rPr>
        <w:t>7. ОСНОВН</w:t>
      </w:r>
      <w:r>
        <w:rPr>
          <w:b/>
          <w:lang w:val="bg-BG"/>
        </w:rPr>
        <w:t>И ЖИЗНЕНИ ЗАДАЧИ</w:t>
      </w:r>
    </w:p>
    <w:p w14:paraId="00000030">
      <w:pPr>
        <w:ind w:firstLine="709"/>
        <w:rPr>
          <w:lang w:val="bg-BG"/>
        </w:rPr>
      </w:pPr>
      <w:r>
        <w:rPr>
          <w:lang w:val="bg-BG"/>
        </w:rPr>
        <w:t xml:space="preserve">Адлер свързва психичното функциониране с начина, по който човек решава основните задачи на живота. Класически те се групират около работа, социални отношения/приятелство и любов. По-късни адлериански автори разширяват тази рамка, но трите </w:t>
      </w:r>
      <w:r>
        <w:rPr>
          <w:lang w:val="bg-BG"/>
        </w:rPr>
        <w:t>задачи остават ядро на концепцията. Те не са независими области: във всяка от тях се проявяват жизненият стил, фикционната цел, степента на социален интерес и типичните стратегии за компенсация.</w:t>
      </w:r>
    </w:p>
    <w:p w14:paraId="00000031">
      <w:pPr>
        <w:ind w:firstLine="709"/>
        <w:rPr>
          <w:lang w:val="bg-BG"/>
        </w:rPr>
      </w:pPr>
      <w:r>
        <w:rPr>
          <w:lang w:val="bg-BG"/>
        </w:rPr>
        <w:t>В задачата на работата човек се среща с изискванията з</w:t>
      </w:r>
      <w:r>
        <w:rPr>
          <w:lang w:val="bg-BG"/>
        </w:rPr>
        <w:t>а компетентност, постоянство, полезност и сътрудничество. Мотивацията, ориентирана единствено към доказване на превъзходство, може да превърне професионалната среда в арена за непрекъснато сравнение. При по-развит социален интерес професионалното постижени</w:t>
      </w:r>
      <w:r>
        <w:rPr>
          <w:lang w:val="bg-BG"/>
        </w:rPr>
        <w:t>е се свързва и с принос, отговорност и участие в обща дейност.</w:t>
      </w:r>
    </w:p>
    <w:p w14:paraId="00000032">
      <w:pPr>
        <w:ind w:firstLine="709"/>
        <w:rPr>
          <w:lang w:val="bg-BG"/>
        </w:rPr>
      </w:pPr>
      <w:r>
        <w:rPr>
          <w:lang w:val="bg-BG"/>
        </w:rPr>
        <w:t>Задачата на приятелството и социалните отношения изисква признаване на другия като равностоен участник. Тя проверява способността за доверие, взаимност и принадлежност. Любовната задача поставя</w:t>
      </w:r>
      <w:r>
        <w:rPr>
          <w:lang w:val="bg-BG"/>
        </w:rPr>
        <w:t xml:space="preserve"> особено високи изисквания към сътрудничеството, тъй като предполага близост без обезличаване и взаимна ангажираност без превръщане на партньора в средство за компенсиране на собствена несигурност. Затрудненията в тези области могат да бъдат анализирани ка</w:t>
      </w:r>
      <w:r>
        <w:rPr>
          <w:lang w:val="bg-BG"/>
        </w:rPr>
        <w:t>то прояви на общия жизнен стил, а не като изолирани симптоми.</w:t>
      </w:r>
    </w:p>
    <w:p w14:paraId="00000033">
      <w:pPr>
        <w:spacing w:before="160" w:after="40"/>
        <w:jc w:val="left"/>
        <w:rPr>
          <w:lang w:val="bg-BG"/>
        </w:rPr>
      </w:pPr>
      <w:r>
        <w:rPr>
          <w:b/>
          <w:lang w:val="bg-BG"/>
        </w:rPr>
        <w:t>8. МОТИВАЦИЯТА В АДЛЕРИАНСКА ПЕРСПЕКТИВА: СИНТЕЗ</w:t>
      </w:r>
    </w:p>
    <w:p w14:paraId="00000034">
      <w:pPr>
        <w:ind w:firstLine="709"/>
        <w:rPr>
          <w:lang w:val="bg-BG"/>
        </w:rPr>
      </w:pPr>
      <w:r>
        <w:rPr>
          <w:lang w:val="bg-BG"/>
        </w:rPr>
        <w:t>Разгледаните понятия позволяват мотивацията в индивидуалната психология да бъде описана като динамична система. Началната позиция е преживяването</w:t>
      </w:r>
      <w:r>
        <w:rPr>
          <w:lang w:val="bg-BG"/>
        </w:rPr>
        <w:t xml:space="preserve"> на ограниченост или непълноценност. То поражда стремеж към преодоляване, но конкретната посока се организира от субективна крайна цел. Жизненият стил определя характерните средства, чрез които човек преследва тази цел, а социалният интерес характеризира с</w:t>
      </w:r>
      <w:r>
        <w:rPr>
          <w:lang w:val="bg-BG"/>
        </w:rPr>
        <w:t>тепента, в която движението е съвместимо със сътрудничеството и общността.</w:t>
      </w:r>
    </w:p>
    <w:p w14:paraId="00000035">
      <w:pPr>
        <w:ind w:firstLine="709"/>
        <w:rPr>
          <w:lang w:val="bg-BG"/>
        </w:rPr>
      </w:pPr>
      <w:r>
        <w:rPr>
          <w:lang w:val="bg-BG"/>
        </w:rPr>
        <w:t>Така причинност и целенасоченост не трябва да бъдат противопоставяни опростено. Биографията има значение, но не като неизбежен сценарий. Важни са интерпретацията и употребата на опи</w:t>
      </w:r>
      <w:r>
        <w:rPr>
          <w:lang w:val="bg-BG"/>
        </w:rPr>
        <w:t>та. От тази гледна точка човекът е едновременно обусловен и активен: той не избира всички обстоятелства, в които се развива, но участва в създаването на значението им и на стратегиите, чрез които им отговаря.</w:t>
      </w:r>
    </w:p>
    <w:p w14:paraId="00000036">
      <w:pPr>
        <w:ind w:firstLine="709"/>
        <w:rPr>
          <w:lang w:val="bg-BG"/>
        </w:rPr>
      </w:pPr>
      <w:r>
        <w:rPr>
          <w:lang w:val="bg-BG"/>
        </w:rPr>
        <w:t>За съвременния анализ на мотивацията приносът н</w:t>
      </w:r>
      <w:r>
        <w:rPr>
          <w:lang w:val="bg-BG"/>
        </w:rPr>
        <w:t>а Адлер е особено значим с поставянето на целите, субективното значение и социалната включеност в обща концептуална рамка. Въпреки че индивидуалната психология е исторически възникнала в различен научен контекст и част от нейните понятия не съвпадат едно к</w:t>
      </w:r>
      <w:r>
        <w:rPr>
          <w:lang w:val="bg-BG"/>
        </w:rPr>
        <w:t>ъм едно със съвременните операционализирани мотивационни конструкти, тя предлага последователен модел за разбиране на човека като ориентирано към бъдещето и социално вградено същество.</w:t>
      </w:r>
    </w:p>
    <w:p w14:paraId="00000037">
      <w:pPr>
        <w:spacing w:before="160" w:after="40"/>
        <w:jc w:val="left"/>
        <w:rPr>
          <w:lang w:val="bg-BG"/>
        </w:rPr>
      </w:pPr>
      <w:r>
        <w:rPr>
          <w:b/>
          <w:lang w:val="bg-BG"/>
        </w:rPr>
        <w:t>ЗАКЛЮЧЕНИЕ</w:t>
      </w:r>
    </w:p>
    <w:p w14:paraId="00000038">
      <w:pPr>
        <w:ind w:firstLine="709"/>
        <w:rPr>
          <w:lang w:val="bg-BG"/>
        </w:rPr>
      </w:pPr>
      <w:r>
        <w:rPr>
          <w:lang w:val="bg-BG"/>
        </w:rPr>
        <w:t xml:space="preserve">Индивидуалната психология на Алфред Адлер предлага </w:t>
      </w:r>
      <w:r>
        <w:rPr>
          <w:lang w:val="bg-BG"/>
        </w:rPr>
        <w:t>оригинална концепция за мотивацията, в която поведението се разбира чрез неговата целева насоченост и мястото му в цялостния жизнен стил. Чувството за непълноценност създава импулс за преодоляване, стремежът към превъзходство описва общата посока към разви</w:t>
      </w:r>
      <w:r>
        <w:rPr>
          <w:lang w:val="bg-BG"/>
        </w:rPr>
        <w:t>тие и завършеност, а фикционната крайна цел организира конкретните избори в настоящето. Тези процеси не протичат извън социалния свят: социалният интерес е основен критерий за конструктивността на личните стремежи.</w:t>
      </w:r>
    </w:p>
    <w:p w14:paraId="00000039">
      <w:pPr>
        <w:ind w:firstLine="709"/>
        <w:rPr>
          <w:lang w:val="bg-BG"/>
        </w:rPr>
      </w:pPr>
      <w:r>
        <w:rPr>
          <w:lang w:val="bg-BG"/>
        </w:rPr>
        <w:t>Следователно адлерианската перспектива не</w:t>
      </w:r>
      <w:r>
        <w:rPr>
          <w:lang w:val="bg-BG"/>
        </w:rPr>
        <w:t xml:space="preserve"> свежда личността нито до миналите ѝ преживявания, нито до биологични влечения. Тя подчертава субективното значение, активното конструиране на жизнена посока и отговорността при решаването на задачите на работа, общуване и любов. Именно съчетанието между т</w:t>
      </w:r>
      <w:r>
        <w:rPr>
          <w:lang w:val="bg-BG"/>
        </w:rPr>
        <w:t>елеологичност, холизъм и социална ориентация превръща теорията на Адлер в значим исторически и концептуален принос към психологическото разбиране на мотивацията и целеполагането.</w:t>
      </w:r>
    </w:p>
    <w:p w14:paraId="0000003A">
      <w:pPr>
        <w:ind w:firstLine="709"/>
        <w:rPr/>
      </w:pPr>
      <w:r>
        <w:t xml:space="preserve"> </w:t>
      </w:r>
    </w:p>
    <w:p w14:paraId="0000003B">
      <w:pPr>
        <w:spacing w:before="160" w:after="40"/>
        <w:jc w:val="left"/>
        <w:rPr/>
      </w:pPr>
      <w:r>
        <w:rPr>
          <w:b/>
        </w:rPr>
        <w:t>ИЗПОЛЗВАНИ ИЗТОЧНИЦИ</w:t>
      </w:r>
    </w:p>
    <w:p w14:paraId="0000003C">
      <w:r>
        <w:rPr>
          <w:sz w:val="24"/>
        </w:rPr>
        <w:t>1. ADLER, Alfred. Social Interest: A Challenge to Mankind. London: Faber and Faber, 1938.</w:t>
      </w:r>
    </w:p>
    <w:p w14:paraId="0000003D">
      <w:r>
        <w:rPr>
          <w:sz w:val="24"/>
        </w:rPr>
        <w:t>2. ADLER, Alfred. Understanding Human Nature. Translated by Walter Béran Wolfe. New York: Greenberg, 1927.</w:t>
      </w:r>
    </w:p>
    <w:p w14:paraId="0000003E">
      <w:r>
        <w:rPr>
          <w:sz w:val="24"/>
        </w:rPr>
        <w:t>3. ADLER, Alfred. What Life Should M</w:t>
      </w:r>
      <w:r>
        <w:rPr>
          <w:sz w:val="24"/>
        </w:rPr>
        <w:t>ean to You. London: George Allen &amp; Unwin, 1931.</w:t>
      </w:r>
    </w:p>
    <w:p w14:paraId="0000003F">
      <w:r>
        <w:rPr>
          <w:sz w:val="24"/>
        </w:rPr>
        <w:t>4. ADLER, Alfred. Study of Organ Inferiority and Its Psychical Compensation: A Contribution to Clinical Medicine. New York: Nervous and Mental Disease Publishing Company, 1917.</w:t>
      </w:r>
    </w:p>
    <w:p w14:paraId="00000040">
      <w:r>
        <w:rPr>
          <w:sz w:val="24"/>
        </w:rPr>
        <w:t>5. VAIHINGER, Hans. The Philoso</w:t>
      </w:r>
      <w:r>
        <w:rPr>
          <w:sz w:val="24"/>
        </w:rPr>
        <w:t>phy of ‘As If’: A System of the Theoretical, Practical and Religious Fictions of Mankind. Translated by C. K. Ogden. London: Kegan Paul, Trench, Trubner &amp; Co., 1924.</w:t>
      </w:r>
    </w:p>
    <w:p w14:paraId="00000041">
      <w:r>
        <w:rPr>
          <w:sz w:val="24"/>
        </w:rPr>
        <w:t>6. ANSBACHER, Heinz L. and Rowena R. ANSBACHER (eds.). The Individual Psychology of Alfred</w:t>
      </w:r>
      <w:r>
        <w:rPr>
          <w:sz w:val="24"/>
        </w:rPr>
        <w:t xml:space="preserve"> Adler: A Systematic Presentation in Selections from His Writings. New York: Basic Books, 1956.</w:t>
      </w:r>
    </w:p>
    <w:p w14:paraId="00000042">
      <w:bookmarkStart w:id="0" w:name="_GoBack"/>
      <w:bookmarkEnd w:id="0"/>
      <w:r>
        <w:t xml:space="preserve"> </w:t>
      </w:r>
    </w:p>
    <w:p w14:paraId="00000043">
      <w:pPr>
        <w:jc w:val="left"/>
        <w:rPr/>
      </w:pPr>
      <w:r>
        <w:rPr>
          <w:b/>
          <w:i/>
          <w:sz w:val="24"/>
        </w:rPr>
        <w:t>АДРЕС ЗА КОРЕСПОНДЕНЦИЯ</w:t>
      </w:r>
    </w:p>
    <w:p w14:paraId="00000044">
      <w:pPr>
        <w:jc w:val="left"/>
        <w:rPr>
          <w:i/>
          <w:sz w:val="24"/>
          <w:lang w:val="bg-BG"/>
        </w:rPr>
      </w:pPr>
      <w:r>
        <w:rPr>
          <w:i/>
          <w:sz w:val="24"/>
          <w:lang w:val="bg-BG"/>
        </w:rPr>
        <w:t>Атанас Павлов Атанасов, гл. ас. д-р по психология, Бургаски държавен университет „Проф. д-р Асен Златаров“</w:t>
      </w:r>
    </w:p>
    <w:p w14:paraId="00000045">
      <w:pPr>
        <w:jc w:val="left"/>
        <w:rPr>
          <w:i/>
          <w:sz w:val="24"/>
          <w:lang w:val="bg-BG"/>
        </w:rPr>
      </w:pPr>
      <w:r>
        <w:rPr>
          <w:i/>
          <w:sz w:val="24"/>
          <w:lang w:val="bg-BG"/>
        </w:rPr>
        <w:t>Гр. Пловдив, бул. „Цариградско шосе“ 43, ет.3, ап.9</w:t>
      </w:r>
    </w:p>
    <w:p w14:paraId="00000046">
      <w:pPr>
        <w:jc w:val="left"/>
        <w:rPr>
          <w:i/>
          <w:sz w:val="24"/>
          <w:lang w:val="bg-BG"/>
        </w:rPr>
      </w:pPr>
      <w:r>
        <w:rPr>
          <w:i/>
          <w:sz w:val="24"/>
          <w:lang w:val="bg-BG"/>
        </w:rPr>
        <w:t>0897 56 84 82</w:t>
      </w:r>
    </w:p>
    <w:p w14:paraId="00000047">
      <w:pPr>
        <w:jc w:val="left"/>
        <w:rPr/>
      </w:pPr>
      <w:r>
        <w:rPr>
          <w:i/>
          <w:sz w:val="24"/>
        </w:rPr>
        <w:t xml:space="preserve">Atanasov.atanas.1982@gmail.com </w:t>
      </w:r>
    </w:p>
    <w:sectPr>
      <w:pgSz w:w="11906" w:h="16838"/>
      <w:pgMar w:top="1134" w:right="1134" w:bottom="850"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ambria">
    <w:panose1 w:val="02040503050406030204"/>
    <w:charset w:val="00"/>
    <w:family w:val="roman"/>
    <w:pitch w:val="variable"/>
    <w:sig w:usb0="00000000" w:usb1="420024ff" w:usb2="02000000" w:usb3="00000000" w:csb0="0000019f" w:csb1="00000000"/>
  </w:font>
  <w:font w:name="MS Mincho">
    <w:altName w:val="ＭＳ 明朝"/>
    <w:panose1 w:val="02020609040205080304"/>
    <w:charset w:val="80"/>
    <w:family w:val="roman"/>
    <w:notTrueType w:val="on"/>
    <w:pitch w:val="fixed"/>
    <w:sig w:usb0="00000001" w:usb1="08070000" w:usb2="00000010" w:usb3="00000000" w:csb0="00020000" w:csb1="00000000"/>
  </w:font>
  <w:font w:name="Calibri">
    <w:panose1 w:val="020f0502020204030204"/>
    <w:charset w:val="00"/>
    <w:family w:val="swiss"/>
    <w:pitch w:val="variable"/>
    <w:sig w:usb0="00000000" w:usb1="00000000" w:usb2="00000009" w:usb3="00000000" w:csb0="000001ff" w:csb1="00000000"/>
  </w:font>
  <w:font w:name="MS Gothic">
    <w:altName w:val="ＭＳ ゴシック"/>
    <w:panose1 w:val="020b0609070205080204"/>
    <w:charset w:val="80"/>
    <w:family w:val="modern"/>
    <w:pitch w:val="fixed"/>
    <w:sig w:usb0="00000000"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decimal"/>
      <w:lvlText w:val="%1."/>
      <w:lvlJc w:val="left"/>
      <w:pPr>
        <w:tabs>
          <w:tab w:val="num" w:pos="1800"/>
        </w:tabs>
        <w:ind w:left="1800" w:hanging="360"/>
      </w:pPr>
    </w:lvl>
  </w:abstractNum>
  <w:abstractNum w:abstractNumId="1">
    <w:multiLevelType w:val="singleLevel"/>
    <w:lvl w:ilvl="0" w:tentative="0">
      <w:start w:val="1"/>
      <w:numFmt w:val="decimal"/>
      <w:lvlText w:val="%1."/>
      <w:lvlJc w:val="left"/>
      <w:pPr>
        <w:tabs>
          <w:tab w:val="num" w:pos="1440"/>
        </w:tabs>
        <w:ind w:left="1440" w:hanging="360"/>
      </w:pPr>
    </w:lvl>
  </w:abstractNum>
  <w:abstractNum w:abstractNumId="2">
    <w:multiLevelType w:val="singleLevel"/>
    <w:lvl w:ilvl="0" w:tentative="0">
      <w:start w:val="1"/>
      <w:numFmt w:val="decimal"/>
      <w:pStyle w:val="ListNumber3"/>
      <w:lvlText w:val="%1."/>
      <w:lvlJc w:val="left"/>
      <w:pPr>
        <w:tabs>
          <w:tab w:val="num" w:pos="1080"/>
        </w:tabs>
        <w:ind w:left="1080" w:hanging="360"/>
      </w:pPr>
    </w:lvl>
  </w:abstractNum>
  <w:abstractNum w:abstractNumId="3">
    <w:multiLevelType w:val="singleLevel"/>
    <w:lvl w:ilvl="0" w:tentative="0">
      <w:start w:val="1"/>
      <w:numFmt w:val="decimal"/>
      <w:pStyle w:val="ListNumber2"/>
      <w:lvlText w:val="%1."/>
      <w:lvlJc w:val="left"/>
      <w:pPr>
        <w:tabs>
          <w:tab w:val="num" w:pos="720"/>
        </w:tabs>
        <w:ind w:left="720" w:hanging="360"/>
      </w:pPr>
    </w:lvl>
  </w:abstractNum>
  <w:abstractNum w:abstractNumId="4">
    <w:multiLevelType w:val="singleLevel"/>
    <w:lvl w:ilvl="0" w:tentative="0">
      <w:start w:val="1"/>
      <w:numFmt w:val="bullet"/>
      <w:lvlText w:val=""/>
      <w:lvlJc w:val="left"/>
      <w:pPr>
        <w:tabs>
          <w:tab w:val="num" w:pos="1440"/>
        </w:tabs>
        <w:ind w:left="1440" w:hanging="360"/>
      </w:pPr>
      <w:rPr>
        <w:rFonts w:ascii="Symbol" w:hAnsi="Symbol" w:hint="default"/>
      </w:rPr>
    </w:lvl>
  </w:abstractNum>
  <w:abstractNum w:abstractNumId="5">
    <w:multiLevelType w:val="singleLevel"/>
    <w:lvl w:ilvl="0" w:tentative="0">
      <w:start w:val="1"/>
      <w:numFmt w:val="bullet"/>
      <w:pStyle w:val="ListBullet3"/>
      <w:lvlText w:val=""/>
      <w:lvlJc w:val="left"/>
      <w:pPr>
        <w:tabs>
          <w:tab w:val="num" w:pos="1080"/>
        </w:tabs>
        <w:ind w:left="1080" w:hanging="360"/>
      </w:pPr>
      <w:rPr>
        <w:rFonts w:ascii="Symbol" w:hAnsi="Symbol" w:hint="default"/>
      </w:rPr>
    </w:lvl>
  </w:abstractNum>
  <w:abstractNum w:abstractNumId="6">
    <w:multiLevelType w:val="singleLevel"/>
    <w:lvl w:ilvl="0" w:tentative="0">
      <w:start w:val="1"/>
      <w:numFmt w:val="bullet"/>
      <w:pStyle w:val="ListBullet2"/>
      <w:lvlText w:val=""/>
      <w:lvlJc w:val="left"/>
      <w:pPr>
        <w:tabs>
          <w:tab w:val="num" w:pos="720"/>
        </w:tabs>
        <w:ind w:left="720" w:hanging="360"/>
      </w:pPr>
      <w:rPr>
        <w:rFonts w:ascii="Symbol" w:hAnsi="Symbol" w:hint="default"/>
      </w:rPr>
    </w:lvl>
  </w:abstractNum>
  <w:abstractNum w:abstractNumId="7">
    <w:multiLevelType w:val="singleLevel"/>
    <w:lvl w:ilvl="0" w:tentative="0">
      <w:start w:val="1"/>
      <w:numFmt w:val="decimal"/>
      <w:pStyle w:val="ListNumber"/>
      <w:lvlText w:val="%1."/>
      <w:lvlJc w:val="left"/>
      <w:pPr>
        <w:tabs>
          <w:tab w:val="num" w:pos="360"/>
        </w:tabs>
        <w:ind w:left="360" w:hanging="360"/>
      </w:pPr>
    </w:lvl>
  </w:abstractNum>
  <w:abstractNum w:abstractNumId="8">
    <w:multiLevelType w:val="singleLevel"/>
    <w:lvl w:ilvl="0" w:tentative="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04683"/>
    <w:rsid w:val="00B47730"/>
    <w:rsid w:val="00CB0664"/>
    <w:rsid w:val="00F816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68EC4"/>
  <w14:defaultImageDpi w14:val="300"/>
  <w15:docId w15:val="{1BE42A3B-56BA-4AB6-B036-304D24929F58}"/>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en-US" w:bidi="ar-SA" w:eastAsia="en-US"/>
      </w:rPr>
    </w:rPrDefault>
    <w:pPrDefault>
      <w:pPr>
        <w:spacing w:after="200" w:line="276" w:lineRule="auto"/>
      </w:pPr>
    </w:pPrDefault>
  </w:docDefaults>
  <w:style w:type="character" w:customStyle="1" w:styleId="Heading1Char">
    <w:name w:val="Heading 1 Char"/>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uiPriority w:val="9"/>
    <w:rPr>
      <w:rFonts w:asciiTheme="majorHAnsi" w:cstheme="majorBidi" w:eastAsiaTheme="majorEastAsia" w:hAnsiTheme="majorHAnsi"/>
      <w:b/>
      <w:bCs/>
      <w:color w:val="4f81bd" w:themeColor="accent1"/>
    </w:rPr>
  </w:style>
  <w:style w:type="character" w:customStyle="1" w:styleId="Heading4Char">
    <w:name w:val="Heading 4 Char"/>
    <w:uiPriority w:val="9"/>
    <w:rPr>
      <w:rFonts w:asciiTheme="majorHAnsi" w:cstheme="majorBidi" w:eastAsiaTheme="majorEastAsia" w:hAnsiTheme="majorHAnsi"/>
      <w:b/>
      <w:bCs/>
      <w:i/>
      <w:iCs/>
      <w:color w:val="4f81bd" w:themeColor="accent1"/>
    </w:rPr>
  </w:style>
  <w:style w:type="character" w:customStyle="1" w:styleId="Heading5Char">
    <w:name w:val="Heading 5 Char"/>
    <w:uiPriority w:val="9"/>
    <w:rPr>
      <w:rFonts w:asciiTheme="majorHAnsi" w:cstheme="majorBidi" w:eastAsiaTheme="majorEastAsia" w:hAnsiTheme="majorHAnsi"/>
      <w:color w:val="243f60" w:themeColor="accent1" w:themeShade="7f"/>
    </w:rPr>
  </w:style>
  <w:style w:type="character" w:customStyle="1" w:styleId="Heading6Char">
    <w:name w:val="Heading 6 Char"/>
    <w:uiPriority w:val="9"/>
    <w:rPr>
      <w:rFonts w:asciiTheme="majorHAnsi" w:cstheme="majorBidi" w:eastAsiaTheme="majorEastAsia" w:hAnsiTheme="majorHAnsi"/>
      <w:i/>
      <w:iCs/>
      <w:color w:val="243f6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f81bd"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Hyperlink">
    <w:name w:val="Hyperlink"/>
    <w:uiPriority w:val="99"/>
    <w:unhideWhenUsed w:val="on"/>
    <w:rPr>
      <w:color w:val="0000ff" w:themeColor="hyperlink"/>
      <w:u w:val="single"/>
    </w:rPr>
  </w:style>
  <w:style w:type="character" w:styleId="FollowedHyperlink">
    <w:name w:val="FollowedHyperlink"/>
    <w:uiPriority w:val="99"/>
    <w:semiHidden w:val="on"/>
    <w:unhideWhenUsed w:val="on"/>
    <w:rPr>
      <w:color w:val="800080" w:themeColor="followedHyperlink"/>
      <w:u w:val="single"/>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default="1" w:styleId="Normal">
    <w:name w:val="Normal"/>
    <w:uiPriority w:val="99"/>
    <w:qFormat w:val="on"/>
    <w:pPr>
      <w:spacing w:after="0" w:line="240" w:lineRule="auto"/>
      <w:jc w:val="both"/>
    </w:pPr>
    <w:rPr>
      <w:rFonts w:ascii="Times New Roman" w:eastAsia="Times New Roman" w:hAnsi="Times New Roman"/>
      <w:sz w:val="28"/>
    </w:rPr>
  </w:style>
  <w:style w:type="paragraph" w:styleId="Heading1">
    <w:name w:val="Heading 1"/>
    <w:basedOn w:val="Normal"/>
    <w:next w:val="Normal"/>
    <w:link w:val="Заглавие1Знак"/>
    <w:uiPriority w:val="9"/>
    <w:qFormat w:val="on"/>
    <w:pPr>
      <w:keepNext w:val="on"/>
      <w:keepLines w:val="on"/>
      <w:spacing w:before="480"/>
    </w:pPr>
    <w:rPr>
      <w:rFonts w:asciiTheme="majorHAnsi" w:cstheme="majorBidi" w:eastAsiaTheme="majorEastAsia" w:hAnsiTheme="majorHAnsi"/>
      <w:b/>
      <w:bCs/>
      <w:color w:val="376091" w:themeColor="accent1" w:themeShade="bf"/>
      <w:szCs w:val="28"/>
    </w:rPr>
  </w:style>
  <w:style w:type="paragraph" w:styleId="Heading2">
    <w:name w:val="Heading 2"/>
    <w:basedOn w:val="Normal"/>
    <w:next w:val="Normal"/>
    <w:link w:val="Заглавие2Знак"/>
    <w:uiPriority w:val="9"/>
    <w:unhideWhenUsed w:val="on"/>
    <w:qFormat w:val="on"/>
    <w:pPr>
      <w:keepNext w:val="on"/>
      <w:keepLines w:val="on"/>
      <w:spacing w:before="20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Заглавие3Знак"/>
    <w:uiPriority w:val="9"/>
    <w:unhideWhenUsed w:val="on"/>
    <w:qFormat w:val="on"/>
    <w:pPr>
      <w:keepNext w:val="on"/>
      <w:keepLines w:val="on"/>
      <w:spacing w:before="200"/>
    </w:pPr>
    <w:rPr>
      <w:rFonts w:asciiTheme="majorHAnsi" w:cstheme="majorBidi" w:eastAsiaTheme="majorEastAsia" w:hAnsiTheme="majorHAnsi"/>
      <w:b/>
      <w:bCs/>
      <w:color w:val="4f81bd" w:themeColor="accent1"/>
    </w:rPr>
  </w:style>
  <w:style w:type="paragraph" w:styleId="Heading4">
    <w:name w:val="Heading 4"/>
    <w:basedOn w:val="Normal"/>
    <w:next w:val="Normal"/>
    <w:link w:val="Заглавие4Знак"/>
    <w:uiPriority w:val="9"/>
    <w:semiHidden w:val="on"/>
    <w:unhideWhenUsed w:val="on"/>
    <w:qFormat w:val="on"/>
    <w:pPr>
      <w:keepNext w:val="on"/>
      <w:keepLines w:val="on"/>
      <w:spacing w:before="20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Заглавие5Знак"/>
    <w:uiPriority w:val="9"/>
    <w:semiHidden w:val="on"/>
    <w:unhideWhenUsed w:val="on"/>
    <w:qFormat w:val="on"/>
    <w:pPr>
      <w:keepNext w:val="on"/>
      <w:keepLines w:val="on"/>
      <w:spacing w:before="200"/>
    </w:pPr>
    <w:rPr>
      <w:rFonts w:asciiTheme="majorHAnsi" w:cstheme="majorBidi" w:eastAsiaTheme="majorEastAsia" w:hAnsiTheme="majorHAnsi"/>
      <w:color w:val="243f60" w:themeColor="accent1" w:themeShade="7f"/>
    </w:rPr>
  </w:style>
  <w:style w:type="paragraph" w:styleId="Heading6">
    <w:name w:val="Heading 6"/>
    <w:basedOn w:val="Normal"/>
    <w:next w:val="Normal"/>
    <w:link w:val="Заглавие6Знак"/>
    <w:uiPriority w:val="9"/>
    <w:semiHidden w:val="on"/>
    <w:unhideWhenUsed w:val="on"/>
    <w:qFormat w:val="on"/>
    <w:pPr>
      <w:keepNext w:val="on"/>
      <w:keepLines w:val="on"/>
      <w:spacing w:before="20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Заглавие7Знак"/>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Заглавие8Знак"/>
    <w:uiPriority w:val="9"/>
    <w:semiHidden w:val="on"/>
    <w:unhideWhenUsed w:val="on"/>
    <w:qFormat w:val="on"/>
    <w:pPr>
      <w:keepNext w:val="on"/>
      <w:keepLines w:val="on"/>
      <w:spacing w:before="200"/>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Заглавие9Знак"/>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Header">
    <w:name w:val="Header"/>
    <w:basedOn w:val="Normal"/>
    <w:link w:val="ГоренколонтитулЗнак"/>
    <w:uiPriority w:val="99"/>
    <w:unhideWhenUsed w:val="on"/>
    <w:pPr>
      <w:tabs>
        <w:tab w:val="center" w:pos="4680"/>
        <w:tab w:val="right" w:pos="9360"/>
      </w:tabs>
    </w:pPr>
  </w:style>
  <w:style w:type="character" w:customStyle="1" w:styleId="ГоренколонтитулЗнак">
    <w:name w:val="Горен колонтитул Знак"/>
    <w:basedOn w:val="DefaultParagraphFont"/>
    <w:link w:val="Header"/>
    <w:uiPriority w:val="99"/>
  </w:style>
  <w:style w:type="paragraph" w:styleId="Footer">
    <w:name w:val="Footer"/>
    <w:basedOn w:val="Normal"/>
    <w:link w:val="ДоленколонтитулЗнак"/>
    <w:uiPriority w:val="99"/>
    <w:unhideWhenUsed w:val="on"/>
    <w:pPr>
      <w:tabs>
        <w:tab w:val="center" w:pos="4680"/>
        <w:tab w:val="right" w:pos="9360"/>
      </w:tabs>
    </w:pPr>
  </w:style>
  <w:style w:type="character" w:customStyle="1" w:styleId="ДоленколонтитулЗнак">
    <w:name w:val="Долен колонтитул Знак"/>
    <w:basedOn w:val="DefaultParagraphFont"/>
    <w:link w:val="Footer"/>
    <w:uiPriority w:val="99"/>
  </w:style>
  <w:style w:type="paragraph" w:styleId="NoSpacing">
    <w:name w:val="No Spacing"/>
    <w:uiPriority w:val="1"/>
    <w:qFormat w:val="on"/>
    <w:pPr>
      <w:spacing w:after="0" w:line="240" w:lineRule="auto"/>
    </w:pPr>
  </w:style>
  <w:style w:type="character" w:customStyle="1" w:styleId="Заглавие1Знак">
    <w:name w:val="Заглавие 1 Знак"/>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Заглавие2Знак">
    <w:name w:val="Заглавие 2 Знак"/>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Заглавие3Знак">
    <w:name w:val="Заглавие 3 Знак"/>
    <w:basedOn w:val="DefaultParagraphFont"/>
    <w:link w:val="Heading3"/>
    <w:uiPriority w:val="9"/>
    <w:rPr>
      <w:rFonts w:asciiTheme="majorHAnsi" w:cstheme="majorBidi" w:eastAsiaTheme="majorEastAsia" w:hAnsiTheme="majorHAnsi"/>
      <w:b/>
      <w:bCs/>
      <w:color w:val="4f81bd" w:themeColor="accent1"/>
    </w:rPr>
  </w:style>
  <w:style w:type="paragraph" w:styleId="Title">
    <w:name w:val="Title"/>
    <w:basedOn w:val="Normal"/>
    <w:next w:val="Normal"/>
    <w:link w:val="ЗаглавиеЗнак"/>
    <w:uiPriority w:val="10"/>
    <w:qFormat w:val="on"/>
    <w:pPr>
      <w:pBdr>
        <w:bottom w:val="single" w:color="4f81bd" w:themeColor="accent1" w:sz="8" w:space="4"/>
      </w:pBdr>
      <w:spacing w:after="300"/>
      <w:contextualSpacing w:val="on"/>
    </w:pPr>
    <w:rPr>
      <w:rFonts w:asciiTheme="majorHAnsi" w:cstheme="majorBidi" w:eastAsiaTheme="majorEastAsia" w:hAnsiTheme="majorHAnsi"/>
      <w:color w:val="17375d" w:themeColor="text2" w:themeShade="bf"/>
      <w:spacing w:val="5"/>
      <w:sz w:val="52"/>
      <w:szCs w:val="52"/>
    </w:rPr>
  </w:style>
  <w:style w:type="character" w:customStyle="1" w:styleId="ЗаглавиеЗнак">
    <w:name w:val="Заглавие Знак"/>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ПодзаглавиеЗнак"/>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ПодзаглавиеЗнак">
    <w:name w:val="Подзаглавие Знак"/>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val="on"/>
    <w:pPr>
      <w:ind w:left="720"/>
      <w:contextualSpacing w:val="on"/>
    </w:pPr>
  </w:style>
  <w:style w:type="paragraph" w:styleId="BodyText">
    <w:name w:val="Body Text"/>
    <w:basedOn w:val="Normal"/>
    <w:link w:val="ОсновентекстЗнак"/>
    <w:uiPriority w:val="99"/>
    <w:unhideWhenUsed w:val="on"/>
    <w:pPr>
      <w:spacing w:after="120"/>
    </w:pPr>
  </w:style>
  <w:style w:type="character" w:customStyle="1" w:styleId="ОсновентекстЗнак">
    <w:name w:val="Основен текст Знак"/>
    <w:basedOn w:val="DefaultParagraphFont"/>
    <w:link w:val="BodyText"/>
    <w:uiPriority w:val="99"/>
  </w:style>
  <w:style w:type="paragraph" w:styleId="BodyText2">
    <w:name w:val="Body Text 2"/>
    <w:basedOn w:val="Normal"/>
    <w:link w:val="Основентекст2Знак"/>
    <w:uiPriority w:val="99"/>
    <w:unhideWhenUsed w:val="on"/>
    <w:pPr>
      <w:spacing w:after="120" w:line="480" w:lineRule="auto"/>
    </w:pPr>
  </w:style>
  <w:style w:type="character" w:customStyle="1" w:styleId="Основентекст2Знак">
    <w:name w:val="Основен текст 2 Знак"/>
    <w:basedOn w:val="DefaultParagraphFont"/>
    <w:link w:val="BodyText2"/>
    <w:uiPriority w:val="99"/>
  </w:style>
  <w:style w:type="paragraph" w:styleId="BodyText3">
    <w:name w:val="Body Text 3"/>
    <w:basedOn w:val="Normal"/>
    <w:link w:val="Основентекст3Знак"/>
    <w:uiPriority w:val="99"/>
    <w:unhideWhenUsed w:val="on"/>
    <w:pPr>
      <w:spacing w:after="120"/>
    </w:pPr>
    <w:rPr>
      <w:sz w:val="16"/>
      <w:szCs w:val="16"/>
    </w:rPr>
  </w:style>
  <w:style w:type="character" w:customStyle="1" w:styleId="Основентекст3Знак">
    <w:name w:val="Основен текст 3 Знак"/>
    <w:basedOn w:val="DefaultParagraphFont"/>
    <w:link w:val="BodyText3"/>
    <w:uiPriority w:val="99"/>
    <w:rPr>
      <w:sz w:val="16"/>
      <w:szCs w:val="16"/>
    </w:rPr>
  </w:style>
  <w:style w:type="paragraph" w:styleId="List">
    <w:name w:val="List"/>
    <w:basedOn w:val="Normal"/>
    <w:uiPriority w:val="99"/>
    <w:unhideWhenUsed w:val="on"/>
    <w:pPr>
      <w:ind w:left="360" w:hanging="360"/>
      <w:contextualSpacing w:val="on"/>
    </w:pPr>
  </w:style>
  <w:style w:type="paragraph" w:styleId="List2">
    <w:name w:val="List 2"/>
    <w:basedOn w:val="Normal"/>
    <w:uiPriority w:val="99"/>
    <w:unhideWhenUsed w:val="on"/>
    <w:pPr>
      <w:ind w:left="720" w:hanging="360"/>
      <w:contextualSpacing w:val="on"/>
    </w:pPr>
  </w:style>
  <w:style w:type="paragraph" w:styleId="List3">
    <w:name w:val="List 3"/>
    <w:basedOn w:val="Normal"/>
    <w:uiPriority w:val="99"/>
    <w:unhideWhenUsed w:val="on"/>
    <w:pPr>
      <w:ind w:left="1080" w:hanging="360"/>
      <w:contextualSpacing w:val="on"/>
    </w:pPr>
  </w:style>
  <w:style w:type="paragraph" w:styleId="ListBullet">
    <w:name w:val="List Bullet"/>
    <w:basedOn w:val="Normal"/>
    <w:uiPriority w:val="99"/>
    <w:unhideWhenUsed w:val="on"/>
    <w:pPr>
      <w:numPr>
        <w:ilvl w:val="0"/>
        <w:numId w:val="1"/>
      </w:numPr>
      <w:contextualSpacing w:val="on"/>
    </w:pPr>
  </w:style>
  <w:style w:type="paragraph" w:styleId="ListBullet2">
    <w:name w:val="List Bullet 2"/>
    <w:basedOn w:val="Normal"/>
    <w:uiPriority w:val="99"/>
    <w:unhideWhenUsed w:val="on"/>
    <w:pPr>
      <w:numPr>
        <w:ilvl w:val="0"/>
        <w:numId w:val="2"/>
      </w:numPr>
      <w:contextualSpacing w:val="on"/>
    </w:pPr>
  </w:style>
  <w:style w:type="paragraph" w:styleId="ListBullet3">
    <w:name w:val="List Bullet 3"/>
    <w:basedOn w:val="Normal"/>
    <w:uiPriority w:val="99"/>
    <w:unhideWhenUsed w:val="on"/>
    <w:pPr>
      <w:numPr>
        <w:ilvl w:val="0"/>
        <w:numId w:val="3"/>
      </w:numPr>
      <w:contextualSpacing w:val="on"/>
    </w:pPr>
  </w:style>
  <w:style w:type="paragraph" w:styleId="ListNumber">
    <w:name w:val="List Number"/>
    <w:basedOn w:val="Normal"/>
    <w:uiPriority w:val="99"/>
    <w:unhideWhenUsed w:val="on"/>
    <w:pPr>
      <w:numPr>
        <w:ilvl w:val="0"/>
        <w:numId w:val="5"/>
      </w:numPr>
      <w:contextualSpacing w:val="on"/>
    </w:pPr>
  </w:style>
  <w:style w:type="paragraph" w:styleId="ListNumber2">
    <w:name w:val="List Number 2"/>
    <w:basedOn w:val="Normal"/>
    <w:uiPriority w:val="99"/>
    <w:unhideWhenUsed w:val="on"/>
    <w:pPr>
      <w:numPr>
        <w:ilvl w:val="0"/>
        <w:numId w:val="6"/>
      </w:numPr>
      <w:contextualSpacing w:val="on"/>
    </w:pPr>
  </w:style>
  <w:style w:type="paragraph" w:styleId="ListNumber3">
    <w:name w:val="List Number 3"/>
    <w:basedOn w:val="Normal"/>
    <w:uiPriority w:val="99"/>
    <w:unhideWhenUsed w:val="on"/>
    <w:pPr>
      <w:numPr>
        <w:ilvl w:val="0"/>
        <w:numId w:val="7"/>
      </w:numPr>
      <w:contextualSpacing w:val="on"/>
    </w:pPr>
  </w:style>
  <w:style w:type="paragraph" w:styleId="ListContinue">
    <w:name w:val="List Continue"/>
    <w:basedOn w:val="Normal"/>
    <w:uiPriority w:val="99"/>
    <w:unhideWhenUsed w:val="on"/>
    <w:pPr>
      <w:spacing w:after="120"/>
      <w:ind w:left="360"/>
      <w:contextualSpacing w:val="on"/>
    </w:pPr>
  </w:style>
  <w:style w:type="paragraph" w:styleId="ListContinue2">
    <w:name w:val="List Continue 2"/>
    <w:basedOn w:val="Normal"/>
    <w:uiPriority w:val="99"/>
    <w:unhideWhenUsed w:val="on"/>
    <w:pPr>
      <w:spacing w:after="120"/>
      <w:ind w:left="720"/>
      <w:contextualSpacing w:val="on"/>
    </w:pPr>
  </w:style>
  <w:style w:type="paragraph" w:styleId="ListContinue3">
    <w:name w:val="List Continue 3"/>
    <w:basedOn w:val="Normal"/>
    <w:uiPriority w:val="99"/>
    <w:unhideWhenUsed w:val="on"/>
    <w:pPr>
      <w:spacing w:after="120"/>
      <w:ind w:left="1080"/>
      <w:contextualSpacing w:val="on"/>
    </w:pPr>
  </w:style>
  <w:style w:type="paragraph" w:styleId="Macro">
    <w:name w:val="Macro"/>
    <w:link w:val="ТекстнамакросЗнак"/>
    <w:uiPriority w:val="99"/>
    <w:unhideWhenUsed w:val="on"/>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ТекстнамакросЗнак">
    <w:name w:val="Текст на макрос Знак"/>
    <w:basedOn w:val="DefaultParagraphFont"/>
    <w:link w:val="Macro"/>
    <w:uiPriority w:val="99"/>
    <w:rPr>
      <w:rFonts w:ascii="Courier" w:hAnsi="Courier"/>
      <w:sz w:val="20"/>
      <w:szCs w:val="20"/>
    </w:rPr>
  </w:style>
  <w:style w:type="paragraph" w:styleId="Quote">
    <w:name w:val="Quote"/>
    <w:basedOn w:val="Normal"/>
    <w:next w:val="Normal"/>
    <w:link w:val="ЦитатЗнак"/>
    <w:uiPriority w:val="29"/>
    <w:qFormat w:val="on"/>
    <w:rPr>
      <w:i/>
      <w:iCs/>
      <w:color w:val="000000" w:themeColor="text1"/>
    </w:rPr>
  </w:style>
  <w:style w:type="character" w:customStyle="1" w:styleId="ЦитатЗнак">
    <w:name w:val="Цитат Знак"/>
    <w:basedOn w:val="DefaultParagraphFont"/>
    <w:link w:val="Quote"/>
    <w:uiPriority w:val="29"/>
    <w:rPr>
      <w:i/>
      <w:iCs/>
      <w:color w:val="000000" w:themeColor="text1"/>
    </w:rPr>
  </w:style>
  <w:style w:type="character" w:customStyle="1" w:styleId="Заглавие4Знак">
    <w:name w:val="Заглавие 4 Знак"/>
    <w:basedOn w:val="DefaultParagraphFont"/>
    <w:link w:val="Heading4"/>
    <w:uiPriority w:val="9"/>
    <w:semiHidden w:val="on"/>
    <w:rPr>
      <w:rFonts w:asciiTheme="majorHAnsi" w:cstheme="majorBidi" w:eastAsiaTheme="majorEastAsia" w:hAnsiTheme="majorHAnsi"/>
      <w:b/>
      <w:bCs/>
      <w:i/>
      <w:iCs/>
      <w:color w:val="4f81bd" w:themeColor="accent1"/>
    </w:rPr>
  </w:style>
  <w:style w:type="character" w:customStyle="1" w:styleId="Заглавие5Знак">
    <w:name w:val="Заглавие 5 Знак"/>
    <w:basedOn w:val="DefaultParagraphFont"/>
    <w:link w:val="Heading5"/>
    <w:uiPriority w:val="9"/>
    <w:semiHidden w:val="on"/>
    <w:rPr>
      <w:rFonts w:asciiTheme="majorHAnsi" w:cstheme="majorBidi" w:eastAsiaTheme="majorEastAsia" w:hAnsiTheme="majorHAnsi"/>
      <w:color w:val="243f60" w:themeColor="accent1" w:themeShade="7f"/>
    </w:rPr>
  </w:style>
  <w:style w:type="character" w:customStyle="1" w:styleId="Заглавие6Знак">
    <w:name w:val="Заглавие 6 Знак"/>
    <w:basedOn w:val="DefaultParagraphFont"/>
    <w:link w:val="Heading6"/>
    <w:uiPriority w:val="9"/>
    <w:semiHidden w:val="on"/>
    <w:rPr>
      <w:rFonts w:asciiTheme="majorHAnsi" w:cstheme="majorBidi" w:eastAsiaTheme="majorEastAsia" w:hAnsiTheme="majorHAnsi"/>
      <w:i/>
      <w:iCs/>
      <w:color w:val="243f60" w:themeColor="accent1" w:themeShade="7f"/>
    </w:rPr>
  </w:style>
  <w:style w:type="character" w:customStyle="1" w:styleId="Заглавие7Знак">
    <w:name w:val="Заглавие 7 Знак"/>
    <w:basedOn w:val="DefaultParagraphFont"/>
    <w:link w:val="Heading7"/>
    <w:uiPriority w:val="9"/>
    <w:semiHidden w:val="on"/>
    <w:rPr>
      <w:rFonts w:asciiTheme="majorHAnsi" w:cstheme="majorBidi" w:eastAsiaTheme="majorEastAsia" w:hAnsiTheme="majorHAnsi"/>
      <w:i/>
      <w:iCs/>
      <w:color w:val="404040" w:themeColor="text1" w:themeTint="bf"/>
    </w:rPr>
  </w:style>
  <w:style w:type="character" w:customStyle="1" w:styleId="Заглавие8Знак">
    <w:name w:val="Заглавие 8 Знак"/>
    <w:basedOn w:val="DefaultParagraphFont"/>
    <w:link w:val="Heading8"/>
    <w:uiPriority w:val="9"/>
    <w:semiHidden w:val="on"/>
    <w:rPr>
      <w:rFonts w:asciiTheme="majorHAnsi" w:cstheme="majorBidi" w:eastAsiaTheme="majorEastAsia" w:hAnsiTheme="majorHAnsi"/>
      <w:color w:val="4f81bd" w:themeColor="accent1"/>
      <w:sz w:val="20"/>
      <w:szCs w:val="20"/>
    </w:rPr>
  </w:style>
  <w:style w:type="character" w:customStyle="1" w:styleId="Заглавие9Знак">
    <w:name w:val="Заглавие 9 Знак"/>
    <w:basedOn w:val="DefaultParagraphFont"/>
    <w:link w:val="Heading9"/>
    <w:uiPriority w:val="9"/>
    <w:semiHidden w:val="on"/>
    <w:rPr>
      <w:rFonts w:asciiTheme="majorHAnsi" w:cstheme="majorBidi" w:eastAsiaTheme="majorEastAsia" w:hAnsiTheme="majorHAnsi"/>
      <w:i/>
      <w:iCs/>
      <w:color w:val="404040" w:themeColor="text1" w:themeTint="bf"/>
      <w:sz w:val="20"/>
      <w:szCs w:val="20"/>
    </w:rPr>
  </w:style>
  <w:style w:type="paragraph" w:styleId="Caption">
    <w:name w:val="Caption"/>
    <w:basedOn w:val="Normal"/>
    <w:next w:val="Normal"/>
    <w:uiPriority w:val="35"/>
    <w:semiHidden w:val="on"/>
    <w:unhideWhenUsed w:val="on"/>
    <w:qFormat w:val="on"/>
    <w:rPr>
      <w:b/>
      <w:bCs/>
      <w:color w:val="4f81bd" w:themeColor="accent1"/>
      <w:sz w:val="18"/>
      <w:szCs w:val="18"/>
    </w:rPr>
  </w:style>
  <w:style w:type="character" w:styleId="Strong">
    <w:name w:val="Strong"/>
    <w:basedOn w:val="DefaultParagraphFont"/>
    <w:uiPriority w:val="22"/>
    <w:qFormat w:val="on"/>
    <w:rPr>
      <w:b/>
      <w:bCs/>
    </w:rPr>
  </w:style>
  <w:style w:type="character" w:styleId="Emphasis">
    <w:name w:val="Emphasis"/>
    <w:basedOn w:val="DefaultParagraphFont"/>
    <w:uiPriority w:val="20"/>
    <w:qFormat w:val="on"/>
    <w:rPr>
      <w:i/>
      <w:iCs/>
    </w:rPr>
  </w:style>
  <w:style w:type="paragraph" w:styleId="IntenseQuote">
    <w:name w:val="Intense Quote"/>
    <w:basedOn w:val="Normal"/>
    <w:next w:val="Normal"/>
    <w:link w:val="ИнтензивноцитиранеЗнак"/>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ИнтензивноцитиранеЗнак">
    <w:name w:val="Интензивно цитиране Знак"/>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TOCHeading">
    <w:name w:val="TOC Heading"/>
    <w:basedOn w:val="Heading1"/>
    <w:next w:val="Normal"/>
    <w:uiPriority w:val="39"/>
    <w:semiHidden w:val="on"/>
    <w:unhideWhenUsed w:val="on"/>
    <w:qFormat w:val="on"/>
    <w:pPr/>
  </w:style>
  <w:style w:type="table" w:styleId="TableGrid">
    <w:name w:val="Table Grid"/>
    <w:basedOn w:val="NormalTable"/>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NormalTable"/>
    <w:uiPriority w:val="60"/>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left w:val="nil" w:sz="4" w:space="0"/>
          <w:right w:val="nil" w:sz="4" w:space="0"/>
          <w:insideH w:val="nil" w:sz="4" w:space="0"/>
          <w:insideV w:val="nil" w:sz="4" w:space="0"/>
        </w:tcBorders>
        <w:shd w:val="clear" w:color="auto" w:fill="c0c0c0" w:themeFill="text1" w:themeFillTint="3f"/>
      </w:tcPr>
    </w:tblStylePr>
  </w:style>
  <w:style w:type="table" w:styleId="LightShadingAccent1">
    <w:name w:val="Light Shading Accent 1"/>
    <w:basedOn w:val="NormalTable"/>
    <w:uiPriority w:val="60"/>
    <w:pPr>
      <w:spacing w:after="0" w:line="240" w:lineRule="auto"/>
    </w:pPr>
    <w:rPr>
      <w:color w:val="3760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left w:val="nil" w:sz="4" w:space="0"/>
          <w:right w:val="nil" w:sz="4" w:space="0"/>
          <w:insideH w:val="nil" w:sz="4" w:space="0"/>
          <w:insideV w:val="nil" w:sz="4" w:space="0"/>
        </w:tcBorders>
        <w:shd w:val="clear" w:color="auto" w:fill="d3e0ef" w:themeFill="accent1" w:themeFillTint="3f"/>
      </w:tcPr>
    </w:tblStylePr>
  </w:style>
  <w:style w:type="table" w:styleId="LightShadingAccent2">
    <w:name w:val="Light Shading Accent 2"/>
    <w:basedOn w:val="NormalTable"/>
    <w:uiPriority w:val="60"/>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la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left w:val="nil" w:sz="4" w:space="0"/>
          <w:right w:val="nil" w:sz="4" w:space="0"/>
          <w:insideH w:val="nil" w:sz="4" w:space="0"/>
          <w:insideV w:val="nil" w:sz="4" w:space="0"/>
        </w:tcBorders>
        <w:shd w:val="clear" w:color="auto" w:fill="efd4d3" w:themeFill="accent2" w:themeFillTint="3f"/>
      </w:tcPr>
    </w:tblStylePr>
  </w:style>
  <w:style w:type="table" w:styleId="LightShadingAccent3">
    <w:name w:val="Light Shading Accent 3"/>
    <w:basedOn w:val="NormalTable"/>
    <w:uiPriority w:val="60"/>
    <w:pPr>
      <w:spacing w:after="0" w:line="240" w:lineRule="auto"/>
    </w:pPr>
    <w:rPr>
      <w:color w:val="75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la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left w:val="nil" w:sz="4" w:space="0"/>
          <w:right w:val="nil" w:sz="4" w:space="0"/>
          <w:insideH w:val="nil" w:sz="4" w:space="0"/>
          <w:insideV w:val="nil" w:sz="4" w:space="0"/>
        </w:tcBorders>
        <w:shd w:val="clear" w:color="auto" w:fill="e6eed6" w:themeFill="accent3" w:themeFillTint="3f"/>
      </w:tcPr>
    </w:tblStylePr>
  </w:style>
  <w:style w:type="table" w:styleId="LightShadingAccent4">
    <w:name w:val="Light Shading Accent 4"/>
    <w:basedOn w:val="NormalTable"/>
    <w:uiPriority w:val="60"/>
    <w:pPr>
      <w:spacing w:after="0" w:line="240" w:lineRule="auto"/>
    </w:pPr>
    <w:rPr>
      <w:color w:val="60497b"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la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left w:val="nil" w:sz="4" w:space="0"/>
          <w:right w:val="nil" w:sz="4" w:space="0"/>
          <w:insideH w:val="nil" w:sz="4" w:space="0"/>
          <w:insideV w:val="nil" w:sz="4" w:space="0"/>
        </w:tcBorders>
        <w:shd w:val="clear" w:color="auto" w:fill="dfd8e8" w:themeFill="accent4" w:themeFillTint="3f"/>
      </w:tcPr>
    </w:tblStyle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left w:val="nil" w:sz="4" w:space="0"/>
          <w:right w:val="nil" w:sz="4" w:space="0"/>
          <w:insideH w:val="nil" w:sz="4" w:space="0"/>
          <w:insideV w:val="nil" w:sz="4" w:space="0"/>
        </w:tcBorders>
        <w:shd w:val="clear" w:color="auto" w:fill="d1eaf1" w:themeFill="accent5" w:themeFillTint="3f"/>
      </w:tcPr>
    </w:tblStylePr>
  </w:style>
  <w:style w:type="table" w:styleId="LightShadingAccent6">
    <w:name w:val="Light Shading Accent 6"/>
    <w:basedOn w:val="NormalTable"/>
    <w:uiPriority w:val="60"/>
    <w:pPr>
      <w:spacing w:after="0" w:line="240" w:lineRule="auto"/>
    </w:pPr>
    <w:rPr>
      <w:color w:val="e2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la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left w:val="nil" w:sz="4" w:space="0"/>
          <w:right w:val="nil" w:sz="4" w:space="0"/>
          <w:insideH w:val="nil" w:sz="4" w:space="0"/>
          <w:insideV w:val="nil" w:sz="4" w:space="0"/>
        </w:tcBorders>
        <w:shd w:val="clear" w:color="auto" w:fill="fde5d1" w:themeFill="accent6" w:themeFillTint="3f"/>
      </w:tcPr>
    </w:tblStylePr>
  </w:style>
  <w:style w:type="table" w:styleId="LightList">
    <w:name w:val="Light List"/>
    <w:basedOn w:val="NormalTable"/>
    <w:uiPriority w:val="61"/>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
    <w:uiPriority w:val="61"/>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
    <w:uiPriority w:val="61"/>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
    <w:uiPriority w:val="61"/>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
    <w:uiPriority w:val="61"/>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
    <w:uiPriority w:val="61"/>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
    <w:uiPriority w:val="61"/>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
    <w:uiPriority w:val="62"/>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sz="4" w:space="0"/>
          <w:insideV w:val="single" w:color="000000" w:themeColor="tex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sz="4" w:space="0"/>
          <w:insideV w:val="single" w:color="000000" w:themeColor="tex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
    <w:uiPriority w:val="6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sz="4" w:space="0"/>
          <w:insideV w:val="single" w:color="4f81bd" w:themeColor="accen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sz="4" w:space="0"/>
          <w:insideV w:val="single" w:color="4f81bd" w:themeColor="accen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e0ef"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e0ef"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
    <w:uiPriority w:val="62"/>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sz="4" w:space="0"/>
          <w:insideV w:val="single" w:color="c0504d" w:themeColor="accent2"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sz="4" w:space="0"/>
          <w:insideV w:val="single" w:color="c0504d" w:themeColor="accent2"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4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4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
    <w:uiPriority w:val="62"/>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sz="4" w:space="0"/>
          <w:insideV w:val="single" w:color="9bbb59" w:themeColor="accent3"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sz="4" w:space="0"/>
          <w:insideV w:val="single" w:color="9bbb59" w:themeColor="accent3"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6"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6"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
    <w:uiPriority w:val="62"/>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sz="4" w:space="0"/>
          <w:insideV w:val="single" w:color="8064a2" w:themeColor="accent4"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sz="4" w:space="0"/>
          <w:insideV w:val="single" w:color="8064a2" w:themeColor="accent4"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
    <w:uiPriority w:val="62"/>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sz="4" w:space="0"/>
          <w:insideV w:val="single" w:color="4bacc6" w:themeColor="accent5"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sz="4" w:space="0"/>
          <w:insideV w:val="single" w:color="4bacc6" w:themeColor="accent5"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1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1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
    <w:uiPriority w:val="62"/>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sz="4" w:space="0"/>
          <w:insideV w:val="single" w:color="f79646" w:themeColor="accent6"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sz="4" w:space="0"/>
          <w:insideV w:val="single" w:color="f79646" w:themeColor="accent6"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
    <w:uiPriority w:val="63"/>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sz="4" w:space="0"/>
          <w:insideV w:val="nil" w:sz="4" w:space="0"/>
        </w:tcBorders>
        <w:shd w:val="clear" w:color="auto" w:fill="c0c0c0" w:themeFill="text1" w:themeFillTint="3f"/>
      </w:tcPr>
    </w:tblStylePr>
    <w:tblStylePr w:type="band2Horz">
      <w:tblPr/>
      <w:tcPr>
        <w:tcBorders>
          <w:insideH w:val="nil" w:sz="4" w:space="0"/>
          <w:insideV w:val="nil" w:sz="4" w:space="0"/>
        </w:tcBorders>
      </w:tcPr>
    </w:tblStylePr>
  </w:style>
  <w:style w:type="table" w:styleId="MediumShading1Accent1">
    <w:name w:val="Medium Shading 1 Accent 1"/>
    <w:basedOn w:val="NormalTable"/>
    <w:uiPriority w:val="63"/>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sz="4" w:space="0"/>
          <w:insideV w:val="nil" w:sz="4" w:space="0"/>
        </w:tcBorders>
        <w:shd w:val="clear" w:color="auto" w:fill="d3e0ef" w:themeFill="accent1" w:themeFillTint="3f"/>
      </w:tcPr>
    </w:tblStylePr>
    <w:tblStylePr w:type="band2Horz">
      <w:tblPr/>
      <w:tcPr>
        <w:tcBorders>
          <w:insideH w:val="nil" w:sz="4" w:space="0"/>
          <w:insideV w:val="nil" w:sz="4" w:space="0"/>
        </w:tcBorders>
      </w:tcPr>
    </w:tblStylePr>
  </w:style>
  <w:style w:type="table" w:styleId="MediumShading1Accent2">
    <w:name w:val="Medium Shading 1 Accent 2"/>
    <w:basedOn w:val="NormalTable"/>
    <w:uiPriority w:val="63"/>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tblBorders>
    </w:tblPr>
    <w:tblStylePr w:type="firstRow">
      <w:pPr>
        <w:spacing w:before="0" w:after="0" w:line="240" w:lineRule="auto"/>
      </w:pPr>
      <w:rPr>
        <w:b/>
        <w:bCs/>
        <w:color w:val="ffffff" w:themeColor="background1"/>
      </w:rPr>
      <w:tblPr/>
      <w:tcPr>
        <w:tc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shd w:val="clear" w:color="auto" w:fill="c0504d" w:themeFill="accent2"/>
      </w:tcPr>
    </w:tblStylePr>
    <w:tblStylePr w:type="lastRow">
      <w:pPr>
        <w:spacing w:before="0" w:after="0" w:line="240" w:lineRule="auto"/>
      </w:pPr>
      <w:rPr>
        <w:b/>
        <w:bCs/>
      </w:rPr>
      <w:tblPr/>
      <w:tcPr>
        <w:tcBorders>
          <w:top w:val="double" w:color="d07a78" w:themeColor="accent2" w:themeTint="bf" w:sz="6"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fd4d3" w:themeFill="accent2" w:themeFillTint="3f"/>
      </w:tcPr>
    </w:tblStylePr>
    <w:tblStylePr w:type="band1Horz">
      <w:tblPr/>
      <w:tcPr>
        <w:tcBorders>
          <w:insideH w:val="nil" w:sz="4" w:space="0"/>
          <w:insideV w:val="nil" w:sz="4" w:space="0"/>
        </w:tcBorders>
        <w:shd w:val="clear" w:color="auto" w:fill="efd4d3" w:themeFill="accent2" w:themeFillTint="3f"/>
      </w:tcPr>
    </w:tblStylePr>
    <w:tblStylePr w:type="band2Horz">
      <w:tblPr/>
      <w:tcPr>
        <w:tcBorders>
          <w:insideH w:val="nil" w:sz="4" w:space="0"/>
          <w:insideV w:val="nil" w:sz="4" w:space="0"/>
        </w:tcBorders>
      </w:tcPr>
    </w:tblStylePr>
  </w:style>
  <w:style w:type="table" w:styleId="MediumShading1Accent3">
    <w:name w:val="Medium Shading 1 Accent 3"/>
    <w:basedOn w:val="NormalTable"/>
    <w:uiPriority w:val="63"/>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6eed6" w:themeFill="accent3" w:themeFillTint="3f"/>
      </w:tcPr>
    </w:tblStylePr>
    <w:tblStylePr w:type="band1Horz">
      <w:tblPr/>
      <w:tcPr>
        <w:tcBorders>
          <w:insideH w:val="nil" w:sz="4" w:space="0"/>
          <w:insideV w:val="nil" w:sz="4" w:space="0"/>
        </w:tcBorders>
        <w:shd w:val="clear" w:color="auto" w:fill="e6eed6" w:themeFill="accent3" w:themeFillTint="3f"/>
      </w:tcPr>
    </w:tblStylePr>
    <w:tblStylePr w:type="band2Horz">
      <w:tblPr/>
      <w:tcPr>
        <w:tcBorders>
          <w:insideH w:val="nil" w:sz="4" w:space="0"/>
          <w:insideV w:val="nil" w:sz="4" w:space="0"/>
        </w:tcBorders>
      </w:tcPr>
    </w:tblStylePr>
  </w:style>
  <w:style w:type="table" w:styleId="MediumShading1Accent4">
    <w:name w:val="Medium Shading 1 Accent 4"/>
    <w:basedOn w:val="NormalTable"/>
    <w:uiPriority w:val="63"/>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tblBorders>
    </w:tblPr>
    <w:tblStylePr w:type="firstRow">
      <w:pPr>
        <w:spacing w:before="0" w:after="0" w:line="240" w:lineRule="auto"/>
      </w:pPr>
      <w:rPr>
        <w:b/>
        <w:bCs/>
        <w:color w:val="ffffff" w:themeColor="background1"/>
      </w:rPr>
      <w:tblPr/>
      <w:tcPr>
        <w:tc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shd w:val="clear" w:color="auto" w:fill="8064a2" w:themeFill="accent4"/>
      </w:tcPr>
    </w:tblStylePr>
    <w:tblStylePr w:type="lastRow">
      <w:pPr>
        <w:spacing w:before="0" w:after="0" w:line="240" w:lineRule="auto"/>
      </w:pPr>
      <w:rPr>
        <w:b/>
        <w:bCs/>
      </w:rPr>
      <w:tblPr/>
      <w:tcPr>
        <w:tcBorders>
          <w:top w:val="double" w:color="a08bb9" w:themeColor="accent4" w:themeTint="bf" w:sz="6"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sz="4" w:space="0"/>
          <w:insideV w:val="nil" w:sz="4" w:space="0"/>
        </w:tcBorders>
        <w:shd w:val="clear" w:color="auto" w:fill="dfd8e8" w:themeFill="accent4" w:themeFillTint="3f"/>
      </w:tcPr>
    </w:tblStylePr>
    <w:tblStylePr w:type="band2Horz">
      <w:tblPr/>
      <w:tcPr>
        <w:tcBorders>
          <w:insideH w:val="nil" w:sz="4" w:space="0"/>
          <w:insideV w:val="nil" w:sz="4" w:space="0"/>
        </w:tcBorders>
      </w:tcPr>
    </w:tblStylePr>
  </w:style>
  <w:style w:type="table" w:styleId="MediumShading1Accent5">
    <w:name w:val="Medium Shading 1 Accent 5"/>
    <w:basedOn w:val="NormalTable"/>
    <w:uiPriority w:val="63"/>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tblBorders>
    </w:tblPr>
    <w:tblStylePr w:type="firstRow">
      <w:pPr>
        <w:spacing w:before="0" w:after="0" w:line="240" w:lineRule="auto"/>
      </w:pPr>
      <w:rPr>
        <w:b/>
        <w:bCs/>
        <w:color w:val="ffffff" w:themeColor="background1"/>
      </w:rPr>
      <w:tblPr/>
      <w:tcPr>
        <w:tc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shd w:val="clear" w:color="auto" w:fill="4bacc6" w:themeFill="accent5"/>
      </w:tcPr>
    </w:tblStylePr>
    <w:tblStylePr w:type="lastRow">
      <w:pPr>
        <w:spacing w:before="0" w:after="0" w:line="240" w:lineRule="auto"/>
      </w:pPr>
      <w:rPr>
        <w:b/>
        <w:bCs/>
      </w:rPr>
      <w:tblPr/>
      <w:tcPr>
        <w:tcBorders>
          <w:top w:val="double" w:color="76c0d4" w:themeColor="accent5" w:themeTint="bf" w:sz="6"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1eaf1" w:themeFill="accent5" w:themeFillTint="3f"/>
      </w:tcPr>
    </w:tblStylePr>
    <w:tblStylePr w:type="band1Horz">
      <w:tblPr/>
      <w:tcPr>
        <w:tcBorders>
          <w:insideH w:val="nil" w:sz="4" w:space="0"/>
          <w:insideV w:val="nil" w:sz="4" w:space="0"/>
        </w:tcBorders>
        <w:shd w:val="clear" w:color="auto" w:fill="d1eaf1" w:themeFill="accent5" w:themeFillTint="3f"/>
      </w:tcPr>
    </w:tblStylePr>
    <w:tblStylePr w:type="band2Horz">
      <w:tblPr/>
      <w:tcPr>
        <w:tcBorders>
          <w:insideH w:val="nil" w:sz="4" w:space="0"/>
          <w:insideV w:val="nil" w:sz="4" w:space="0"/>
        </w:tcBorders>
      </w:tcPr>
    </w:tblStylePr>
  </w:style>
  <w:style w:type="table" w:styleId="MediumShading1Accent6">
    <w:name w:val="Medium Shading 1 Accent 6"/>
    <w:basedOn w:val="NormalTable"/>
    <w:uiPriority w:val="63"/>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tblBorders>
    </w:tblPr>
    <w:tblStylePr w:type="firstRow">
      <w:pPr>
        <w:spacing w:before="0" w:after="0" w:line="240" w:lineRule="auto"/>
      </w:pPr>
      <w:rPr>
        <w:b/>
        <w:bCs/>
        <w:color w:val="ffffff" w:themeColor="background1"/>
      </w:rPr>
      <w:tblPr/>
      <w:tcPr>
        <w:tc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shd w:val="clear" w:color="auto" w:fill="f79646" w:themeFill="accent6"/>
      </w:tcPr>
    </w:tblStylePr>
    <w:tblStylePr w:type="lastRow">
      <w:pPr>
        <w:spacing w:before="0" w:after="0" w:line="240" w:lineRule="auto"/>
      </w:pPr>
      <w:rPr>
        <w:b/>
        <w:bCs/>
      </w:rPr>
      <w:tblPr/>
      <w:tcPr>
        <w:tcBorders>
          <w:top w:val="double" w:color="f9b073" w:themeColor="accent6" w:themeTint="bf" w:sz="6"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sz="4" w:space="0"/>
          <w:insideV w:val="nil" w:sz="4" w:space="0"/>
        </w:tcBorders>
        <w:shd w:val="clear" w:color="auto" w:fill="fde5d1" w:themeFill="accent6" w:themeFillTint="3f"/>
      </w:tcPr>
    </w:tblStylePr>
    <w:tblStylePr w:type="band2Horz">
      <w:tblPr/>
      <w:tcPr>
        <w:tcBorders>
          <w:insideH w:val="nil" w:sz="4" w:space="0"/>
          <w:insideV w:val="nil" w:sz="4" w:space="0"/>
        </w:tcBorders>
      </w:tcPr>
    </w:tblStylePr>
  </w:style>
  <w:style w:type="table" w:styleId="MediumShading2">
    <w:name w:val="Medium Shading 2"/>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000000" w:themeFill="tex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000000" w:themeFill="tex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000000" w:themeFill="tex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1">
    <w:name w:val="Medium Shading 2 Accent 1"/>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f81bd" w:themeFill="accen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f81bd" w:themeFill="accen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f81bd" w:themeFill="accen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2">
    <w:name w:val="Medium Shading 2 Accent 2"/>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c0504d" w:themeFill="accent2"/>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c0504d" w:themeFill="accent2"/>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c0504d" w:themeFill="accent2"/>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3">
    <w:name w:val="Medium Shading 2 Accent 3"/>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9bbb59" w:themeFill="accent3"/>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9bbb59" w:themeFill="accent3"/>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9bbb59" w:themeFill="accent3"/>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4">
    <w:name w:val="Medium Shading 2 Accent 4"/>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8064a2" w:themeFill="accent4"/>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8064a2" w:themeFill="accent4"/>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8064a2" w:themeFill="accent4"/>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5">
    <w:name w:val="Medium Shading 2 Accent 5"/>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bacc6" w:themeFill="accent5"/>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bacc6" w:themeFill="accent5"/>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bacc6" w:themeFill="accent5"/>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6">
    <w:name w:val="Medium Shading 2 Accent 6"/>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f79646" w:themeFill="accent6"/>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f79646" w:themeFill="accent6"/>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f79646" w:themeFill="accent6"/>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List1">
    <w:name w:val="Medium List 1"/>
    <w:basedOn w:val="NormalTable"/>
    <w:uiPriority w:val="65"/>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cstheme="majorBidi" w:eastAsiaTheme="majorEastAsia" w:hAnsiTheme="majorHAnsi"/>
      </w:rPr>
      <w:tblPr/>
      <w:tcPr>
        <w:tcBorders>
          <w:top w:val="nil" w:sz="4" w:space="0"/>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
    <w:uiPriority w:val="65"/>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cstheme="majorBidi" w:eastAsiaTheme="majorEastAsia" w:hAnsiTheme="majorHAnsi"/>
      </w:rPr>
      <w:tblPr/>
      <w:tcPr>
        <w:tcBorders>
          <w:top w:val="nil" w:sz="4" w:space="0"/>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e0ef" w:themeFill="accent1" w:themeFillTint="3f"/>
      </w:tcPr>
    </w:tblStylePr>
    <w:tblStylePr w:type="band1Horz">
      <w:tblPr/>
      <w:tcPr>
        <w:shd w:val="clear" w:color="auto" w:fill="d3e0ef" w:themeFill="accent1" w:themeFillTint="3f"/>
      </w:tcPr>
    </w:tblStylePr>
  </w:style>
  <w:style w:type="table" w:styleId="MediumList1Accent2">
    <w:name w:val="Medium List 1 Accent 2"/>
    <w:basedOn w:val="NormalTable"/>
    <w:uiPriority w:val="65"/>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cstheme="majorBidi" w:eastAsiaTheme="majorEastAsia" w:hAnsiTheme="majorHAnsi"/>
      </w:rPr>
      <w:tblPr/>
      <w:tcPr>
        <w:tcBorders>
          <w:top w:val="nil" w:sz="4" w:space="0"/>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4d3" w:themeFill="accent2" w:themeFillTint="3f"/>
      </w:tcPr>
    </w:tblStylePr>
    <w:tblStylePr w:type="band1Horz">
      <w:tblPr/>
      <w:tcPr>
        <w:shd w:val="clear" w:color="auto" w:fill="efd4d3" w:themeFill="accent2" w:themeFillTint="3f"/>
      </w:tcPr>
    </w:tblStylePr>
  </w:style>
  <w:style w:type="table" w:styleId="MediumList1Accent3">
    <w:name w:val="Medium List 1 Accent 3"/>
    <w:basedOn w:val="NormalTable"/>
    <w:uiPriority w:val="65"/>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cstheme="majorBidi" w:eastAsiaTheme="majorEastAsia" w:hAnsiTheme="majorHAnsi"/>
      </w:rPr>
      <w:tblPr/>
      <w:tcPr>
        <w:tcBorders>
          <w:top w:val="nil" w:sz="4" w:space="0"/>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6" w:themeFill="accent3" w:themeFillTint="3f"/>
      </w:tcPr>
    </w:tblStylePr>
    <w:tblStylePr w:type="band1Horz">
      <w:tblPr/>
      <w:tcPr>
        <w:shd w:val="clear" w:color="auto" w:fill="e6eed6" w:themeFill="accent3" w:themeFillTint="3f"/>
      </w:tcPr>
    </w:tblStylePr>
  </w:style>
  <w:style w:type="table" w:styleId="MediumList1Accent4">
    <w:name w:val="Medium List 1 Accent 4"/>
    <w:basedOn w:val="NormalTable"/>
    <w:uiPriority w:val="65"/>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cstheme="majorBidi" w:eastAsiaTheme="majorEastAsia" w:hAnsiTheme="majorHAnsi"/>
      </w:rPr>
      <w:tblPr/>
      <w:tcPr>
        <w:tcBorders>
          <w:top w:val="nil" w:sz="4" w:space="0"/>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
    <w:uiPriority w:val="65"/>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cstheme="majorBidi" w:eastAsiaTheme="majorEastAsia" w:hAnsiTheme="majorHAnsi"/>
      </w:rPr>
      <w:tblPr/>
      <w:tcPr>
        <w:tcBorders>
          <w:top w:val="nil" w:sz="4" w:space="0"/>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1eaf1" w:themeFill="accent5" w:themeFillTint="3f"/>
      </w:tcPr>
    </w:tblStylePr>
    <w:tblStylePr w:type="band1Horz">
      <w:tblPr/>
      <w:tcPr>
        <w:shd w:val="clear" w:color="auto" w:fill="d1eaf1" w:themeFill="accent5" w:themeFillTint="3f"/>
      </w:tcPr>
    </w:tblStylePr>
  </w:style>
  <w:style w:type="table" w:styleId="MediumList1Accent6">
    <w:name w:val="Medium List 1 Accent 6"/>
    <w:basedOn w:val="NormalTable"/>
    <w:uiPriority w:val="65"/>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cstheme="majorBidi" w:eastAsiaTheme="majorEastAsia" w:hAnsiTheme="majorHAnsi"/>
      </w:rPr>
      <w:tblPr/>
      <w:tcPr>
        <w:tcBorders>
          <w:top w:val="nil" w:sz="4" w:space="0"/>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sz="4" w:space="0"/>
          <w:left w:val="nil" w:sz="4" w:space="0"/>
          <w:bottom w:val="single" w:color="000000" w:themeColor="text1" w:sz="24" w:space="0"/>
          <w:right w:val="nil" w:sz="4" w:space="0"/>
          <w:insideH w:val="nil" w:sz="4" w:space="0"/>
          <w:insideV w:val="nil" w:sz="4" w:space="0"/>
        </w:tcBorders>
        <w:shd w:val="clear" w:color="auto" w:fill="ffffff" w:themeFill="background1"/>
      </w:tcPr>
    </w:tblStylePr>
    <w:tblStylePr w:type="lastRow">
      <w:tblPr/>
      <w:tcPr>
        <w:tcBorders>
          <w:top w:val="single" w:color="000000" w:themeColor="tex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000000" w:themeColor="text1" w:sz="8" w:space="0"/>
          <w:insideH w:val="nil" w:sz="4" w:space="0"/>
          <w:insideV w:val="nil" w:sz="4" w:space="0"/>
        </w:tcBorders>
        <w:shd w:val="clear" w:color="auto" w:fill="ffffff" w:themeFill="background1"/>
      </w:tcPr>
    </w:tblStylePr>
    <w:tblStylePr w:type="lastCol">
      <w:tblPr/>
      <w:tcPr>
        <w:tcBorders>
          <w:top w:val="nil" w:sz="4" w:space="0"/>
          <w:left w:val="single" w:color="000000" w:themeColor="tex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top w:val="nil" w:sz="4" w:space="0"/>
          <w:bottom w:val="nil" w:sz="4" w:space="0"/>
          <w:insideH w:val="nil" w:sz="4" w:space="0"/>
          <w:insideV w:val="nil" w:sz="4" w:space="0"/>
        </w:tcBorders>
        <w:shd w:val="clear" w:color="auto" w:fill="c0c0c0" w:themeFill="tex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1">
    <w:name w:val="Medium List 2 Accent 1"/>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sz="4" w:space="0"/>
          <w:left w:val="nil" w:sz="4" w:space="0"/>
          <w:bottom w:val="single" w:color="4f81bd" w:themeColor="accent1" w:sz="24" w:space="0"/>
          <w:right w:val="nil" w:sz="4" w:space="0"/>
          <w:insideH w:val="nil" w:sz="4" w:space="0"/>
          <w:insideV w:val="nil" w:sz="4" w:space="0"/>
        </w:tcBorders>
        <w:shd w:val="clear" w:color="auto" w:fill="ffffff" w:themeFill="background1"/>
      </w:tcPr>
    </w:tblStylePr>
    <w:tblStylePr w:type="lastRow">
      <w:tblPr/>
      <w:tcPr>
        <w:tcBorders>
          <w:top w:val="single" w:color="4f81bd" w:themeColor="accen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f81bd" w:themeColor="accent1" w:sz="8" w:space="0"/>
          <w:insideH w:val="nil" w:sz="4" w:space="0"/>
          <w:insideV w:val="nil" w:sz="4" w:space="0"/>
        </w:tcBorders>
        <w:shd w:val="clear" w:color="auto" w:fill="ffffff" w:themeFill="background1"/>
      </w:tcPr>
    </w:tblStylePr>
    <w:tblStylePr w:type="lastCol">
      <w:tblPr/>
      <w:tcPr>
        <w:tcBorders>
          <w:top w:val="nil" w:sz="4" w:space="0"/>
          <w:left w:val="single" w:color="4f81bd" w:themeColor="accen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top w:val="nil" w:sz="4" w:space="0"/>
          <w:bottom w:val="nil" w:sz="4" w:space="0"/>
          <w:insideH w:val="nil" w:sz="4" w:space="0"/>
          <w:insideV w:val="nil" w:sz="4" w:space="0"/>
        </w:tcBorders>
        <w:shd w:val="clear" w:color="auto" w:fill="d3e0ef" w:themeFill="accen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2">
    <w:name w:val="Medium List 2 Accen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tblPr/>
      <w:tcPr>
        <w:tcBorders>
          <w:top w:val="single" w:color="c0504d" w:themeColor="accent2"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c0504d" w:themeColor="accent2" w:sz="8" w:space="0"/>
          <w:insideH w:val="nil" w:sz="4" w:space="0"/>
          <w:insideV w:val="nil" w:sz="4" w:space="0"/>
        </w:tcBorders>
        <w:shd w:val="clear" w:color="auto" w:fill="ffffff" w:themeFill="background1"/>
      </w:tcPr>
    </w:tblStylePr>
    <w:tblStylePr w:type="lastCol">
      <w:tblPr/>
      <w:tcPr>
        <w:tcBorders>
          <w:top w:val="nil" w:sz="4" w:space="0"/>
          <w:left w:val="single" w:color="c0504d" w:themeColor="accent2"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top w:val="nil" w:sz="4" w:space="0"/>
          <w:bottom w:val="nil" w:sz="4" w:space="0"/>
          <w:insideH w:val="nil" w:sz="4" w:space="0"/>
          <w:insideV w:val="nil" w:sz="4" w:space="0"/>
        </w:tcBorders>
        <w:shd w:val="clear" w:color="auto" w:fill="efd4d3" w:themeFill="accent2"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3">
    <w:name w:val="Medium List 2 Accent 3"/>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tblPr/>
      <w:tcPr>
        <w:tcBorders>
          <w:top w:val="single" w:color="9bbb59" w:themeColor="accent3"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9bbb59" w:themeColor="accent3" w:sz="8" w:space="0"/>
          <w:insideH w:val="nil" w:sz="4" w:space="0"/>
          <w:insideV w:val="nil" w:sz="4" w:space="0"/>
        </w:tcBorders>
        <w:shd w:val="clear" w:color="auto" w:fill="ffffff" w:themeFill="background1"/>
      </w:tcPr>
    </w:tblStylePr>
    <w:tblStylePr w:type="lastCol">
      <w:tblPr/>
      <w:tcPr>
        <w:tcBorders>
          <w:top w:val="nil" w:sz="4" w:space="0"/>
          <w:left w:val="single" w:color="9bbb59" w:themeColor="accent3"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top w:val="nil" w:sz="4" w:space="0"/>
          <w:bottom w:val="nil" w:sz="4" w:space="0"/>
          <w:insideH w:val="nil" w:sz="4" w:space="0"/>
          <w:insideV w:val="nil" w:sz="4" w:space="0"/>
        </w:tcBorders>
        <w:shd w:val="clear" w:color="auto" w:fill="e6eed6" w:themeFill="accent3"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4">
    <w:name w:val="Medium List 2 Accent 4"/>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tblPr/>
      <w:tcPr>
        <w:tcBorders>
          <w:top w:val="single" w:color="8064a2" w:themeColor="accent4"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8064a2" w:themeColor="accent4" w:sz="8" w:space="0"/>
          <w:insideH w:val="nil" w:sz="4" w:space="0"/>
          <w:insideV w:val="nil" w:sz="4" w:space="0"/>
        </w:tcBorders>
        <w:shd w:val="clear" w:color="auto" w:fill="ffffff" w:themeFill="background1"/>
      </w:tcPr>
    </w:tblStylePr>
    <w:tblStylePr w:type="lastCol">
      <w:tblPr/>
      <w:tcPr>
        <w:tcBorders>
          <w:top w:val="nil" w:sz="4" w:space="0"/>
          <w:left w:val="single" w:color="8064a2" w:themeColor="accent4"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top w:val="nil" w:sz="4" w:space="0"/>
          <w:bottom w:val="nil" w:sz="4" w:space="0"/>
          <w:insideH w:val="nil" w:sz="4" w:space="0"/>
          <w:insideV w:val="nil" w:sz="4" w:space="0"/>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5">
    <w:name w:val="Medium List 2 Accent 5"/>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tblPr/>
      <w:tcPr>
        <w:tcBorders>
          <w:top w:val="single" w:color="4bacc6" w:themeColor="accent5"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bacc6" w:themeColor="accent5" w:sz="8" w:space="0"/>
          <w:insideH w:val="nil" w:sz="4" w:space="0"/>
          <w:insideV w:val="nil" w:sz="4" w:space="0"/>
        </w:tcBorders>
        <w:shd w:val="clear" w:color="auto" w:fill="ffffff" w:themeFill="background1"/>
      </w:tcPr>
    </w:tblStylePr>
    <w:tblStylePr w:type="lastCol">
      <w:tblPr/>
      <w:tcPr>
        <w:tcBorders>
          <w:top w:val="nil" w:sz="4" w:space="0"/>
          <w:left w:val="single" w:color="4bacc6" w:themeColor="accent5"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top w:val="nil" w:sz="4" w:space="0"/>
          <w:bottom w:val="nil" w:sz="4" w:space="0"/>
          <w:insideH w:val="nil" w:sz="4" w:space="0"/>
          <w:insideV w:val="nil" w:sz="4" w:space="0"/>
        </w:tcBorders>
        <w:shd w:val="clear" w:color="auto" w:fill="d1eaf1" w:themeFill="accent5"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6">
    <w:name w:val="Medium List 2 Accent 6"/>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tblPr/>
      <w:tcPr>
        <w:tcBorders>
          <w:top w:val="single" w:color="f79646" w:themeColor="accent6"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f79646" w:themeColor="accent6" w:sz="8" w:space="0"/>
          <w:insideH w:val="nil" w:sz="4" w:space="0"/>
          <w:insideV w:val="nil" w:sz="4" w:space="0"/>
        </w:tcBorders>
        <w:shd w:val="clear" w:color="auto" w:fill="ffffff" w:themeFill="background1"/>
      </w:tcPr>
    </w:tblStylePr>
    <w:tblStylePr w:type="lastCol">
      <w:tblPr/>
      <w:tcPr>
        <w:tcBorders>
          <w:top w:val="nil" w:sz="4" w:space="0"/>
          <w:left w:val="single" w:color="f79646" w:themeColor="accent6"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top w:val="nil" w:sz="4" w:space="0"/>
          <w:bottom w:val="nil" w:sz="4" w:space="0"/>
          <w:insideH w:val="nil" w:sz="4" w:space="0"/>
          <w:insideV w:val="nil" w:sz="4" w:space="0"/>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Grid1">
    <w:name w:val="Medium Grid 1"/>
    <w:basedOn w:val="NormalTable"/>
    <w:uiPriority w:val="6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
    <w:uiPriority w:val="67"/>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e0ef"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MediumGrid1Accent2">
    <w:name w:val="Medium Grid 1 Accent 2"/>
    <w:basedOn w:val="NormalTable"/>
    <w:uiPriority w:val="67"/>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insideV w:val="single" w:color="d07a78" w:themeColor="accent2" w:themeTint="bf" w:sz="8" w:space="0"/>
      </w:tblBorders>
    </w:tblPr>
    <w:tcPr>
      <w:shd w:val="clear" w:color="auto" w:fill="efd4d3" w:themeFill="accent2" w:themeFillTint="3f"/>
    </w:tcPr>
    <w:tblStylePr w:type="firstRow">
      <w:rPr>
        <w:b/>
        <w:bCs/>
      </w:rPr>
    </w:tblStylePr>
    <w:tblStylePr w:type="lastRow">
      <w:rPr>
        <w:b/>
        <w:bCs/>
      </w:rPr>
      <w:tblPr/>
      <w:tcPr>
        <w:tcBorders>
          <w:top w:val="single" w:color="d07a78" w:themeColor="accent2" w:themeTint="bf" w:sz="18" w:space="0"/>
        </w:tcBorders>
      </w:tcPr>
    </w:tblStylePr>
    <w:tblStylePr w:type="firstCol">
      <w:rPr>
        <w:b/>
        <w:bCs/>
      </w:rPr>
    </w:tblStylePr>
    <w:tblStylePr w:type="lastCol">
      <w:rPr>
        <w:b/>
        <w:bCs/>
      </w:r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MediumGrid1Accent3">
    <w:name w:val="Medium Grid 1 Accent 3"/>
    <w:basedOn w:val="NormalTable"/>
    <w:uiPriority w:val="67"/>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6"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MediumGrid1Accent4">
    <w:name w:val="Medium Grid 1 Accent 4"/>
    <w:basedOn w:val="NormalTable"/>
    <w:uiPriority w:val="67"/>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insideV w:val="single" w:color="a08b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a08bb9" w:themeColor="accent4" w:themeTint="bf" w:sz="18" w:space="0"/>
        </w:tcBorders>
      </w:tcPr>
    </w:tblStylePr>
    <w:tblStylePr w:type="firstCol">
      <w:rPr>
        <w:b/>
        <w:bCs/>
      </w:rPr>
    </w:tblStylePr>
    <w:tblStylePr w:type="lastCol">
      <w:rPr>
        <w:b/>
        <w:bCs/>
      </w:r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MediumGrid1Accent5">
    <w:name w:val="Medium Grid 1 Accent 5"/>
    <w:basedOn w:val="NormalTable"/>
    <w:uiPriority w:val="67"/>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insideV w:val="single" w:color="76c0d4" w:themeColor="accent5" w:themeTint="bf" w:sz="8" w:space="0"/>
      </w:tblBorders>
    </w:tblPr>
    <w:tcPr>
      <w:shd w:val="clear" w:color="auto" w:fill="d1eaf1" w:themeFill="accent5" w:themeFillTint="3f"/>
    </w:tcPr>
    <w:tblStylePr w:type="firstRow">
      <w:rPr>
        <w:b/>
        <w:bCs/>
      </w:rPr>
    </w:tblStylePr>
    <w:tblStylePr w:type="lastRow">
      <w:rPr>
        <w:b/>
        <w:bCs/>
      </w:rPr>
      <w:tblPr/>
      <w:tcPr>
        <w:tcBorders>
          <w:top w:val="single" w:color="76c0d4" w:themeColor="accent5" w:themeTint="bf" w:sz="18" w:space="0"/>
        </w:tcBorders>
      </w:tcPr>
    </w:tblStylePr>
    <w:tblStylePr w:type="firstCol">
      <w:rPr>
        <w:b/>
        <w:bCs/>
      </w:rPr>
    </w:tblStylePr>
    <w:tblStylePr w:type="lastCol">
      <w:rPr>
        <w:b/>
        <w:bCs/>
      </w:r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MediumGrid1Accent6">
    <w:name w:val="Medium Grid 1 Accent 6"/>
    <w:basedOn w:val="NormalTable"/>
    <w:uiPriority w:val="67"/>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insideV w:val="single" w:color="f9b073"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3" w:themeColor="accent6" w:themeTint="bf" w:sz="18" w:space="0"/>
        </w:tcBorders>
      </w:tcPr>
    </w:tblStylePr>
    <w:tblStylePr w:type="firstCol">
      <w:rPr>
        <w:b/>
        <w:bCs/>
      </w:rPr>
    </w:tblStylePr>
    <w:tblStylePr w:type="lastCol">
      <w:rPr>
        <w:b/>
        <w:bCs/>
      </w:r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table" w:styleId="MediumGrid2">
    <w:name w:val="Medium Grid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e0ef" w:themeFill="accent1" w:themeFillTint="3f"/>
    </w:tcPr>
    <w:tblStylePr w:type="firstRow">
      <w:rPr>
        <w:b/>
        <w:bCs/>
        <w:color w:val="000000" w:themeColor="text1"/>
      </w:rPr>
      <w:tblPr/>
      <w:tcPr>
        <w:shd w:val="clear" w:color="auto" w:fill="eef3f8" w:themeFill="accen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5f1" w:themeFill="accent1" w:themeFillTint="33"/>
      </w:tcPr>
    </w:tblStylePr>
    <w:tblStylePr w:type="band1Vert">
      <w:tblPr/>
      <w:tcPr>
        <w:shd w:val="clear" w:color="auto" w:fill="a6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6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4d3" w:themeFill="accent2" w:themeFillTint="3f"/>
    </w:tcPr>
    <w:tblStylePr w:type="firstRow">
      <w:rPr>
        <w:b/>
        <w:bCs/>
        <w:color w:val="000000" w:themeColor="text1"/>
      </w:rPr>
      <w:tblPr/>
      <w:tcPr>
        <w:shd w:val="clear" w:color="auto" w:fill="f9eded" w:themeFill="accent2"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2dbda" w:themeFill="accent2" w:themeFillTint="33"/>
      </w:tcPr>
    </w:tblStylePr>
    <w:tblStylePr w:type="band1Vert">
      <w:tblPr/>
      <w:tcPr>
        <w:shd w:val="clear" w:color="auto" w:fill="dfa6a5"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6a5" w:themeFill="accent2" w:themeFillTint="7f"/>
      </w:tcPr>
    </w:tblStylePr>
    <w:tblStylePr w:type="nwCell">
      <w:tblPr/>
      <w:tcPr>
        <w:shd w:val="clear" w:color="auto" w:fill="ffffff" w:themeFill="background1"/>
      </w:tcPr>
    </w:tblStylePr>
  </w:style>
  <w:style w:type="table" w:styleId="MediumGrid2Accent3">
    <w:name w:val="Medium Grid 2 Accent 3"/>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6"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af1dd" w:themeFill="accent3" w:themeFillTint="33"/>
      </w:tcPr>
    </w:tblStylePr>
    <w:tblStylePr w:type="band1Vert">
      <w:tblPr/>
      <w:tcPr>
        <w:shd w:val="clear" w:color="auto" w:fill="ccddab" w:themeFill="accent3" w:themeFillTint="7f"/>
      </w:tcPr>
    </w:tblStylePr>
    <w:tblStylePr w:type="band1Horz">
      <w:tblPr/>
      <w:tcPr>
        <w:tcBorders>
          <w:insideH w:val="single" w:color="9bbb59" w:themeColor="accent3" w:sz="6" w:space="0"/>
          <w:insideV w:val="single" w:color="9bbb59" w:themeColor="accent3" w:sz="6" w:space="0"/>
        </w:tcBorders>
        <w:shd w:val="clear" w:color="auto" w:fill="ccddab" w:themeFill="accent3" w:themeFillTint="7f"/>
      </w:tcPr>
    </w:tblStylePr>
    <w:tblStylePr w:type="nwCell">
      <w:tblPr/>
      <w:tcPr>
        <w:shd w:val="clear" w:color="auto" w:fill="ffffff" w:themeFill="background1"/>
      </w:tcPr>
    </w:tblStylePr>
  </w:style>
  <w:style w:type="table" w:styleId="MediumGrid2Accent4">
    <w:name w:val="Medium Grid 2 Accent 4"/>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5e0ec" w:themeFill="accent4" w:themeFillTint="33"/>
      </w:tcPr>
    </w:tblStylePr>
    <w:tblStylePr w:type="band1Vert">
      <w:tblPr/>
      <w:tcPr>
        <w:shd w:val="clear" w:color="auto" w:fill="bfb1d1"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1" w:themeFill="accent4" w:themeFillTint="7f"/>
      </w:tcPr>
    </w:tblStylePr>
    <w:tblStylePr w:type="nwCell">
      <w:tblPr/>
      <w:tcPr>
        <w:shd w:val="clear" w:color="auto" w:fill="ffffff" w:themeFill="background1"/>
      </w:tcPr>
    </w:tblStylePr>
  </w:style>
  <w:style w:type="table" w:styleId="MediumGrid2Accent5">
    <w:name w:val="Medium Grid 2 Accent 5"/>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1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ef3" w:themeFill="accent5" w:themeFillTint="33"/>
      </w:tcPr>
    </w:tblStylePr>
    <w:tblStylePr w:type="band1Vert">
      <w:tblPr/>
      <w:tcPr>
        <w:shd w:val="clear" w:color="auto" w:fill="a4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4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de9d9" w:themeFill="accent6" w:themeFillTint="33"/>
      </w:tcPr>
    </w:tblStylePr>
    <w:tblStylePr w:type="band1Vert">
      <w:tblPr/>
      <w:tcPr>
        <w:shd w:val="clear" w:color="auto" w:fill="fbcaa1"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1" w:themeFill="accent6" w:themeFillTint="7f"/>
      </w:tcPr>
    </w:tblStylePr>
    <w:tblStylePr w:type="nwCell">
      <w:tblPr/>
      <w:tcPr>
        <w:shd w:val="clear" w:color="auto" w:fill="ffffff" w:themeFill="background1"/>
      </w:tcPr>
    </w:tblStylePr>
  </w:style>
  <w:style w:type="table" w:styleId="MediumGrid3">
    <w:name w:val="Medium Grid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000000" w:themeFill="tex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000000" w:themeFill="tex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000000" w:themeFill="tex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e0ef" w:themeFill="accen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f81bd" w:themeFill="accen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f81bd" w:themeFill="accen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f81bd" w:themeFill="accen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6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bfde" w:themeFill="accent1" w:themeFillTint="7f"/>
      </w:tcPr>
    </w:tblStylePr>
  </w:style>
  <w:style w:type="table" w:styleId="MediumGrid3Accent2">
    <w:name w:val="Medium Grid 3 Accent 2"/>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4d3" w:themeFill="accent2"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c0504d" w:themeFill="accent2"/>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c0504d" w:themeFill="accent2"/>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c0504d" w:themeFill="accent2"/>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dfa6a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6a5" w:themeFill="accent2" w:themeFillTint="7f"/>
      </w:tcPr>
    </w:tblStylePr>
  </w:style>
  <w:style w:type="table" w:styleId="MediumGrid3Accent3">
    <w:name w:val="Medium Grid 3 Accent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6" w:themeFill="accent3"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9bbb59" w:themeFill="accent3"/>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9bbb59" w:themeFill="accent3"/>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9bbb59" w:themeFill="accent3"/>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ccdda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dab" w:themeFill="accent3" w:themeFillTint="7f"/>
      </w:tcPr>
    </w:tblStylePr>
  </w:style>
  <w:style w:type="table" w:styleId="MediumGrid3Accent4">
    <w:name w:val="Medium Grid 3 Accent 4"/>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8064a2" w:themeFill="accent4"/>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8064a2" w:themeFill="accent4"/>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8064a2" w:themeFill="accent4"/>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bfb1d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1" w:themeFill="accent4" w:themeFillTint="7f"/>
      </w:tcPr>
    </w:tblStylePr>
  </w:style>
  <w:style w:type="table" w:styleId="MediumGrid3Accent5">
    <w:name w:val="Medium Grid 3 Accent 5"/>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eaf1" w:themeFill="accent5"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bacc6" w:themeFill="accent5"/>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bacc6" w:themeFill="accent5"/>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bacc6" w:themeFill="accent5"/>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4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4d5e2" w:themeFill="accent5" w:themeFillTint="7f"/>
      </w:tcPr>
    </w:tblStylePr>
  </w:style>
  <w:style w:type="table" w:styleId="MediumGrid3Accent6">
    <w:name w:val="Medium Grid 3 Accent 6"/>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f79646" w:themeFill="accent6"/>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f79646" w:themeFill="accent6"/>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f79646" w:themeFill="accent6"/>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fbca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1" w:themeFill="accent6" w:themeFillTint="7f"/>
      </w:tcPr>
    </w:tblStylePr>
  </w:style>
  <w:style w:type="table" w:styleId="DarkList">
    <w:name w:val="Dark List"/>
    <w:basedOn w:val="NormalTable"/>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000000" w:themeFill="tex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000000" w:themeFill="tex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000000" w:themeFill="tex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style>
  <w:style w:type="table" w:styleId="DarkListAccent1">
    <w:name w:val="Dark List Accent 1"/>
    <w:basedOn w:val="NormalTable"/>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43f60" w:themeFill="accen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76091" w:themeFill="accen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76091" w:themeFill="accen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style>
  <w:style w:type="table" w:styleId="DarkListAccent2">
    <w:name w:val="Dark List Accent 2"/>
    <w:basedOn w:val="NormalTable"/>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622422" w:themeFill="accent2"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943634" w:themeFill="accent2"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943634" w:themeFill="accent2"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style>
  <w:style w:type="table" w:styleId="DarkListAccent3">
    <w:name w:val="Dark List Accent 3"/>
    <w:basedOn w:val="NormalTable"/>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4e6127" w:themeFill="accent3"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75923c" w:themeFill="accent3"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75923c" w:themeFill="accent3"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style>
  <w:style w:type="table" w:styleId="DarkListAccent4">
    <w:name w:val="Dark List Accent 4"/>
    <w:basedOn w:val="NormalTable"/>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3f3151" w:themeFill="accent4"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60497b" w:themeFill="accent4"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60497b" w:themeFill="accent4"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style>
  <w:style w:type="table" w:styleId="DarkListAccent5">
    <w:name w:val="Dark List Accent 5"/>
    <w:basedOn w:val="NormalTable"/>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05766" w:themeFill="accent5"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18399" w:themeFill="accent5"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18399" w:themeFill="accent5"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style>
  <w:style w:type="table" w:styleId="DarkListAccent6">
    <w:name w:val="Dark List Accent 6"/>
    <w:basedOn w:val="NormalTable"/>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964706" w:themeFill="accent6"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e26c0a" w:themeFill="accent6"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e26c0a" w:themeFill="accent6"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style>
  <w:style w:type="table" w:styleId="ColorfulShading">
    <w:name w:val="Colorful Shading"/>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sz="4" w:space="0"/>
          <w:left w:val="nil" w:sz="4" w:space="0"/>
          <w:bottom w:val="nil" w:sz="4" w:space="0"/>
          <w:right w:val="nil" w:sz="4" w:space="0"/>
          <w:insideH w:val="single" w:color="000000" w:themeColor="text1" w:themeShade="99" w:sz="4" w:space="0"/>
          <w:insideV w:val="nil" w:sz="4" w:space="0"/>
        </w:tcBorders>
        <w:shd w:val="clear" w:color="auto" w:fill="000000" w:themeFill="tex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ef3f8" w:themeFill="accen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d74" w:themeFill="accent1" w:themeFillShade="99"/>
      </w:tcPr>
    </w:tblStylePr>
    <w:tblStylePr w:type="firstCol">
      <w:rPr>
        <w:color w:val="ffffff" w:themeColor="background1"/>
      </w:rPr>
      <w:tblPr/>
      <w:tcPr>
        <w:tcBorders>
          <w:top w:val="nil" w:sz="4" w:space="0"/>
          <w:left w:val="nil" w:sz="4" w:space="0"/>
          <w:bottom w:val="nil" w:sz="4" w:space="0"/>
          <w:right w:val="nil" w:sz="4" w:space="0"/>
          <w:insideH w:val="single" w:color="2c4d74" w:themeColor="accent1" w:themeShade="99" w:sz="4" w:space="0"/>
          <w:insideV w:val="nil" w:sz="4" w:space="0"/>
        </w:tcBorders>
        <w:shd w:val="clear" w:color="auto" w:fill="2c4d74" w:themeFill="accen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c4d74" w:themeFill="accent1" w:themeFillShade="99"/>
      </w:tcPr>
    </w:tblStylePr>
    <w:tblStylePr w:type="band1Vert">
      <w:tblPr/>
      <w:tcPr>
        <w:shd w:val="clear" w:color="auto" w:fill="b8cce4" w:themeFill="accent1" w:themeFillTint="66"/>
      </w:tcPr>
    </w:tblStylePr>
    <w:tblStylePr w:type="band1Horz">
      <w:tblPr/>
      <w:tcPr>
        <w:shd w:val="clear" w:color="auto" w:fill="a6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9eded" w:themeFill="accent2"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62c2a" w:themeFill="accent2" w:themeFillShade="99"/>
      </w:tcPr>
    </w:tblStylePr>
    <w:tblStylePr w:type="firstCol">
      <w:rPr>
        <w:color w:val="ffffff" w:themeColor="background1"/>
      </w:rPr>
      <w:tblPr/>
      <w:tcPr>
        <w:tcBorders>
          <w:top w:val="nil" w:sz="4" w:space="0"/>
          <w:left w:val="nil" w:sz="4" w:space="0"/>
          <w:bottom w:val="nil" w:sz="4" w:space="0"/>
          <w:right w:val="nil" w:sz="4" w:space="0"/>
          <w:insideH w:val="single" w:color="762c2a" w:themeColor="accent2" w:themeShade="99" w:sz="4" w:space="0"/>
          <w:insideV w:val="nil" w:sz="4" w:space="0"/>
        </w:tcBorders>
        <w:shd w:val="clear" w:color="auto" w:fill="762c2a" w:themeFill="accent2"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762c2a" w:themeFill="accent2" w:themeFillShade="99"/>
      </w:tcPr>
    </w:tblStylePr>
    <w:tblStylePr w:type="band1Vert">
      <w:tblPr/>
      <w:tcPr>
        <w:shd w:val="clear" w:color="auto" w:fill="e5b8b7" w:themeFill="accent2" w:themeFillTint="66"/>
      </w:tcPr>
    </w:tblStylePr>
    <w:tblStylePr w:type="band1Horz">
      <w:tblPr/>
      <w:tcPr>
        <w:shd w:val="clear" w:color="auto" w:fill="dfa6a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NormalTable"/>
    <w:uiPriority w:val="71"/>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d7430" w:themeFill="accent3" w:themeFillShade="99"/>
      </w:tcPr>
    </w:tblStylePr>
    <w:tblStylePr w:type="firstCol">
      <w:rPr>
        <w:color w:val="ffffff" w:themeColor="background1"/>
      </w:rPr>
      <w:tblPr/>
      <w:tcPr>
        <w:tcBorders>
          <w:top w:val="nil" w:sz="4" w:space="0"/>
          <w:left w:val="nil" w:sz="4" w:space="0"/>
          <w:bottom w:val="nil" w:sz="4" w:space="0"/>
          <w:right w:val="nil" w:sz="4" w:space="0"/>
          <w:insideH w:val="single" w:color="5d7430" w:themeColor="accent3" w:themeShade="99" w:sz="4" w:space="0"/>
          <w:insideV w:val="nil" w:sz="4" w:space="0"/>
        </w:tcBorders>
        <w:shd w:val="clear" w:color="auto" w:fill="5d7430" w:themeFill="accent3"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5d7430" w:themeFill="accent3" w:themeFillShade="99"/>
      </w:tcPr>
    </w:tblStylePr>
    <w:tblStylePr w:type="band1Vert">
      <w:tblPr/>
      <w:tcPr>
        <w:shd w:val="clear" w:color="auto" w:fill="d7e4bc" w:themeFill="accent3" w:themeFillTint="66"/>
      </w:tcPr>
    </w:tblStylePr>
    <w:tblStylePr w:type="band1Horz">
      <w:tblPr/>
      <w:tcPr>
        <w:shd w:val="clear" w:color="auto" w:fill="ccddab" w:themeFill="accent3" w:themeFillTint="7f"/>
      </w:tcPr>
    </w:tblStylePr>
  </w:style>
  <w:style w:type="table" w:styleId="ColorfulShadingAccent4">
    <w:name w:val="Colorful Shading Accent 4"/>
    <w:basedOn w:val="NormalTable"/>
    <w:uiPriority w:val="71"/>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sz="4" w:space="0"/>
          <w:left w:val="nil" w:sz="4" w:space="0"/>
          <w:bottom w:val="nil" w:sz="4" w:space="0"/>
          <w:right w:val="nil" w:sz="4" w:space="0"/>
          <w:insideH w:val="single" w:color="4c3a62" w:themeColor="accent4" w:themeShade="99" w:sz="4" w:space="0"/>
          <w:insideV w:val="nil" w:sz="4" w:space="0"/>
        </w:tcBorders>
        <w:shd w:val="clear" w:color="auto" w:fill="4c3a62" w:themeFill="accent4"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4c3a62" w:themeFill="accent4" w:themeFillShade="99"/>
      </w:tcPr>
    </w:tblStylePr>
    <w:tblStylePr w:type="band1Vert">
      <w:tblPr/>
      <w:tcPr>
        <w:shd w:val="clear" w:color="auto" w:fill="ccc0da" w:themeFill="accent4" w:themeFillTint="66"/>
      </w:tcPr>
    </w:tblStylePr>
    <w:tblStylePr w:type="band1Horz">
      <w:tblPr/>
      <w:tcPr>
        <w:shd w:val="clear" w:color="auto" w:fill="bfb1d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NormalTable"/>
    <w:uiPriority w:val="71"/>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97b" w:themeFill="accent5" w:themeFillShade="99"/>
      </w:tcPr>
    </w:tblStylePr>
    <w:tblStylePr w:type="firstCol">
      <w:rPr>
        <w:color w:val="ffffff" w:themeColor="background1"/>
      </w:rPr>
      <w:tblPr/>
      <w:tcPr>
        <w:tcBorders>
          <w:top w:val="nil" w:sz="4" w:space="0"/>
          <w:left w:val="nil" w:sz="4" w:space="0"/>
          <w:bottom w:val="nil" w:sz="4" w:space="0"/>
          <w:right w:val="nil" w:sz="4" w:space="0"/>
          <w:insideH w:val="single" w:color="27697b" w:themeColor="accent5" w:themeShade="99" w:sz="4" w:space="0"/>
          <w:insideV w:val="nil" w:sz="4" w:space="0"/>
        </w:tcBorders>
        <w:shd w:val="clear" w:color="auto" w:fill="27697b" w:themeFill="accent5"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7697b" w:themeFill="accent5" w:themeFillShade="99"/>
      </w:tcPr>
    </w:tblStylePr>
    <w:tblStylePr w:type="band1Vert">
      <w:tblPr/>
      <w:tcPr>
        <w:shd w:val="clear" w:color="auto" w:fill="b6dde8" w:themeFill="accent5" w:themeFillTint="66"/>
      </w:tcPr>
    </w:tblStylePr>
    <w:tblStylePr w:type="band1Horz">
      <w:tblPr/>
      <w:tcPr>
        <w:shd w:val="clear" w:color="auto" w:fill="a4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NormalTable"/>
    <w:uiPriority w:val="71"/>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5608" w:themeFill="accent6" w:themeFillShade="99"/>
      </w:tcPr>
    </w:tblStylePr>
    <w:tblStylePr w:type="firstCol">
      <w:rPr>
        <w:color w:val="ffffff" w:themeColor="background1"/>
      </w:rPr>
      <w:tblPr/>
      <w:tcPr>
        <w:tcBorders>
          <w:top w:val="nil" w:sz="4" w:space="0"/>
          <w:left w:val="nil" w:sz="4" w:space="0"/>
          <w:bottom w:val="nil" w:sz="4" w:space="0"/>
          <w:right w:val="nil" w:sz="4" w:space="0"/>
          <w:insideH w:val="single" w:color="b45608" w:themeColor="accent6" w:themeShade="99" w:sz="4" w:space="0"/>
          <w:insideV w:val="nil" w:sz="4" w:space="0"/>
        </w:tcBorders>
        <w:shd w:val="clear" w:color="auto" w:fill="b45608" w:themeFill="accent6"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b45608" w:themeFill="accent6" w:themeFillShade="99"/>
      </w:tcPr>
    </w:tblStylePr>
    <w:tblStylePr w:type="band1Vert">
      <w:tblPr/>
      <w:tcPr>
        <w:shd w:val="clear" w:color="auto" w:fill="fcd5b4" w:themeFill="accent6" w:themeFillTint="66"/>
      </w:tcPr>
    </w:tblStylePr>
    <w:tblStylePr w:type="band1Horz">
      <w:tblPr/>
      <w:tcPr>
        <w:shd w:val="clear" w:color="auto" w:fill="fbcaa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NormalTable"/>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
    <w:uiPriority w:val="72"/>
    <w:pPr>
      <w:spacing w:after="0" w:line="240" w:lineRule="auto"/>
    </w:pPr>
    <w:rPr>
      <w:color w:val="000000" w:themeColor="text1"/>
    </w:rPr>
    <w:tblPr>
      <w:tblStyleRowBandSize w:val="1"/>
      <w:tblStyleColBandSize w:val="1"/>
    </w:tblPr>
    <w:tcPr>
      <w:shd w:val="clear" w:color="auto" w:fill="eef3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3e0ef"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
    <w:uiPriority w:val="72"/>
    <w:pPr>
      <w:spacing w:after="0" w:line="240" w:lineRule="auto"/>
    </w:pPr>
    <w:rPr>
      <w:color w:val="000000" w:themeColor="text1"/>
    </w:rPr>
    <w:tblPr>
      <w:tblStyleRowBandSize w:val="1"/>
      <w:tblStyleColBandSize w:val="1"/>
    </w:tblPr>
    <w:tcPr>
      <w:shd w:val="clear" w:color="auto" w:fill="f9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fd4d3"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NormalTable"/>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6eed6"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
    <w:uiPriority w:val="72"/>
    <w:pPr>
      <w:spacing w:after="0" w:line="240" w:lineRule="auto"/>
    </w:pPr>
    <w:rPr>
      <w:color w:val="000000" w:themeColor="text1"/>
    </w:rPr>
    <w:tblPr>
      <w:tblStyleRowBandSize w:val="1"/>
      <w:tblStyleColBandSize w:val="1"/>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d9c40" w:themeFill="accent3" w:themeFillShade="cc"/>
      </w:tcPr>
    </w:tblStylePr>
    <w:tblStylePr w:type="lastRow">
      <w:rPr>
        <w:b/>
        <w:bCs/>
        <w:color w:val="7d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basedOn w:val="NormalTable"/>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1eaf1" w:themeFill="accent5" w:themeFillTint="3f"/>
      </w:tcPr>
    </w:tblStylePr>
    <w:tblStylePr w:type="band1Horz">
      <w:tblPr/>
      <w:tcPr>
        <w:shd w:val="clear" w:color="auto" w:fill="dbeef3" w:themeFill="accent5" w:themeFillTint="33"/>
      </w:tcPr>
    </w:tblStylePr>
  </w:style>
  <w:style w:type="table" w:styleId="ColorfulListAccent6">
    <w:name w:val="Colorful List Accent 6"/>
    <w:basedOn w:val="NormalTable"/>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ca4" w:themeFill="accent5" w:themeFillShade="cc"/>
      </w:tcPr>
    </w:tblStylePr>
    <w:tblStylePr w:type="lastRow">
      <w:rPr>
        <w:b/>
        <w:bCs/>
        <w:color w:val="348ca4"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76091" w:themeFill="accent1" w:themeFillShade="bf"/>
      </w:tcPr>
    </w:tblStylePr>
    <w:tblStylePr w:type="lastCol">
      <w:rPr>
        <w:color w:val="ffffff" w:themeColor="background1"/>
      </w:rPr>
      <w:tblPr/>
      <w:tcPr>
        <w:shd w:val="clear" w:color="auto" w:fill="376091" w:themeFill="accent1" w:themeFillShade="bf"/>
      </w:tc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ColorfulGridAccent2">
    <w:name w:val="Colorful Grid Accent 2"/>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a"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ColorfulGridAccent3">
    <w:name w:val="Colorful Grid Accent 3"/>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7e4bc" w:themeFill="accent3" w:themeFillTint="66"/>
      </w:tcPr>
    </w:tblStylePr>
    <w:tblStylePr w:type="lastRow">
      <w:rPr>
        <w:b/>
        <w:bCs/>
        <w:color w:val="000000" w:themeColor="text1"/>
      </w:rPr>
      <w:tblPr/>
      <w:tcPr>
        <w:shd w:val="clear" w:color="auto" w:fill="d7e4bc" w:themeFill="accent3" w:themeFillTint="66"/>
      </w:tcPr>
    </w:tblStylePr>
    <w:tblStylePr w:type="firstCol">
      <w:rPr>
        <w:color w:val="ffffff" w:themeColor="background1"/>
      </w:rPr>
      <w:tblPr/>
      <w:tcPr>
        <w:shd w:val="clear" w:color="auto" w:fill="75923c" w:themeFill="accent3" w:themeFillShade="bf"/>
      </w:tcPr>
    </w:tblStylePr>
    <w:tblStylePr w:type="lastCol">
      <w:rPr>
        <w:color w:val="ffffff" w:themeColor="background1"/>
      </w:rPr>
      <w:tblPr/>
      <w:tcPr>
        <w:shd w:val="clear" w:color="auto" w:fill="75923c" w:themeFill="accent3" w:themeFillShade="bf"/>
      </w:tc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ColorfulGridAccent4">
    <w:name w:val="Colorful Grid Accent 4"/>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e0ec" w:themeFill="accent4" w:themeFillTint="33"/>
    </w:tcPr>
    <w:tblStylePr w:type="firstRow">
      <w:rPr>
        <w:b/>
        <w:bCs/>
      </w:rPr>
      <w:tblPr/>
      <w:tcPr>
        <w:shd w:val="clear" w:color="auto" w:fill="ccc0da" w:themeFill="accent4" w:themeFillTint="66"/>
      </w:tcPr>
    </w:tblStylePr>
    <w:tblStylePr w:type="lastRow">
      <w:rPr>
        <w:b/>
        <w:bCs/>
        <w:color w:val="000000" w:themeColor="text1"/>
      </w:rPr>
      <w:tblPr/>
      <w:tcPr>
        <w:shd w:val="clear" w:color="auto" w:fill="ccc0da" w:themeFill="accent4" w:themeFillTint="66"/>
      </w:tcPr>
    </w:tblStylePr>
    <w:tblStylePr w:type="firstCol">
      <w:rPr>
        <w:color w:val="ffffff" w:themeColor="background1"/>
      </w:rPr>
      <w:tblPr/>
      <w:tcPr>
        <w:shd w:val="clear" w:color="auto" w:fill="60497b" w:themeFill="accent4" w:themeFillShade="bf"/>
      </w:tcPr>
    </w:tblStylePr>
    <w:tblStylePr w:type="lastCol">
      <w:rPr>
        <w:color w:val="ffffff" w:themeColor="background1"/>
      </w:rPr>
      <w:tblPr/>
      <w:tcPr>
        <w:shd w:val="clear" w:color="auto" w:fill="60497b" w:themeFill="accent4" w:themeFillShade="bf"/>
      </w:tc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ColorfulGridAccent5">
    <w:name w:val="Colorful Grid Accent 5"/>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399" w:themeFill="accent5" w:themeFillShade="bf"/>
      </w:tcPr>
    </w:tblStylePr>
    <w:tblStylePr w:type="lastCol">
      <w:rPr>
        <w:color w:val="ffffff" w:themeColor="background1"/>
      </w:rPr>
      <w:tblPr/>
      <w:tcPr>
        <w:shd w:val="clear" w:color="auto" w:fill="318399" w:themeFill="accent5" w:themeFillShade="bf"/>
      </w:tc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ColorfulGridAccent6">
    <w:name w:val="Colorful Grid Accent 6"/>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cd5b4" w:themeFill="accent6" w:themeFillTint="66"/>
      </w:tcPr>
    </w:tblStylePr>
    <w:tblStylePr w:type="lastRow">
      <w:rPr>
        <w:b/>
        <w:bCs/>
        <w:color w:val="000000" w:themeColor="text1"/>
      </w:rPr>
      <w:tblPr/>
      <w:tcPr>
        <w:shd w:val="clear" w:color="auto" w:fill="fcd5b4" w:themeFill="accent6" w:themeFillTint="66"/>
      </w:tcPr>
    </w:tblStylePr>
    <w:tblStylePr w:type="firstCol">
      <w:rPr>
        <w:color w:val="ffffff" w:themeColor="background1"/>
      </w:rPr>
      <w:tblPr/>
      <w:tcPr>
        <w:shd w:val="clear" w:color="auto" w:fill="e26c0a" w:themeFill="accent6" w:themeFillShade="bf"/>
      </w:tcPr>
    </w:tblStylePr>
    <w:tblStylePr w:type="lastCol">
      <w:rPr>
        <w:color w:val="ffffff" w:themeColor="background1"/>
      </w:rPr>
      <w:tblPr/>
      <w:tcPr>
        <w:shd w:val="clear" w:color="auto" w:fill="e26c0a" w:themeFill="accent6" w:themeFillShade="bf"/>
      </w:tc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52C85-7AA7-4E33-9173-DD2B8F231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2524</Words>
  <Characters>14390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Мотивация и целеполагане в индивидуалната психология на Алфред Адлер</dc:title>
  <dc:description>generated by python-docx</dc:description>
  <dc:subject>Академичен доклад</dc:subject>
  <dc:creator>Atanas Pavlov Atanasov</dc:creator>
  <cp:lastModifiedBy>Atanas Pavlov Atanasov</cp:lastModifiedBy>
</cp:coreProperties>
</file>