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593E9" w14:textId="77777777" w:rsidR="00132F47" w:rsidRDefault="00000000">
      <w:pPr>
        <w:jc w:val="center"/>
      </w:pPr>
      <w:r>
        <w:rPr>
          <w:b/>
          <w:bCs/>
          <w:sz w:val="32"/>
          <w:szCs w:val="32"/>
        </w:rPr>
        <w:t>ТРАНСФОРМАЦИЯ НА ОНЛАЙН ОБЩНОСТИ В СРЕДИ ЗА РАДИКАЛИЗАЦИЯ КАТО РИСК ЗА НАЦИОНАЛНАТА СИГУРНОСТ</w:t>
      </w:r>
    </w:p>
    <w:p w14:paraId="5F68112F" w14:textId="77777777" w:rsidR="00132F47" w:rsidRDefault="00132F47">
      <w:pPr>
        <w:jc w:val="center"/>
      </w:pPr>
    </w:p>
    <w:p w14:paraId="3668131E" w14:textId="4B8BE1AD" w:rsidR="00132F47" w:rsidRPr="00A23689" w:rsidRDefault="00A23689">
      <w:pPr>
        <w:jc w:val="center"/>
        <w:rPr>
          <w:lang w:val="bg-BG"/>
        </w:rPr>
      </w:pPr>
      <w:r>
        <w:rPr>
          <w:b/>
          <w:bCs/>
          <w:sz w:val="32"/>
          <w:szCs w:val="32"/>
          <w:lang w:val="bg-BG"/>
        </w:rPr>
        <w:t xml:space="preserve">Георги </w:t>
      </w:r>
      <w:r w:rsidR="0012716F">
        <w:rPr>
          <w:b/>
          <w:bCs/>
          <w:sz w:val="32"/>
          <w:szCs w:val="32"/>
          <w:lang w:val="bg-BG"/>
        </w:rPr>
        <w:t xml:space="preserve">Костов </w:t>
      </w:r>
      <w:r>
        <w:rPr>
          <w:b/>
          <w:bCs/>
          <w:sz w:val="32"/>
          <w:szCs w:val="32"/>
          <w:lang w:val="bg-BG"/>
        </w:rPr>
        <w:t>Баев</w:t>
      </w:r>
    </w:p>
    <w:p w14:paraId="51B2249D" w14:textId="77777777" w:rsidR="00132F47" w:rsidRDefault="00132F47">
      <w:pPr>
        <w:jc w:val="center"/>
      </w:pPr>
    </w:p>
    <w:p w14:paraId="3A337626" w14:textId="77777777" w:rsidR="00132F47" w:rsidRDefault="00132F47">
      <w:pPr>
        <w:jc w:val="center"/>
      </w:pPr>
    </w:p>
    <w:p w14:paraId="634864D9" w14:textId="77777777" w:rsidR="00132F47" w:rsidRDefault="00000000">
      <w:pPr>
        <w:jc w:val="center"/>
      </w:pPr>
      <w:r>
        <w:rPr>
          <w:b/>
          <w:bCs/>
          <w:sz w:val="32"/>
          <w:szCs w:val="32"/>
        </w:rPr>
        <w:t>TRANSFORMATION OF ONLINE COMMUNITIES INTO ENVIRONMENTS OF RADICALIZATION AS A RISK TO NATIONAL SECURITY</w:t>
      </w:r>
    </w:p>
    <w:p w14:paraId="6B51B8E3" w14:textId="77777777" w:rsidR="00132F47" w:rsidRDefault="00132F47">
      <w:pPr>
        <w:jc w:val="center"/>
      </w:pPr>
    </w:p>
    <w:p w14:paraId="392ED76C" w14:textId="1AC604C6" w:rsidR="00132F47" w:rsidRDefault="00A23689">
      <w:pPr>
        <w:jc w:val="center"/>
      </w:pPr>
      <w:r>
        <w:rPr>
          <w:b/>
          <w:bCs/>
          <w:sz w:val="32"/>
          <w:szCs w:val="32"/>
        </w:rPr>
        <w:t xml:space="preserve">Georgi </w:t>
      </w:r>
      <w:r w:rsidR="0012716F">
        <w:rPr>
          <w:b/>
          <w:bCs/>
          <w:sz w:val="32"/>
          <w:szCs w:val="32"/>
        </w:rPr>
        <w:t xml:space="preserve">Kostov </w:t>
      </w:r>
      <w:r>
        <w:rPr>
          <w:b/>
          <w:bCs/>
          <w:sz w:val="32"/>
          <w:szCs w:val="32"/>
        </w:rPr>
        <w:t>Baev</w:t>
      </w:r>
    </w:p>
    <w:p w14:paraId="550B26EB" w14:textId="77777777" w:rsidR="00132F47" w:rsidRDefault="00132F47">
      <w:pPr>
        <w:jc w:val="center"/>
      </w:pPr>
    </w:p>
    <w:p w14:paraId="27E0F9A9" w14:textId="77777777" w:rsidR="00132F47" w:rsidRDefault="00132F47">
      <w:pPr>
        <w:jc w:val="center"/>
      </w:pPr>
    </w:p>
    <w:p w14:paraId="7CD69EA2" w14:textId="77777777" w:rsidR="00132F47" w:rsidRDefault="00000000">
      <w:pPr>
        <w:ind w:firstLine="567"/>
        <w:jc w:val="both"/>
      </w:pPr>
      <w:r>
        <w:rPr>
          <w:b/>
          <w:bCs/>
          <w:i/>
          <w:iCs/>
          <w:sz w:val="24"/>
          <w:szCs w:val="24"/>
        </w:rPr>
        <w:t xml:space="preserve">Резюме: </w:t>
      </w:r>
      <w:r>
        <w:rPr>
          <w:i/>
          <w:iCs/>
          <w:sz w:val="24"/>
          <w:szCs w:val="24"/>
        </w:rPr>
        <w:t>Докладът разглежда как определени онлайн общности постепенно се трансформират в среди, благоприятстващи радикализация. Анализират се ролята на социалното одобрение, алгоритмичното посредничество и груповата идентичност. Разглеждат се условията за екстремистка мобилизация, институционалната ерозия и обществената поляризация като фактори, пораждащи риск за националната сигурност.</w:t>
      </w:r>
    </w:p>
    <w:p w14:paraId="5090AFAD" w14:textId="77777777" w:rsidR="00132F47" w:rsidRDefault="00132F47"/>
    <w:p w14:paraId="59B05F61" w14:textId="77777777" w:rsidR="00132F47" w:rsidRDefault="00000000">
      <w:pPr>
        <w:ind w:firstLine="567"/>
        <w:jc w:val="both"/>
      </w:pPr>
      <w:r>
        <w:rPr>
          <w:b/>
          <w:bCs/>
          <w:i/>
          <w:iCs/>
          <w:sz w:val="24"/>
          <w:szCs w:val="24"/>
        </w:rPr>
        <w:t xml:space="preserve">Ключови думи: </w:t>
      </w:r>
      <w:r>
        <w:rPr>
          <w:i/>
          <w:iCs/>
          <w:sz w:val="24"/>
          <w:szCs w:val="24"/>
        </w:rPr>
        <w:t>национална сигурност, радикализация, екстремизъм</w:t>
      </w:r>
    </w:p>
    <w:p w14:paraId="5E47FCC7" w14:textId="77777777" w:rsidR="00132F47" w:rsidRDefault="00132F47"/>
    <w:p w14:paraId="0AB957C1" w14:textId="77777777" w:rsidR="00132F47" w:rsidRDefault="00000000">
      <w:pPr>
        <w:ind w:firstLine="567"/>
        <w:jc w:val="both"/>
      </w:pPr>
      <w:r>
        <w:rPr>
          <w:b/>
          <w:bCs/>
          <w:i/>
          <w:iCs/>
          <w:sz w:val="24"/>
          <w:szCs w:val="24"/>
        </w:rPr>
        <w:t xml:space="preserve">Abstract: </w:t>
      </w:r>
      <w:r>
        <w:rPr>
          <w:i/>
          <w:iCs/>
          <w:sz w:val="24"/>
          <w:szCs w:val="24"/>
        </w:rPr>
        <w:t>The paper examines how certain online communities gradually transform into environments conducive to radicalization. It analyses the roles of social approval, algorithmic mediation and group identity, and the conditions enabling extremist mobilization, institutional erosion and societal polarization as risks to national security.</w:t>
      </w:r>
    </w:p>
    <w:p w14:paraId="03684B74" w14:textId="77777777" w:rsidR="00132F47" w:rsidRDefault="00132F47"/>
    <w:p w14:paraId="5323476E" w14:textId="77777777" w:rsidR="00132F47" w:rsidRDefault="00000000">
      <w:pPr>
        <w:ind w:firstLine="567"/>
        <w:jc w:val="both"/>
      </w:pPr>
      <w:r>
        <w:rPr>
          <w:b/>
          <w:bCs/>
          <w:i/>
          <w:iCs/>
          <w:sz w:val="24"/>
          <w:szCs w:val="24"/>
        </w:rPr>
        <w:t xml:space="preserve">Keywords: </w:t>
      </w:r>
      <w:r>
        <w:rPr>
          <w:i/>
          <w:iCs/>
          <w:sz w:val="24"/>
          <w:szCs w:val="24"/>
        </w:rPr>
        <w:t>national security, radicalization, extremism</w:t>
      </w:r>
    </w:p>
    <w:p w14:paraId="0B7819D6" w14:textId="77777777" w:rsidR="00132F47" w:rsidRDefault="00132F47"/>
    <w:p w14:paraId="1983D62D" w14:textId="77777777" w:rsidR="00132F47" w:rsidRDefault="00132F47"/>
    <w:p w14:paraId="71BC2EFF" w14:textId="77777777" w:rsidR="00132F47" w:rsidRDefault="00000000">
      <w:pPr>
        <w:jc w:val="both"/>
      </w:pPr>
      <w:r>
        <w:rPr>
          <w:b/>
          <w:bCs/>
          <w:sz w:val="28"/>
          <w:szCs w:val="28"/>
        </w:rPr>
        <w:t>1. Увод</w:t>
      </w:r>
    </w:p>
    <w:p w14:paraId="5B63E4BF" w14:textId="431654E3" w:rsidR="00132F47" w:rsidRDefault="00000000">
      <w:pPr>
        <w:ind w:firstLine="567"/>
        <w:jc w:val="both"/>
      </w:pPr>
      <w:r>
        <w:rPr>
          <w:sz w:val="28"/>
          <w:szCs w:val="28"/>
        </w:rPr>
        <w:t xml:space="preserve">Дигиталната трансформация на комуникационната среда през последните две десетилетия промени коренно начина, по който хората се информират, формират мнения и изграждат общности. Социалните мрежи, тематичните форуми, каналите за видеосподеляне и приложенията за съобщения предложиха безпрецедентна възможност хора със сходни интереси, ценности или тревоги да се намерят и да си взаимодействат независимо от географската отдалеченост. Сама по себе си тази динамика по правило е положителна </w:t>
      </w:r>
      <w:r w:rsidR="00F405F4">
        <w:rPr>
          <w:sz w:val="28"/>
          <w:szCs w:val="28"/>
          <w:lang w:val="bg-BG"/>
        </w:rPr>
        <w:t>-</w:t>
      </w:r>
      <w:r>
        <w:rPr>
          <w:sz w:val="28"/>
          <w:szCs w:val="28"/>
        </w:rPr>
        <w:t xml:space="preserve"> тя подпомага гражданската активност, взаимната подкрепа и плурализма на мненията.</w:t>
      </w:r>
    </w:p>
    <w:p w14:paraId="224B53D2" w14:textId="2080BF9B" w:rsidR="00132F47" w:rsidRDefault="00000000">
      <w:pPr>
        <w:ind w:firstLine="567"/>
        <w:jc w:val="both"/>
      </w:pPr>
      <w:r>
        <w:rPr>
          <w:sz w:val="28"/>
          <w:szCs w:val="28"/>
        </w:rPr>
        <w:t xml:space="preserve">Едновременно с това обаче нараства броят на емпиричните изследвания и анализи на конкретни случаи, които показват, че определен тип онлайн общности </w:t>
      </w:r>
      <w:r w:rsidR="00F405F4">
        <w:rPr>
          <w:sz w:val="28"/>
          <w:szCs w:val="28"/>
          <w:lang w:val="bg-BG"/>
        </w:rPr>
        <w:t>-</w:t>
      </w:r>
      <w:r>
        <w:rPr>
          <w:sz w:val="28"/>
          <w:szCs w:val="28"/>
        </w:rPr>
        <w:t xml:space="preserve"> изградени около силна групова идентичност, усещане за несправедливост или недоверие към официалните институции </w:t>
      </w:r>
      <w:r w:rsidR="00F405F4">
        <w:rPr>
          <w:sz w:val="28"/>
          <w:szCs w:val="28"/>
          <w:lang w:val="bg-BG"/>
        </w:rPr>
        <w:t>-</w:t>
      </w:r>
      <w:r>
        <w:rPr>
          <w:sz w:val="28"/>
          <w:szCs w:val="28"/>
        </w:rPr>
        <w:t xml:space="preserve"> могат постепенно да се трансформират в среди, в които екстремистки нагласи, а в отделни случаи и готовност за насилствени действия, биват нормализирани и насърчавани. Тази трансформация рядко е резултат от единичен фактор. Тя е резултат от взаимодействието между психологически </w:t>
      </w:r>
      <w:r>
        <w:rPr>
          <w:sz w:val="28"/>
          <w:szCs w:val="28"/>
        </w:rPr>
        <w:lastRenderedPageBreak/>
        <w:t>механизми, свързани с потребността от принадлежност и социално одобрение, технологични фактори, свързани с архитектурата на платформите и алгоритмичното препоръчване на съдържание, и по-широки обществено-политически процеси, свързани с поляризацията и ерозията на институционалното доверие.</w:t>
      </w:r>
    </w:p>
    <w:p w14:paraId="3EDB705D" w14:textId="77777777" w:rsidR="00132F47" w:rsidRDefault="00000000">
      <w:pPr>
        <w:ind w:firstLine="567"/>
        <w:jc w:val="both"/>
      </w:pPr>
      <w:r>
        <w:rPr>
          <w:sz w:val="28"/>
          <w:szCs w:val="28"/>
        </w:rPr>
        <w:t>Проблемът придобива особена актуалност в контекста на съвременната среда за сигурност, в която информационното пространство все по-често се разглежда като самостоятелен фронт за дезинформационни и хибридни въздействия, насочени към задълбочаване на обществените разделения. Разбирането на механизмите на тази трансформация е от съществено значение за адекватната оценка на риска за националната сигурност.</w:t>
      </w:r>
    </w:p>
    <w:p w14:paraId="037267CC" w14:textId="611CEE11" w:rsidR="00132F47" w:rsidRDefault="00000000">
      <w:pPr>
        <w:ind w:firstLine="567"/>
        <w:jc w:val="both"/>
      </w:pPr>
      <w:r>
        <w:rPr>
          <w:sz w:val="28"/>
          <w:szCs w:val="28"/>
        </w:rPr>
        <w:t xml:space="preserve">Настоящият доклад има за цел да систематизира основните механизми на посочената трансформация и да очертае произтичащите от нея рискове за националната сигурност. Той е структуриран, както следва: първо се представя кратка теоретична рамка за груповата идентичност и потребността от значимост; след това се анализират конкретните механизми на трансформация </w:t>
      </w:r>
      <w:r w:rsidR="00F405F4">
        <w:rPr>
          <w:sz w:val="28"/>
          <w:szCs w:val="28"/>
          <w:lang w:val="bg-BG"/>
        </w:rPr>
        <w:t>-</w:t>
      </w:r>
      <w:r>
        <w:rPr>
          <w:sz w:val="28"/>
          <w:szCs w:val="28"/>
        </w:rPr>
        <w:t xml:space="preserve"> груповата поляризация, алгоритмичното посредничество и изграждането на противопоставянето „ние срещу тях“; разглежда се разликата между радикализация на мнение и радикализация на действие; анализира се ролята на институционалната ерозия и афективната поляризация като благоприятстваща среда; предлага се рамка за оценка на риска за националната сигурност; и накрая се очертават възможни насоки за противодействие.</w:t>
      </w:r>
    </w:p>
    <w:p w14:paraId="57049F93" w14:textId="77777777" w:rsidR="00132F47" w:rsidRDefault="00000000">
      <w:pPr>
        <w:jc w:val="both"/>
      </w:pPr>
      <w:r>
        <w:rPr>
          <w:b/>
          <w:bCs/>
          <w:sz w:val="28"/>
          <w:szCs w:val="28"/>
        </w:rPr>
        <w:t>2. Теоретична рамка: групова идентичност и потребност от значимост</w:t>
      </w:r>
    </w:p>
    <w:p w14:paraId="676AB985" w14:textId="4A9A40A2" w:rsidR="00132F47" w:rsidRDefault="00000000">
      <w:pPr>
        <w:ind w:firstLine="567"/>
        <w:jc w:val="both"/>
      </w:pPr>
      <w:r>
        <w:rPr>
          <w:sz w:val="28"/>
          <w:szCs w:val="28"/>
        </w:rPr>
        <w:t>Радикализацията може да се определи най-общо като процес, чрез който индивиди или групи възприемат все по-екстремистки политически, социални или религиозни идеали и стремежи, включително нарастваща готовност за подкрепа или извършване на насилствени действия в тяхна защита</w:t>
      </w:r>
      <w:r w:rsidR="000F2837">
        <w:rPr>
          <w:sz w:val="28"/>
          <w:szCs w:val="28"/>
        </w:rPr>
        <w:t>.</w:t>
      </w:r>
      <w:r>
        <w:rPr>
          <w:sz w:val="28"/>
          <w:szCs w:val="28"/>
        </w:rPr>
        <w:t xml:space="preserve"> [1]</w:t>
      </w:r>
    </w:p>
    <w:p w14:paraId="045C0B78" w14:textId="77777777" w:rsidR="00132F47" w:rsidRDefault="00000000">
      <w:pPr>
        <w:jc w:val="both"/>
      </w:pPr>
      <w:r>
        <w:rPr>
          <w:b/>
          <w:bCs/>
          <w:sz w:val="28"/>
          <w:szCs w:val="28"/>
        </w:rPr>
        <w:t>2.1. Групова идентичност и социално одобрение</w:t>
      </w:r>
    </w:p>
    <w:p w14:paraId="5A30C080" w14:textId="2CFC931D" w:rsidR="00132F47" w:rsidRDefault="00000000">
      <w:pPr>
        <w:ind w:firstLine="567"/>
        <w:jc w:val="both"/>
      </w:pPr>
      <w:r>
        <w:rPr>
          <w:sz w:val="28"/>
          <w:szCs w:val="28"/>
        </w:rPr>
        <w:t>Социалнопсихологическата теория за груповата идентичност обяснява защо хората са склонни да категоризират себе си и другите във „вътрешна“ и „външна“ група дори при минимални и произволни основания за разграничение, и защо принадлежността към дадена група систематично се съпровожда от предпочитание към нейните членове за сметка на членовете на другите групи.</w:t>
      </w:r>
      <w:r w:rsidR="000F2837">
        <w:rPr>
          <w:sz w:val="28"/>
          <w:szCs w:val="28"/>
        </w:rPr>
        <w:t xml:space="preserve"> [2]</w:t>
      </w:r>
      <w:r>
        <w:rPr>
          <w:sz w:val="28"/>
          <w:szCs w:val="28"/>
        </w:rPr>
        <w:t xml:space="preserve"> В онлайн среда този процес се улеснява допълнително от възможността потребителите да представят избирателно аспекти от идентичността си и да търсят общности, в които тези аспекти се потвърждават и оценяват положително.</w:t>
      </w:r>
    </w:p>
    <w:p w14:paraId="1B55DA66" w14:textId="5A065E96" w:rsidR="00132F47" w:rsidRDefault="00000000">
      <w:pPr>
        <w:ind w:firstLine="567"/>
        <w:jc w:val="both"/>
      </w:pPr>
      <w:r>
        <w:rPr>
          <w:sz w:val="28"/>
          <w:szCs w:val="28"/>
        </w:rPr>
        <w:t>Изследването на McKenna и Bargh върху „демаргинализацията на идентичността“ показва, че хора с трудно споделяеми или обществено стигматизирани възгледи придават особено висока стойност на обратната връзка, получена от онлайн общности от единомишленици – по-висока, отколкото при общности, изградени около по-леко възприемани идентичности.</w:t>
      </w:r>
      <w:r w:rsidR="000F2837">
        <w:rPr>
          <w:sz w:val="28"/>
          <w:szCs w:val="28"/>
        </w:rPr>
        <w:t xml:space="preserve"> [3] </w:t>
      </w:r>
      <w:r>
        <w:rPr>
          <w:sz w:val="28"/>
          <w:szCs w:val="28"/>
        </w:rPr>
        <w:t xml:space="preserve">Тази динамика обяснява защо социалното одобрение в затворени онлайн общности може да действа като мощен фактор за </w:t>
      </w:r>
      <w:r>
        <w:rPr>
          <w:sz w:val="28"/>
          <w:szCs w:val="28"/>
        </w:rPr>
        <w:lastRenderedPageBreak/>
        <w:t>затвърждаване и радикализиране на първоначално периферни възгледи: обратната връзка идва предимно от хора, които вече споделят или дори надминават позицията на индивида, което води до постепенно изместване на нормативната референтна точка на групата.</w:t>
      </w:r>
    </w:p>
    <w:p w14:paraId="47A8441C" w14:textId="77777777" w:rsidR="00132F47" w:rsidRDefault="00000000">
      <w:pPr>
        <w:jc w:val="both"/>
      </w:pPr>
      <w:r>
        <w:rPr>
          <w:b/>
          <w:bCs/>
          <w:sz w:val="28"/>
          <w:szCs w:val="28"/>
        </w:rPr>
        <w:t>2.2. Търсене на значимост и радикализация</w:t>
      </w:r>
    </w:p>
    <w:p w14:paraId="1D49C3D6" w14:textId="6932F4B9" w:rsidR="00132F47" w:rsidRDefault="00000000">
      <w:pPr>
        <w:ind w:firstLine="567"/>
        <w:jc w:val="both"/>
      </w:pPr>
      <w:r>
        <w:rPr>
          <w:sz w:val="28"/>
          <w:szCs w:val="28"/>
        </w:rPr>
        <w:t xml:space="preserve">Друга влиятелна теоретична рамка, обясняваща индивидуалната мотивация за включване във високо ангажиращи или радикални общности, е т.нар. „модел на трите стълба“ </w:t>
      </w:r>
      <w:r w:rsidR="00F405F4">
        <w:rPr>
          <w:sz w:val="28"/>
          <w:szCs w:val="28"/>
          <w:lang w:val="bg-BG"/>
        </w:rPr>
        <w:t>-</w:t>
      </w:r>
      <w:r>
        <w:rPr>
          <w:sz w:val="28"/>
          <w:szCs w:val="28"/>
        </w:rPr>
        <w:t xml:space="preserve"> потребности (needs), наративи (narratives) и мрежи (networks)</w:t>
      </w:r>
      <w:r w:rsidR="000F2837">
        <w:rPr>
          <w:sz w:val="28"/>
          <w:szCs w:val="28"/>
        </w:rPr>
        <w:t>.</w:t>
      </w:r>
      <w:r>
        <w:rPr>
          <w:sz w:val="28"/>
          <w:szCs w:val="28"/>
        </w:rPr>
        <w:t xml:space="preserve"> [4] Според този модел радикализацията се задвижва от потребността на индивида от лична значимост – усещане, че животът му има цел и стойност – което го прави податлив на наративи, обясняващи загубата или заплахата за тази значимост и предлагащи радикален път за нейното възстановяване, при условие че съществува социална мрежа, която подкрепя и легитимира този път. Онлайн общностите могат да изпълняват едновременно и трите функции: предлагат наратив, осигуряват мрежа от съмишленици и позволяват на индивида да получи усещане за значимост чрез статус, признание или роля в общността, без това да изисква физическо присъствие или предварителна ангажираност.</w:t>
      </w:r>
    </w:p>
    <w:p w14:paraId="31EA9E2B" w14:textId="77777777" w:rsidR="00132F47" w:rsidRDefault="00000000">
      <w:pPr>
        <w:jc w:val="both"/>
      </w:pPr>
      <w:r>
        <w:rPr>
          <w:b/>
          <w:bCs/>
          <w:sz w:val="28"/>
          <w:szCs w:val="28"/>
        </w:rPr>
        <w:t>3. Механизми на трансформация на онлайн общностите</w:t>
      </w:r>
    </w:p>
    <w:p w14:paraId="10C29EA8" w14:textId="77777777" w:rsidR="00132F47" w:rsidRPr="000F2837" w:rsidRDefault="00000000">
      <w:pPr>
        <w:jc w:val="both"/>
        <w:rPr>
          <w:i/>
          <w:iCs/>
        </w:rPr>
      </w:pPr>
      <w:r w:rsidRPr="000F2837">
        <w:rPr>
          <w:i/>
          <w:iCs/>
          <w:sz w:val="28"/>
          <w:szCs w:val="28"/>
        </w:rPr>
        <w:t>3.1. Социално одобрение и групова поляризация</w:t>
      </w:r>
    </w:p>
    <w:p w14:paraId="154D4E01" w14:textId="11C47314" w:rsidR="00132F47" w:rsidRDefault="00000000">
      <w:pPr>
        <w:ind w:firstLine="567"/>
        <w:jc w:val="both"/>
      </w:pPr>
      <w:r>
        <w:rPr>
          <w:sz w:val="28"/>
          <w:szCs w:val="28"/>
        </w:rPr>
        <w:t>Радикализацията в рамките на дадена общност следва да се разбира не само като индивидуален, а преди всичко като колективен процес, вграден в динамиката на груповата идентичност</w:t>
      </w:r>
      <w:r w:rsidR="000F2837">
        <w:rPr>
          <w:sz w:val="28"/>
          <w:szCs w:val="28"/>
        </w:rPr>
        <w:t>.</w:t>
      </w:r>
      <w:r>
        <w:rPr>
          <w:sz w:val="28"/>
          <w:szCs w:val="28"/>
        </w:rPr>
        <w:t xml:space="preserve"> [5] Изследванията на груповата поляризация показват, че групи, чиито членове обсъждат помежду си въпрос, по който вече имат сходна изходна позиция, обикновено достигат до по-крайна колективна позиция от средната изходна позиция на отделните членове. В онлайн среда, където липсват невербалните сигнали, характерни за присъственото общуване, и където отсъствието на несъгласие с доминиращата позиция рядко бива забелязано или санкционирано, този ефект се засилва.</w:t>
      </w:r>
    </w:p>
    <w:p w14:paraId="51B62DF7" w14:textId="77777777" w:rsidR="00132F47" w:rsidRDefault="00000000">
      <w:pPr>
        <w:ind w:firstLine="567"/>
        <w:jc w:val="both"/>
      </w:pPr>
      <w:r>
        <w:rPr>
          <w:sz w:val="28"/>
          <w:szCs w:val="28"/>
        </w:rPr>
        <w:t>Моделът на социалната идентичност за деиндивидуализация (SIDE) предполага, че анонимността и груповата принадлежност в дигитална среда засилват, а не отслабват груповите норми. Членовете на затворена онлайн общност, които изразяват позиции в съответствие с доминиращата групова норма, получават социално одобрение, докато несъгласието или умереността срещат мълчание, критика или изключване, с което границите на приемливото постепенно се изместват.</w:t>
      </w:r>
    </w:p>
    <w:p w14:paraId="550E4002" w14:textId="77777777" w:rsidR="00132F47" w:rsidRPr="00A23689" w:rsidRDefault="00000000">
      <w:pPr>
        <w:jc w:val="both"/>
        <w:rPr>
          <w:i/>
          <w:iCs/>
        </w:rPr>
      </w:pPr>
      <w:r w:rsidRPr="00A23689">
        <w:rPr>
          <w:i/>
          <w:iCs/>
          <w:sz w:val="28"/>
          <w:szCs w:val="28"/>
        </w:rPr>
        <w:t>3.2. Алгоритмично посредничество: между хипотезата за „ехо камерата“ и по-сложната емпирична картина</w:t>
      </w:r>
    </w:p>
    <w:p w14:paraId="1EBA806B" w14:textId="4424FD9D" w:rsidR="00132F47" w:rsidRDefault="00000000">
      <w:pPr>
        <w:ind w:firstLine="567"/>
        <w:jc w:val="both"/>
      </w:pPr>
      <w:r>
        <w:rPr>
          <w:sz w:val="28"/>
          <w:szCs w:val="28"/>
        </w:rPr>
        <w:t>Хипотезата за „филтърния балон“</w:t>
      </w:r>
      <w:r w:rsidR="000F2837">
        <w:rPr>
          <w:sz w:val="28"/>
          <w:szCs w:val="28"/>
        </w:rPr>
        <w:t xml:space="preserve"> </w:t>
      </w:r>
      <w:r>
        <w:rPr>
          <w:sz w:val="28"/>
          <w:szCs w:val="28"/>
        </w:rPr>
        <w:t xml:space="preserve">и по-ранната концепция за „ехо камерата“ твърдят, че персонализираните алгоритми за препоръчване изолират потребителите в еднородна информационна среда, съответстваща на вече изразените им предпочитания. </w:t>
      </w:r>
      <w:r w:rsidR="000F2837">
        <w:rPr>
          <w:sz w:val="28"/>
          <w:szCs w:val="28"/>
        </w:rPr>
        <w:t xml:space="preserve">[6, 7] </w:t>
      </w:r>
      <w:r>
        <w:rPr>
          <w:sz w:val="28"/>
          <w:szCs w:val="28"/>
        </w:rPr>
        <w:t xml:space="preserve">В контекста на радикализацията тази теза често се свързва с ефекта на „заешката дупка“ </w:t>
      </w:r>
      <w:r w:rsidR="00F405F4">
        <w:rPr>
          <w:sz w:val="28"/>
          <w:szCs w:val="28"/>
          <w:lang w:val="bg-BG"/>
        </w:rPr>
        <w:t>-</w:t>
      </w:r>
      <w:r>
        <w:rPr>
          <w:sz w:val="28"/>
          <w:szCs w:val="28"/>
        </w:rPr>
        <w:t xml:space="preserve"> хипотезата, че алгоритмите на платформи като YouTube насочват потребителите към все по-крайно съдържание.</w:t>
      </w:r>
    </w:p>
    <w:p w14:paraId="73DD4DBA" w14:textId="42C366B5" w:rsidR="00132F47" w:rsidRDefault="00000000">
      <w:pPr>
        <w:ind w:firstLine="567"/>
        <w:jc w:val="both"/>
      </w:pPr>
      <w:r>
        <w:rPr>
          <w:sz w:val="28"/>
          <w:szCs w:val="28"/>
        </w:rPr>
        <w:lastRenderedPageBreak/>
        <w:t>По-новите емпирични изследвания обаче предлагат по-нюансирана картина</w:t>
      </w:r>
      <w:r w:rsidR="000F2837">
        <w:rPr>
          <w:sz w:val="28"/>
          <w:szCs w:val="28"/>
        </w:rPr>
        <w:t>.</w:t>
      </w:r>
      <w:r>
        <w:rPr>
          <w:sz w:val="28"/>
          <w:szCs w:val="28"/>
        </w:rPr>
        <w:t xml:space="preserve"> YouTube алгоритъмът по-скоро благоприятства масовото медийно съдържание, отколкото независимите крайни канали.</w:t>
      </w:r>
      <w:r w:rsidR="000F2837" w:rsidRPr="000F2837">
        <w:rPr>
          <w:sz w:val="28"/>
          <w:szCs w:val="28"/>
        </w:rPr>
        <w:t xml:space="preserve"> </w:t>
      </w:r>
      <w:r w:rsidR="000F2837">
        <w:rPr>
          <w:sz w:val="28"/>
          <w:szCs w:val="28"/>
        </w:rPr>
        <w:t xml:space="preserve">[8] </w:t>
      </w:r>
      <w:r>
        <w:rPr>
          <w:sz w:val="28"/>
          <w:szCs w:val="28"/>
        </w:rPr>
        <w:t xml:space="preserve"> </w:t>
      </w:r>
      <w:r w:rsidR="000F2837">
        <w:rPr>
          <w:sz w:val="28"/>
          <w:szCs w:val="28"/>
        </w:rPr>
        <w:t>E</w:t>
      </w:r>
      <w:r>
        <w:rPr>
          <w:sz w:val="28"/>
          <w:szCs w:val="28"/>
        </w:rPr>
        <w:t>кспозицията на алтернативно и екстремистко съдържание е силно концентрирана сред малка група потребители с изходно високо ниво на негодувание, които съзнателно се абонират за такива канали или достигат до тях чрез външни връзки, а не предимно чрез алгоритмични препоръки.</w:t>
      </w:r>
      <w:r w:rsidR="000F2837">
        <w:rPr>
          <w:sz w:val="28"/>
          <w:szCs w:val="28"/>
        </w:rPr>
        <w:t xml:space="preserve"> [9] </w:t>
      </w:r>
      <w:r>
        <w:rPr>
          <w:sz w:val="28"/>
          <w:szCs w:val="28"/>
        </w:rPr>
        <w:t>Платформите обаче продължават да играят роля, тъй като хостват и разпространяват безплатно това съдържание сред вече заинтересовани потребители.</w:t>
      </w:r>
    </w:p>
    <w:p w14:paraId="0BFBD601" w14:textId="77777777" w:rsidR="00132F47" w:rsidRDefault="00000000">
      <w:pPr>
        <w:ind w:firstLine="567"/>
        <w:jc w:val="both"/>
      </w:pPr>
      <w:r>
        <w:rPr>
          <w:sz w:val="28"/>
          <w:szCs w:val="28"/>
        </w:rPr>
        <w:t>Алгоритмичното посредничество е по-подходящо да се разглежда не като първопричина за радикализация, а като структурен фактор, който улеснява откриваемостта на подобни общности за вече предразположени индивиди и ускорява миграцията им към по-слабо модерирани алтернативни платформи след премахване на съдържание.</w:t>
      </w:r>
    </w:p>
    <w:p w14:paraId="574D9A89" w14:textId="77777777" w:rsidR="00132F47" w:rsidRPr="00A23689" w:rsidRDefault="00000000">
      <w:pPr>
        <w:jc w:val="both"/>
        <w:rPr>
          <w:i/>
          <w:iCs/>
        </w:rPr>
      </w:pPr>
      <w:r w:rsidRPr="00A23689">
        <w:rPr>
          <w:i/>
          <w:iCs/>
          <w:sz w:val="28"/>
          <w:szCs w:val="28"/>
        </w:rPr>
        <w:t>3.3. Изграждане на противопоставянето „ние срещу тях“</w:t>
      </w:r>
    </w:p>
    <w:p w14:paraId="572E601F" w14:textId="365B1E7E" w:rsidR="00132F47" w:rsidRDefault="00000000">
      <w:pPr>
        <w:ind w:firstLine="567"/>
        <w:jc w:val="both"/>
      </w:pPr>
      <w:r>
        <w:rPr>
          <w:sz w:val="28"/>
          <w:szCs w:val="28"/>
        </w:rPr>
        <w:t>Груповата идентичност се стабилизира и задълбочава чрез очертаване на ясен противник. Концепцията за „конститутивното външно“ на политическата идентичност и класическото разграничение „приятел – враг“ описват как политическите идентичности се укрепват именно чрез разпознаването на противопоставяща сила.</w:t>
      </w:r>
      <w:r w:rsidR="00A23689">
        <w:rPr>
          <w:sz w:val="28"/>
          <w:szCs w:val="28"/>
        </w:rPr>
        <w:t xml:space="preserve"> [10] </w:t>
      </w:r>
      <w:r>
        <w:rPr>
          <w:sz w:val="28"/>
          <w:szCs w:val="28"/>
        </w:rPr>
        <w:t>В по-крайните форми на групова принадлежност теорията за „сливането на идентичността“ предполага, че границата между личната и груповата идентичност на практика се размива, което увеличава готовността на индивида за лична саможертва в защита на групата. В онлайн общности тази динамика се подхранва от постоянното представяне на „другата страна“ като заплаха, а не просто като опонент.</w:t>
      </w:r>
    </w:p>
    <w:p w14:paraId="292A63BF" w14:textId="77777777" w:rsidR="00132F47" w:rsidRDefault="00000000">
      <w:pPr>
        <w:jc w:val="both"/>
      </w:pPr>
      <w:r>
        <w:rPr>
          <w:b/>
          <w:bCs/>
          <w:sz w:val="28"/>
          <w:szCs w:val="28"/>
        </w:rPr>
        <w:t>4. От радикално мнение към радикално действие</w:t>
      </w:r>
    </w:p>
    <w:p w14:paraId="5A417219" w14:textId="134D3785" w:rsidR="00132F47" w:rsidRPr="00A23689" w:rsidRDefault="00000000">
      <w:pPr>
        <w:ind w:firstLine="567"/>
        <w:jc w:val="both"/>
        <w:rPr>
          <w:lang w:val="bg-BG"/>
        </w:rPr>
      </w:pPr>
      <w:r>
        <w:rPr>
          <w:sz w:val="28"/>
          <w:szCs w:val="28"/>
        </w:rPr>
        <w:t xml:space="preserve">За целите на оценката на риска е необходимо разграничение между радикализация на мнението и радикализация на действието. Моделът на „двете пирамиди“ на McCauley и Moskalenko [11] разглежда тези два процеса като психологически различни, всеки представен от собствена пирамида с нарастващи степени на ангажираност – от неутралност до лично усещане за морално задължение за действие в „пирамидата на мнението“, и от пасивност до радикално действие и тероризъм в „пирамидата на действието“. Авторите подчертават, че по-голямата част от хората с радикални възгледи никога не преминават към насилствено действие, докато отделни случаи на насилие се извършват от лица без предварително изградена радикална идеология. </w:t>
      </w:r>
      <w:r w:rsidR="00A23689">
        <w:rPr>
          <w:sz w:val="28"/>
          <w:szCs w:val="28"/>
          <w:lang w:val="bg-BG"/>
        </w:rPr>
        <w:t xml:space="preserve">Изследването </w:t>
      </w:r>
      <w:r>
        <w:rPr>
          <w:sz w:val="28"/>
          <w:szCs w:val="28"/>
        </w:rPr>
        <w:t xml:space="preserve">илюстрира тази теза с анализ на </w:t>
      </w:r>
      <w:r w:rsidR="00A23689">
        <w:rPr>
          <w:sz w:val="28"/>
          <w:szCs w:val="28"/>
          <w:lang w:val="bg-BG"/>
        </w:rPr>
        <w:t xml:space="preserve">движението </w:t>
      </w:r>
      <w:r>
        <w:rPr>
          <w:sz w:val="28"/>
          <w:szCs w:val="28"/>
        </w:rPr>
        <w:t>QAnon в САЩ, като предупреждава срещу политики, третиращи цялото „мнение“ като заплаха, тъй като това може да задълбочи усещането за преследване и да увеличи</w:t>
      </w:r>
      <w:r w:rsidR="00A23689">
        <w:rPr>
          <w:sz w:val="28"/>
          <w:szCs w:val="28"/>
          <w:lang w:val="bg-BG"/>
        </w:rPr>
        <w:t xml:space="preserve"> </w:t>
      </w:r>
      <w:r>
        <w:rPr>
          <w:sz w:val="28"/>
          <w:szCs w:val="28"/>
        </w:rPr>
        <w:t>риска.</w:t>
      </w:r>
      <w:r w:rsidR="00A23689">
        <w:rPr>
          <w:sz w:val="28"/>
          <w:szCs w:val="28"/>
          <w:lang w:val="bg-BG"/>
        </w:rPr>
        <w:t xml:space="preserve"> </w:t>
      </w:r>
      <w:r w:rsidR="00A23689">
        <w:rPr>
          <w:sz w:val="28"/>
          <w:szCs w:val="28"/>
        </w:rPr>
        <w:t>[12]</w:t>
      </w:r>
    </w:p>
    <w:p w14:paraId="1BC30F83" w14:textId="77777777" w:rsidR="00132F47" w:rsidRDefault="00000000">
      <w:pPr>
        <w:ind w:firstLine="567"/>
        <w:jc w:val="both"/>
      </w:pPr>
      <w:r>
        <w:rPr>
          <w:sz w:val="28"/>
          <w:szCs w:val="28"/>
        </w:rPr>
        <w:t xml:space="preserve">Свързан модел е „стълбището към тероризма“ на Moghaddam [13], който описва постепенно стеснение на възприеманите алтернативи и морално освобождаване от отговорност, водещо индивида през все по-ограничен избор до насилствен акт. И двата модела подчертават нелинейния характер на прехода от мнение към действие: механизмите за ранно </w:t>
      </w:r>
      <w:r>
        <w:rPr>
          <w:sz w:val="28"/>
          <w:szCs w:val="28"/>
        </w:rPr>
        <w:lastRenderedPageBreak/>
        <w:t>предупреждение следва да разграничават мониторинга на екстремистки нагласи от конкретните индикатори за подготовка на насилствено действие, за да се избегне както подценяване на риска, така и прекомерна секюритизация на легитимно изразяване на мнение.</w:t>
      </w:r>
    </w:p>
    <w:p w14:paraId="2536D3AE" w14:textId="77777777" w:rsidR="00132F47" w:rsidRDefault="00000000">
      <w:pPr>
        <w:jc w:val="both"/>
      </w:pPr>
      <w:r>
        <w:rPr>
          <w:b/>
          <w:bCs/>
          <w:sz w:val="28"/>
          <w:szCs w:val="28"/>
        </w:rPr>
        <w:t>5. Институционална ерозия и афективна поляризация като благоприятстваща среда</w:t>
      </w:r>
    </w:p>
    <w:p w14:paraId="436391CD" w14:textId="30FA235B" w:rsidR="00132F47" w:rsidRDefault="00000000">
      <w:pPr>
        <w:ind w:firstLine="567"/>
        <w:jc w:val="both"/>
      </w:pPr>
      <w:r>
        <w:rPr>
          <w:sz w:val="28"/>
          <w:szCs w:val="28"/>
        </w:rPr>
        <w:t xml:space="preserve">Радикализиращите се онлайн общности не съществуват изолирано от по-широкия обществено-политически контекст. Изследванията на т.нар. „афективна поляризация“ </w:t>
      </w:r>
      <w:r w:rsidR="00F405F4">
        <w:rPr>
          <w:sz w:val="28"/>
          <w:szCs w:val="28"/>
          <w:lang w:val="bg-BG"/>
        </w:rPr>
        <w:t>-</w:t>
      </w:r>
      <w:r>
        <w:rPr>
          <w:sz w:val="28"/>
          <w:szCs w:val="28"/>
        </w:rPr>
        <w:t xml:space="preserve"> тенденцията привържениците на дадена позиция да изпитват все по-силна неприязън към опонентите си </w:t>
      </w:r>
      <w:r w:rsidR="00F405F4">
        <w:rPr>
          <w:sz w:val="28"/>
          <w:szCs w:val="28"/>
          <w:lang w:val="bg-BG"/>
        </w:rPr>
        <w:t>-</w:t>
      </w:r>
      <w:r>
        <w:rPr>
          <w:sz w:val="28"/>
          <w:szCs w:val="28"/>
        </w:rPr>
        <w:t xml:space="preserve"> показват, че тя подкопава подкрепата за демократичните норми и отслабва механизмите за взаимен контрол между институциите.</w:t>
      </w:r>
      <w:r w:rsidR="00A23689" w:rsidRPr="00A23689">
        <w:rPr>
          <w:sz w:val="28"/>
          <w:szCs w:val="28"/>
        </w:rPr>
        <w:t xml:space="preserve"> </w:t>
      </w:r>
      <w:r w:rsidR="00A23689">
        <w:rPr>
          <w:sz w:val="28"/>
          <w:szCs w:val="28"/>
        </w:rPr>
        <w:t xml:space="preserve">[14] </w:t>
      </w:r>
      <w:r>
        <w:rPr>
          <w:sz w:val="28"/>
          <w:szCs w:val="28"/>
        </w:rPr>
        <w:t xml:space="preserve"> Levitsky и Ziblatt документират как ерозията на неписаните норми на политическа търпимост може постепенно да отслаби устойчивостта на демократичните системи дори при формално запазени институции.</w:t>
      </w:r>
      <w:r w:rsidR="00A23689" w:rsidRPr="00A23689">
        <w:rPr>
          <w:sz w:val="28"/>
          <w:szCs w:val="28"/>
        </w:rPr>
        <w:t xml:space="preserve"> </w:t>
      </w:r>
      <w:r w:rsidR="00A23689">
        <w:rPr>
          <w:sz w:val="28"/>
          <w:szCs w:val="28"/>
        </w:rPr>
        <w:t xml:space="preserve">[15] </w:t>
      </w:r>
      <w:r>
        <w:rPr>
          <w:sz w:val="28"/>
          <w:szCs w:val="28"/>
        </w:rPr>
        <w:t xml:space="preserve"> Когато доверието в институциите спадне сред членовете на определена онлайн общност, те започват да се възприемат не просто като несъвършени, а като нелегитимни или „противникови“, което премахва моралната бариера пред радикални форми на протест и „самоправосъдие“.</w:t>
      </w:r>
    </w:p>
    <w:p w14:paraId="5DDD4C46" w14:textId="77777777" w:rsidR="00132F47" w:rsidRDefault="00000000">
      <w:pPr>
        <w:ind w:firstLine="567"/>
        <w:jc w:val="both"/>
      </w:pPr>
      <w:r>
        <w:rPr>
          <w:sz w:val="28"/>
          <w:szCs w:val="28"/>
        </w:rPr>
        <w:t>Тази динамика създава затворен цикъл: недоверието в институциите засилва привлекателността на алтернативни онлайн общности; засиленото социално одобрение в тях задълбочава недоверието; а задълбоченото недоверие прави индивидите по-малко склонни да сътрудничат с официалните органи дори при опити за деескалация. Публично документирани събития, като щурма на Капитолия във Вашингтон на 6 януари 2021 г., илюстрират как онлайн мобилизирани общности могат да преминат към пряка конфронтация с държавни институции.</w:t>
      </w:r>
    </w:p>
    <w:p w14:paraId="0DC3FB5D" w14:textId="77777777" w:rsidR="00132F47" w:rsidRDefault="00000000">
      <w:pPr>
        <w:jc w:val="both"/>
      </w:pPr>
      <w:r>
        <w:rPr>
          <w:b/>
          <w:bCs/>
          <w:sz w:val="28"/>
          <w:szCs w:val="28"/>
        </w:rPr>
        <w:t>6. Оценка на риска за националната сигурност</w:t>
      </w:r>
    </w:p>
    <w:p w14:paraId="328EE1C6" w14:textId="672B4B34" w:rsidR="00132F47" w:rsidRDefault="00000000">
      <w:pPr>
        <w:ind w:firstLine="567"/>
        <w:jc w:val="both"/>
      </w:pPr>
      <w:r>
        <w:rPr>
          <w:sz w:val="28"/>
          <w:szCs w:val="28"/>
        </w:rPr>
        <w:t>В рамките на разширената концепция за сигурност, разработена от т.нар. Копенхагенска школа [16], обществената сигурност</w:t>
      </w:r>
      <w:r w:rsidR="00F405F4">
        <w:rPr>
          <w:sz w:val="28"/>
          <w:szCs w:val="28"/>
          <w:lang w:val="bg-BG"/>
        </w:rPr>
        <w:t>,</w:t>
      </w:r>
      <w:r>
        <w:rPr>
          <w:sz w:val="28"/>
          <w:szCs w:val="28"/>
        </w:rPr>
        <w:t xml:space="preserve"> разбирана като устойчивост на колективната идентичност и сближаване на дадено общество</w:t>
      </w:r>
      <w:r w:rsidR="00F405F4">
        <w:rPr>
          <w:sz w:val="28"/>
          <w:szCs w:val="28"/>
          <w:lang w:val="bg-BG"/>
        </w:rPr>
        <w:t>,</w:t>
      </w:r>
      <w:r>
        <w:rPr>
          <w:sz w:val="28"/>
          <w:szCs w:val="28"/>
        </w:rPr>
        <w:t xml:space="preserve"> е самостоятелен сектор на анализ, паралелен на военния, политическия, икономическия и екологичния сектор. Трансформацията на онлайн общности в среди за радикализация засяга именно този сектор, но с преки последици и за останалите.</w:t>
      </w:r>
    </w:p>
    <w:p w14:paraId="2E782B3E" w14:textId="702C253F" w:rsidR="00132F47" w:rsidRDefault="00000000">
      <w:pPr>
        <w:ind w:firstLine="567"/>
        <w:jc w:val="both"/>
      </w:pPr>
      <w:r>
        <w:rPr>
          <w:sz w:val="28"/>
          <w:szCs w:val="28"/>
        </w:rPr>
        <w:t xml:space="preserve">Могат да бъдат откроени най-малко три взаимосвързани категории риск. Първо, риск от насилствени действия, извършени от самостоятелно радикализирали се лица или малки групи </w:t>
      </w:r>
      <w:r w:rsidR="00F405F4">
        <w:rPr>
          <w:sz w:val="28"/>
          <w:szCs w:val="28"/>
          <w:lang w:val="bg-BG"/>
        </w:rPr>
        <w:t>-</w:t>
      </w:r>
      <w:r>
        <w:rPr>
          <w:sz w:val="28"/>
          <w:szCs w:val="28"/>
        </w:rPr>
        <w:t xml:space="preserve"> феномен, който по дефиниция е труден за откриване чрез традиционни методи за наблюдение поради ограничената или липсваща организационна структура и комуникация извън затворената онлайн общност. Второ, риск за социалното сближаване и демократичната устойчивост на обществото като цяло, произтичащ от задълбочаването на поляризацията и ерозията на институционалното доверие, дори при отсъствие на пряко насилие. Трето, риск от експлоатация на вече поляризирани онлайн общности от външни враждебни участници в рамките на хибридни или дезинформационни кампании, насочени към </w:t>
      </w:r>
      <w:r>
        <w:rPr>
          <w:sz w:val="28"/>
          <w:szCs w:val="28"/>
        </w:rPr>
        <w:lastRenderedPageBreak/>
        <w:t>задълбочаване на съществуващи обществени разделения с цел отслабване на способността на държавата за колективна реакция при криза.</w:t>
      </w:r>
    </w:p>
    <w:p w14:paraId="531FB9D9" w14:textId="77777777" w:rsidR="00132F47" w:rsidRDefault="00000000">
      <w:pPr>
        <w:ind w:firstLine="567"/>
        <w:jc w:val="both"/>
      </w:pPr>
      <w:r>
        <w:rPr>
          <w:sz w:val="28"/>
          <w:szCs w:val="28"/>
        </w:rPr>
        <w:t>Оценката на този комплексен риск изисква съчетаване на количествен мониторинг на отворени източници (OSINT) с качествена експертна оценка на наративите и груповата динамика, балансирани със зачитане на свободата на изразяване и защитата на личните данни, тъй като прекомерно широкото дефиниране на „риск“ носи собствени рискове – от стигматизиране на легитимни позиции до подкопаване на доверието в институциите за сигурност.</w:t>
      </w:r>
    </w:p>
    <w:p w14:paraId="032988E3" w14:textId="77777777" w:rsidR="00132F47" w:rsidRDefault="00000000">
      <w:pPr>
        <w:jc w:val="both"/>
      </w:pPr>
      <w:r>
        <w:rPr>
          <w:b/>
          <w:bCs/>
          <w:sz w:val="28"/>
          <w:szCs w:val="28"/>
        </w:rPr>
        <w:t>7. Насоки за противодействие</w:t>
      </w:r>
    </w:p>
    <w:p w14:paraId="6B7511C7" w14:textId="0900972D" w:rsidR="00132F47" w:rsidRDefault="00000000">
      <w:pPr>
        <w:ind w:firstLine="567"/>
        <w:jc w:val="both"/>
      </w:pPr>
      <w:r>
        <w:rPr>
          <w:sz w:val="28"/>
          <w:szCs w:val="28"/>
        </w:rPr>
        <w:t xml:space="preserve">Ефективното противодействие изисква мерки на няколко нива. На регулаторно ниво, актове като Регламента за цифровите услуги на Европейския съюз въвеждат задължения за платформите за по-голяма прозрачност на алгоритмите за препоръчване, механизми за докладване на незаконно съдържание и засилена отчетност </w:t>
      </w:r>
      <w:r w:rsidR="00F405F4">
        <w:rPr>
          <w:sz w:val="28"/>
          <w:szCs w:val="28"/>
          <w:lang w:val="bg-BG"/>
        </w:rPr>
        <w:t>-</w:t>
      </w:r>
      <w:r>
        <w:rPr>
          <w:sz w:val="28"/>
          <w:szCs w:val="28"/>
        </w:rPr>
        <w:t xml:space="preserve"> мерки, които увеличават възможностите за независим анализ. </w:t>
      </w:r>
      <w:r w:rsidR="00A23689">
        <w:rPr>
          <w:sz w:val="28"/>
          <w:szCs w:val="28"/>
        </w:rPr>
        <w:t xml:space="preserve">[17] </w:t>
      </w:r>
      <w:r>
        <w:rPr>
          <w:sz w:val="28"/>
          <w:szCs w:val="28"/>
        </w:rPr>
        <w:t>На ниво обмен на добри практики, мрежи като Мрежата на ЕС за осведоменост по въпросите на радикализацията (RAN) подпомагат обмена на опит между държавите членки в областта на превенцията и деескалацията.</w:t>
      </w:r>
    </w:p>
    <w:p w14:paraId="0537EAAC" w14:textId="5AD32F5D" w:rsidR="00132F47" w:rsidRDefault="00000000">
      <w:pPr>
        <w:ind w:firstLine="567"/>
        <w:jc w:val="both"/>
      </w:pPr>
      <w:r>
        <w:rPr>
          <w:sz w:val="28"/>
          <w:szCs w:val="28"/>
        </w:rPr>
        <w:t xml:space="preserve">На образователно ниво, изграждането на медийна и дигитална грамотност </w:t>
      </w:r>
      <w:r w:rsidR="00F405F4">
        <w:rPr>
          <w:sz w:val="28"/>
          <w:szCs w:val="28"/>
          <w:lang w:val="bg-BG"/>
        </w:rPr>
        <w:t>-</w:t>
      </w:r>
      <w:r>
        <w:rPr>
          <w:sz w:val="28"/>
          <w:szCs w:val="28"/>
        </w:rPr>
        <w:t xml:space="preserve"> критично оценяване на източници, разпознаване на манипулативни наративи и разбиране на алгоритмичното препоръчване </w:t>
      </w:r>
      <w:r w:rsidR="00F405F4">
        <w:rPr>
          <w:sz w:val="28"/>
          <w:szCs w:val="28"/>
          <w:lang w:val="bg-BG"/>
        </w:rPr>
        <w:t>-</w:t>
      </w:r>
      <w:r>
        <w:rPr>
          <w:sz w:val="28"/>
          <w:szCs w:val="28"/>
        </w:rPr>
        <w:t xml:space="preserve"> е дългосрочна превантивна мярка срещу податливостта към радикализиращи наративи. На ниво пряка интервенция, програмите за напускане на радикализирана общност, разработени с бивши участници, показват по-висока ефективност от директното забраняване на съдържание, тъй като адресират психологическата потребност от принадлежност и значимост, а не само видимите </w:t>
      </w:r>
      <w:r w:rsidR="00624C0C">
        <w:rPr>
          <w:sz w:val="28"/>
          <w:szCs w:val="28"/>
          <w:lang w:val="bg-BG"/>
        </w:rPr>
        <w:t>й</w:t>
      </w:r>
      <w:r>
        <w:rPr>
          <w:sz w:val="28"/>
          <w:szCs w:val="28"/>
        </w:rPr>
        <w:t xml:space="preserve"> прояви.</w:t>
      </w:r>
    </w:p>
    <w:p w14:paraId="4D3277C3" w14:textId="51010663" w:rsidR="00132F47" w:rsidRDefault="00000000">
      <w:pPr>
        <w:ind w:firstLine="567"/>
        <w:jc w:val="both"/>
      </w:pPr>
      <w:r>
        <w:rPr>
          <w:sz w:val="28"/>
          <w:szCs w:val="28"/>
        </w:rPr>
        <w:t xml:space="preserve">Накрая, но не на последно място, възстановяването и поддържането на институционалното доверие чрез прозрачност, отчетност и последователност в комуникацията на органите за сигурност и другите държавни институции </w:t>
      </w:r>
      <w:r w:rsidR="00F405F4">
        <w:rPr>
          <w:sz w:val="28"/>
          <w:szCs w:val="28"/>
          <w:lang w:val="bg-BG"/>
        </w:rPr>
        <w:t>-</w:t>
      </w:r>
      <w:r>
        <w:rPr>
          <w:sz w:val="28"/>
          <w:szCs w:val="28"/>
        </w:rPr>
        <w:t xml:space="preserve"> остава структурна предпоставка за намаляване на привлекателността на наративите за институционална нелегитимност, които подхранват радикализацията. Мерките за противодействие следва да разграничават реакцията спрямо радикализация на мнение от тази спрямо радикализация на действие, за да не се допусне контрапродуктивен ефект на прекомерна секюритизация на легитимно обществено недоволство.</w:t>
      </w:r>
    </w:p>
    <w:p w14:paraId="24296549" w14:textId="52730043" w:rsidR="00132F47" w:rsidRDefault="00000000">
      <w:pPr>
        <w:jc w:val="both"/>
      </w:pPr>
      <w:r>
        <w:rPr>
          <w:b/>
          <w:bCs/>
          <w:sz w:val="28"/>
          <w:szCs w:val="28"/>
        </w:rPr>
        <w:t>Заключение</w:t>
      </w:r>
    </w:p>
    <w:p w14:paraId="631F5525" w14:textId="77777777" w:rsidR="00132F47" w:rsidRDefault="00000000">
      <w:pPr>
        <w:ind w:firstLine="567"/>
        <w:jc w:val="both"/>
      </w:pPr>
      <w:r>
        <w:rPr>
          <w:sz w:val="28"/>
          <w:szCs w:val="28"/>
        </w:rPr>
        <w:t xml:space="preserve">Трансформацията на онлайн общности в среди, благоприятстващи радикализация, е сложен, многофакторен и нелинеен процес, в основата на който стоят психологическата потребност от принадлежност и социално одобрение, технологичните характеристики на платформите за препоръчване на съдържание и по-широките обществено-политически процеси на поляризация и институционална ерозия. Настоящият анализ показва, че макар алгоритмичното посредничество да не следва да се разглежда като единствена или дори основна причина за радикализация, то </w:t>
      </w:r>
      <w:r>
        <w:rPr>
          <w:sz w:val="28"/>
          <w:szCs w:val="28"/>
        </w:rPr>
        <w:lastRenderedPageBreak/>
        <w:t>действа като структурен катализатор, който улеснява откриваемостта, ускорява темпото на експозиция и подпомага затварянето на общността спрямо външни гледни точки. Същевременно разграничението между радикализация на мнение и радикализация на действие остава ключово за адекватната оценка на риска и за избягване на контрапродуктивна свръхреакция.</w:t>
      </w:r>
    </w:p>
    <w:p w14:paraId="44124C0D" w14:textId="77777777" w:rsidR="00132F47" w:rsidRDefault="00000000">
      <w:pPr>
        <w:ind w:firstLine="567"/>
        <w:jc w:val="both"/>
      </w:pPr>
      <w:r>
        <w:rPr>
          <w:sz w:val="28"/>
          <w:szCs w:val="28"/>
        </w:rPr>
        <w:t>От гледна точка на националната сигурност посочените процеси представляват реален, макар и труден за прецизно измерване риск, който засяга едновременно обществената сигурност в тесен смисъл и по-широката устойчивост на демократичните институции. Ефективното управление на този риск изисква интегриран подход, съчетаващ регулаторни мерки към онлайн платформите, укрепване на медийната грамотност, целенасочени програми за деескалация и, не на последно място, последователни усилия за възстановяване на институционалното доверие – структурна предпоставка, без която технологичните и комуникационните мерки трудно биха постигнали траен ефект.</w:t>
      </w:r>
    </w:p>
    <w:p w14:paraId="0CFC5FE0" w14:textId="77777777" w:rsidR="00132F47" w:rsidRDefault="00132F47"/>
    <w:p w14:paraId="38E76EE4" w14:textId="77777777" w:rsidR="00132F47" w:rsidRDefault="00132F47"/>
    <w:p w14:paraId="21960576" w14:textId="77777777" w:rsidR="00132F47" w:rsidRDefault="00000000">
      <w:pPr>
        <w:jc w:val="both"/>
      </w:pPr>
      <w:r>
        <w:rPr>
          <w:b/>
          <w:bCs/>
          <w:sz w:val="28"/>
          <w:szCs w:val="28"/>
        </w:rPr>
        <w:t>БЕЛЕЖКИ:</w:t>
      </w:r>
    </w:p>
    <w:p w14:paraId="135C312C" w14:textId="77777777" w:rsidR="00132F47" w:rsidRDefault="00000000">
      <w:pPr>
        <w:ind w:firstLine="567"/>
        <w:jc w:val="both"/>
      </w:pPr>
      <w:r>
        <w:rPr>
          <w:sz w:val="28"/>
          <w:szCs w:val="28"/>
        </w:rPr>
        <w:t xml:space="preserve">[1] BORUM, Randy. Radicalization into violent extremism I: A review of social science theories. </w:t>
      </w:r>
      <w:r>
        <w:rPr>
          <w:i/>
          <w:iCs/>
          <w:sz w:val="28"/>
          <w:szCs w:val="28"/>
        </w:rPr>
        <w:t>Journal of Strategic Security</w:t>
      </w:r>
      <w:r>
        <w:rPr>
          <w:sz w:val="28"/>
          <w:szCs w:val="28"/>
        </w:rPr>
        <w:t>, vol. 4 (2011), no. 4, pp. 7–36.</w:t>
      </w:r>
    </w:p>
    <w:p w14:paraId="52D72C64" w14:textId="77777777" w:rsidR="00132F47" w:rsidRDefault="00000000">
      <w:pPr>
        <w:ind w:firstLine="567"/>
        <w:jc w:val="both"/>
      </w:pPr>
      <w:r>
        <w:rPr>
          <w:sz w:val="28"/>
          <w:szCs w:val="28"/>
        </w:rPr>
        <w:t xml:space="preserve">[2] TAJFEL, Henri and John C. TURNER. An integrative theory of intergroup conflict. In: AUSTIN, W. G. and S. WORCHEL (eds.). </w:t>
      </w:r>
      <w:r>
        <w:rPr>
          <w:i/>
          <w:iCs/>
          <w:sz w:val="28"/>
          <w:szCs w:val="28"/>
        </w:rPr>
        <w:t>The Social Psychology of Intergroup Relations</w:t>
      </w:r>
      <w:r>
        <w:rPr>
          <w:sz w:val="28"/>
          <w:szCs w:val="28"/>
        </w:rPr>
        <w:t>, pp. 33–47. Monterey, CA: Brooks/Cole, 1979.</w:t>
      </w:r>
    </w:p>
    <w:p w14:paraId="23CED624" w14:textId="77777777" w:rsidR="00132F47" w:rsidRDefault="00000000">
      <w:pPr>
        <w:ind w:firstLine="567"/>
        <w:jc w:val="both"/>
      </w:pPr>
      <w:r>
        <w:rPr>
          <w:sz w:val="28"/>
          <w:szCs w:val="28"/>
        </w:rPr>
        <w:t xml:space="preserve">[3] McKENNA, Katelyn Y. A. and John A. BARGH. Coming out in the age of the Internet: Identity “demarginalization” through virtual group participation. </w:t>
      </w:r>
      <w:r>
        <w:rPr>
          <w:i/>
          <w:iCs/>
          <w:sz w:val="28"/>
          <w:szCs w:val="28"/>
        </w:rPr>
        <w:t>Journal of Personality and Social Psychology</w:t>
      </w:r>
      <w:r>
        <w:rPr>
          <w:sz w:val="28"/>
          <w:szCs w:val="28"/>
        </w:rPr>
        <w:t>, vol. 75 (1998), no. 3, pp. 681–694.</w:t>
      </w:r>
    </w:p>
    <w:p w14:paraId="50F9E670" w14:textId="77777777" w:rsidR="00132F47" w:rsidRDefault="00000000">
      <w:pPr>
        <w:ind w:firstLine="567"/>
        <w:jc w:val="both"/>
      </w:pPr>
      <w:r>
        <w:rPr>
          <w:sz w:val="28"/>
          <w:szCs w:val="28"/>
        </w:rPr>
        <w:t xml:space="preserve">[4] KRUGLANSKI, Arie W., Jocelyn J. BÉLANGER and Rohan GUNARATNA. </w:t>
      </w:r>
      <w:r>
        <w:rPr>
          <w:i/>
          <w:iCs/>
          <w:sz w:val="28"/>
          <w:szCs w:val="28"/>
        </w:rPr>
        <w:t>The Three Pillars of Radicalization: Needs, Narratives, and Networks.</w:t>
      </w:r>
      <w:r>
        <w:rPr>
          <w:sz w:val="28"/>
          <w:szCs w:val="28"/>
        </w:rPr>
        <w:t xml:space="preserve"> New York: Oxford University Press, 2019.</w:t>
      </w:r>
    </w:p>
    <w:p w14:paraId="1E0A3BD8" w14:textId="77777777" w:rsidR="00132F47" w:rsidRDefault="00000000">
      <w:pPr>
        <w:ind w:firstLine="567"/>
        <w:jc w:val="both"/>
      </w:pPr>
      <w:r>
        <w:rPr>
          <w:sz w:val="28"/>
          <w:szCs w:val="28"/>
        </w:rPr>
        <w:t xml:space="preserve">[5] van STEKELENBURG, Jacquelien. Going all the way: Politicizing, polarizing, and radicalizing identity offline and online. </w:t>
      </w:r>
      <w:r>
        <w:rPr>
          <w:i/>
          <w:iCs/>
          <w:sz w:val="28"/>
          <w:szCs w:val="28"/>
        </w:rPr>
        <w:t>Sociology Compass</w:t>
      </w:r>
      <w:r>
        <w:rPr>
          <w:sz w:val="28"/>
          <w:szCs w:val="28"/>
        </w:rPr>
        <w:t>, vol. 8 (2014), no. 5, pp. 540–555.</w:t>
      </w:r>
    </w:p>
    <w:p w14:paraId="09A68931" w14:textId="77777777" w:rsidR="00132F47" w:rsidRDefault="00000000">
      <w:pPr>
        <w:ind w:firstLine="567"/>
        <w:jc w:val="both"/>
      </w:pPr>
      <w:r>
        <w:rPr>
          <w:sz w:val="28"/>
          <w:szCs w:val="28"/>
        </w:rPr>
        <w:t xml:space="preserve">[6] PARISER, Eli. </w:t>
      </w:r>
      <w:r>
        <w:rPr>
          <w:i/>
          <w:iCs/>
          <w:sz w:val="28"/>
          <w:szCs w:val="28"/>
        </w:rPr>
        <w:t>The Filter Bubble: What the Internet Is Hiding from You.</w:t>
      </w:r>
      <w:r>
        <w:rPr>
          <w:sz w:val="28"/>
          <w:szCs w:val="28"/>
        </w:rPr>
        <w:t xml:space="preserve"> New York: Penguin Press, 2011.</w:t>
      </w:r>
    </w:p>
    <w:p w14:paraId="54E9C75C" w14:textId="77777777" w:rsidR="00132F47" w:rsidRDefault="00000000">
      <w:pPr>
        <w:ind w:firstLine="567"/>
        <w:jc w:val="both"/>
      </w:pPr>
      <w:r>
        <w:rPr>
          <w:sz w:val="28"/>
          <w:szCs w:val="28"/>
        </w:rPr>
        <w:t xml:space="preserve">[7] SUNSTEIN, Cass R. </w:t>
      </w:r>
      <w:r>
        <w:rPr>
          <w:i/>
          <w:iCs/>
          <w:sz w:val="28"/>
          <w:szCs w:val="28"/>
        </w:rPr>
        <w:t>Republic.com.</w:t>
      </w:r>
      <w:r>
        <w:rPr>
          <w:sz w:val="28"/>
          <w:szCs w:val="28"/>
        </w:rPr>
        <w:t xml:space="preserve"> Princeton: Princeton University Press, 2001.</w:t>
      </w:r>
    </w:p>
    <w:p w14:paraId="2791F4DB" w14:textId="77777777" w:rsidR="00132F47" w:rsidRDefault="00000000">
      <w:pPr>
        <w:ind w:firstLine="567"/>
        <w:jc w:val="both"/>
      </w:pPr>
      <w:r>
        <w:rPr>
          <w:sz w:val="28"/>
          <w:szCs w:val="28"/>
        </w:rPr>
        <w:t xml:space="preserve">[8] LEDWICH, Mark and Anna ZAITSEV. Algorithmic extremism: Examining YouTube's rabbit hole of radicalization. Online. </w:t>
      </w:r>
      <w:r>
        <w:rPr>
          <w:i/>
          <w:iCs/>
          <w:sz w:val="28"/>
          <w:szCs w:val="28"/>
        </w:rPr>
        <w:t>arXiv:1912.11211</w:t>
      </w:r>
      <w:r>
        <w:rPr>
          <w:sz w:val="28"/>
          <w:szCs w:val="28"/>
        </w:rPr>
        <w:t>, 2019. Available from: https://arxiv.org/abs/1912.11211. [viewed 2026-09-13].</w:t>
      </w:r>
    </w:p>
    <w:p w14:paraId="256B46A2" w14:textId="77777777" w:rsidR="00132F47" w:rsidRDefault="00000000">
      <w:pPr>
        <w:ind w:firstLine="567"/>
        <w:jc w:val="both"/>
      </w:pPr>
      <w:r>
        <w:rPr>
          <w:sz w:val="28"/>
          <w:szCs w:val="28"/>
        </w:rPr>
        <w:t xml:space="preserve">[9] CHEN, Annie Y., Brendan NYHAN, Jason REIFLER, Ronald E. ROBERTSON and Christo WILSON. Subscriptions and external links help drive resentful users to alternative and extremist YouTube channels. Online. </w:t>
      </w:r>
      <w:r>
        <w:rPr>
          <w:i/>
          <w:iCs/>
          <w:sz w:val="28"/>
          <w:szCs w:val="28"/>
        </w:rPr>
        <w:t xml:space="preserve">Science </w:t>
      </w:r>
      <w:r>
        <w:rPr>
          <w:i/>
          <w:iCs/>
          <w:sz w:val="28"/>
          <w:szCs w:val="28"/>
        </w:rPr>
        <w:lastRenderedPageBreak/>
        <w:t>Advances</w:t>
      </w:r>
      <w:r>
        <w:rPr>
          <w:sz w:val="28"/>
          <w:szCs w:val="28"/>
        </w:rPr>
        <w:t>, vol. 9 (2023), no. 35, art. eadd8080. Available from: https://doi.org/10.1126/sciadv.add8080. [viewed 2026-09-13].</w:t>
      </w:r>
    </w:p>
    <w:p w14:paraId="1F817CDC" w14:textId="77777777" w:rsidR="00132F47" w:rsidRDefault="00000000">
      <w:pPr>
        <w:ind w:firstLine="567"/>
        <w:jc w:val="both"/>
      </w:pPr>
      <w:r>
        <w:rPr>
          <w:sz w:val="28"/>
          <w:szCs w:val="28"/>
        </w:rPr>
        <w:t xml:space="preserve">[10] LACLAU, Ernesto and Chantal MOUFFE. </w:t>
      </w:r>
      <w:r>
        <w:rPr>
          <w:i/>
          <w:iCs/>
          <w:sz w:val="28"/>
          <w:szCs w:val="28"/>
        </w:rPr>
        <w:t>Hegemony and Socialist Strategy: Towards a Radical Democratic Politics.</w:t>
      </w:r>
      <w:r>
        <w:rPr>
          <w:sz w:val="28"/>
          <w:szCs w:val="28"/>
        </w:rPr>
        <w:t xml:space="preserve"> 2nd ed. London: Verso, 2001.</w:t>
      </w:r>
    </w:p>
    <w:p w14:paraId="459FCCC1" w14:textId="77777777" w:rsidR="00132F47" w:rsidRDefault="00000000">
      <w:pPr>
        <w:ind w:firstLine="567"/>
        <w:jc w:val="both"/>
      </w:pPr>
      <w:r>
        <w:rPr>
          <w:sz w:val="28"/>
          <w:szCs w:val="28"/>
        </w:rPr>
        <w:t xml:space="preserve">[11] McCAULEY, Clark and Sophia MOSKALENKO. Understanding political radicalization: The two-pyramids model. </w:t>
      </w:r>
      <w:r>
        <w:rPr>
          <w:i/>
          <w:iCs/>
          <w:sz w:val="28"/>
          <w:szCs w:val="28"/>
        </w:rPr>
        <w:t>American Psychologist</w:t>
      </w:r>
      <w:r>
        <w:rPr>
          <w:sz w:val="28"/>
          <w:szCs w:val="28"/>
        </w:rPr>
        <w:t>, vol. 72 (2017), no. 3, pp. 205–216.</w:t>
      </w:r>
    </w:p>
    <w:p w14:paraId="1E7ED0DF" w14:textId="77777777" w:rsidR="00132F47" w:rsidRDefault="00000000">
      <w:pPr>
        <w:ind w:firstLine="567"/>
        <w:jc w:val="both"/>
      </w:pPr>
      <w:r>
        <w:rPr>
          <w:sz w:val="28"/>
          <w:szCs w:val="28"/>
        </w:rPr>
        <w:t xml:space="preserve">[12] MOSKALENKO, Sophia and Clark McCAULEY. QAnon: Radical opinion versus radical action. </w:t>
      </w:r>
      <w:r>
        <w:rPr>
          <w:i/>
          <w:iCs/>
          <w:sz w:val="28"/>
          <w:szCs w:val="28"/>
        </w:rPr>
        <w:t>Perspectives on Terrorism</w:t>
      </w:r>
      <w:r>
        <w:rPr>
          <w:sz w:val="28"/>
          <w:szCs w:val="28"/>
        </w:rPr>
        <w:t>, vol. 15 (2021), no. 2, pp. 142–146.</w:t>
      </w:r>
    </w:p>
    <w:p w14:paraId="021FBCCE" w14:textId="77777777" w:rsidR="00132F47" w:rsidRDefault="00000000">
      <w:pPr>
        <w:ind w:firstLine="567"/>
        <w:jc w:val="both"/>
      </w:pPr>
      <w:r>
        <w:rPr>
          <w:sz w:val="28"/>
          <w:szCs w:val="28"/>
        </w:rPr>
        <w:t xml:space="preserve">[13] MOGHADDAM, Fathali M. The staircase to terrorism: A psychological exploration. </w:t>
      </w:r>
      <w:r>
        <w:rPr>
          <w:i/>
          <w:iCs/>
          <w:sz w:val="28"/>
          <w:szCs w:val="28"/>
        </w:rPr>
        <w:t>American Psychologist</w:t>
      </w:r>
      <w:r>
        <w:rPr>
          <w:sz w:val="28"/>
          <w:szCs w:val="28"/>
        </w:rPr>
        <w:t>, vol. 60 (2005), no. 2, pp. 161–169.</w:t>
      </w:r>
    </w:p>
    <w:p w14:paraId="169ACA62" w14:textId="77777777" w:rsidR="00132F47" w:rsidRDefault="00000000">
      <w:pPr>
        <w:ind w:firstLine="567"/>
        <w:jc w:val="both"/>
      </w:pPr>
      <w:r>
        <w:rPr>
          <w:sz w:val="28"/>
          <w:szCs w:val="28"/>
        </w:rPr>
        <w:t xml:space="preserve">[14] KINGZETTE, Jon, James N. DRUCKMAN, Samara KLAR, Yanna KRUPNIKOV, Matthew LEVENDUSKY and John Barry RYAN. How affective polarization undermines support for democratic norms. </w:t>
      </w:r>
      <w:r>
        <w:rPr>
          <w:i/>
          <w:iCs/>
          <w:sz w:val="28"/>
          <w:szCs w:val="28"/>
        </w:rPr>
        <w:t>Public Opinion Quarterly</w:t>
      </w:r>
      <w:r>
        <w:rPr>
          <w:sz w:val="28"/>
          <w:szCs w:val="28"/>
        </w:rPr>
        <w:t>, vol. 85 (2021), no. 2, pp. 663–677.</w:t>
      </w:r>
    </w:p>
    <w:p w14:paraId="4B52D723" w14:textId="77777777" w:rsidR="00132F47" w:rsidRDefault="00000000">
      <w:pPr>
        <w:ind w:firstLine="567"/>
        <w:jc w:val="both"/>
      </w:pPr>
      <w:r>
        <w:rPr>
          <w:sz w:val="28"/>
          <w:szCs w:val="28"/>
        </w:rPr>
        <w:t xml:space="preserve">[15] LEVITSKY, Steven and Daniel ZIBLATT. </w:t>
      </w:r>
      <w:r>
        <w:rPr>
          <w:i/>
          <w:iCs/>
          <w:sz w:val="28"/>
          <w:szCs w:val="28"/>
        </w:rPr>
        <w:t>How Democracies Die.</w:t>
      </w:r>
      <w:r>
        <w:rPr>
          <w:sz w:val="28"/>
          <w:szCs w:val="28"/>
        </w:rPr>
        <w:t xml:space="preserve"> New York: Crown Publishing, 2018.</w:t>
      </w:r>
    </w:p>
    <w:p w14:paraId="441439C6" w14:textId="77777777" w:rsidR="00132F47" w:rsidRDefault="00000000">
      <w:pPr>
        <w:ind w:firstLine="567"/>
        <w:jc w:val="both"/>
      </w:pPr>
      <w:r>
        <w:rPr>
          <w:sz w:val="28"/>
          <w:szCs w:val="28"/>
        </w:rPr>
        <w:t xml:space="preserve">[16] BUZAN, Barry, Ole WÆVER and Jaap de WILDE. </w:t>
      </w:r>
      <w:r>
        <w:rPr>
          <w:i/>
          <w:iCs/>
          <w:sz w:val="28"/>
          <w:szCs w:val="28"/>
        </w:rPr>
        <w:t>Security: A New Framework for Analysis.</w:t>
      </w:r>
      <w:r>
        <w:rPr>
          <w:sz w:val="28"/>
          <w:szCs w:val="28"/>
        </w:rPr>
        <w:t xml:space="preserve"> Boulder, CO: Lynne Rienner Publishers, 1998.</w:t>
      </w:r>
    </w:p>
    <w:p w14:paraId="56F93586" w14:textId="77777777" w:rsidR="00132F47" w:rsidRDefault="00000000">
      <w:pPr>
        <w:ind w:firstLine="567"/>
        <w:jc w:val="both"/>
      </w:pPr>
      <w:r>
        <w:rPr>
          <w:sz w:val="28"/>
          <w:szCs w:val="28"/>
        </w:rPr>
        <w:t xml:space="preserve">[17] EUROPEAN COMMISSION. Regulation (EU) 2022/2065 of the European Parliament and of the Council of 19 October 2022 on a Single Market For Digital Services (Digital Services Act). Online. </w:t>
      </w:r>
      <w:r>
        <w:rPr>
          <w:i/>
          <w:iCs/>
          <w:sz w:val="28"/>
          <w:szCs w:val="28"/>
        </w:rPr>
        <w:t>Official Journal of the European Union</w:t>
      </w:r>
      <w:r>
        <w:rPr>
          <w:sz w:val="28"/>
          <w:szCs w:val="28"/>
        </w:rPr>
        <w:t>, L 277, 27.10.2022. Available from: https://eur-lex.europa.eu/eli/reg/2022/2065/oj. [viewed 2026-09-13].</w:t>
      </w:r>
    </w:p>
    <w:p w14:paraId="3187324B" w14:textId="77777777" w:rsidR="00132F47" w:rsidRDefault="00132F47"/>
    <w:p w14:paraId="2AA12E34" w14:textId="77777777" w:rsidR="00132F47" w:rsidRDefault="00000000">
      <w:pPr>
        <w:jc w:val="both"/>
      </w:pPr>
      <w:r>
        <w:rPr>
          <w:b/>
          <w:bCs/>
          <w:sz w:val="28"/>
          <w:szCs w:val="28"/>
        </w:rPr>
        <w:t>ЛИТЕРАТУРА:</w:t>
      </w:r>
    </w:p>
    <w:p w14:paraId="04765B42" w14:textId="77777777" w:rsidR="00132F47" w:rsidRDefault="00000000">
      <w:pPr>
        <w:ind w:firstLine="567"/>
        <w:jc w:val="both"/>
      </w:pPr>
      <w:r>
        <w:rPr>
          <w:sz w:val="28"/>
          <w:szCs w:val="28"/>
        </w:rPr>
        <w:t xml:space="preserve">1. BORUM, Randy. Radicalization into violent extremism I: A review of social science theories. </w:t>
      </w:r>
      <w:r>
        <w:rPr>
          <w:i/>
          <w:iCs/>
          <w:sz w:val="28"/>
          <w:szCs w:val="28"/>
        </w:rPr>
        <w:t>Journal of Strategic Security</w:t>
      </w:r>
      <w:r>
        <w:rPr>
          <w:sz w:val="28"/>
          <w:szCs w:val="28"/>
        </w:rPr>
        <w:t>, vol. 4 (2011), no. 4, pp. 7–36.</w:t>
      </w:r>
    </w:p>
    <w:p w14:paraId="4B97A8B3" w14:textId="77777777" w:rsidR="00132F47" w:rsidRDefault="00000000">
      <w:pPr>
        <w:ind w:firstLine="567"/>
        <w:jc w:val="both"/>
      </w:pPr>
      <w:r>
        <w:rPr>
          <w:sz w:val="28"/>
          <w:szCs w:val="28"/>
        </w:rPr>
        <w:t xml:space="preserve">2. BUZAN, Barry, Ole WÆVER and Jaap de WILDE. </w:t>
      </w:r>
      <w:r>
        <w:rPr>
          <w:i/>
          <w:iCs/>
          <w:sz w:val="28"/>
          <w:szCs w:val="28"/>
        </w:rPr>
        <w:t>Security: A New Framework for Analysis.</w:t>
      </w:r>
      <w:r>
        <w:rPr>
          <w:sz w:val="28"/>
          <w:szCs w:val="28"/>
        </w:rPr>
        <w:t xml:space="preserve"> Boulder, CO: Lynne Rienner Publishers, 1998.</w:t>
      </w:r>
    </w:p>
    <w:p w14:paraId="142FBDF0" w14:textId="77777777" w:rsidR="00132F47" w:rsidRDefault="00000000">
      <w:pPr>
        <w:ind w:firstLine="567"/>
        <w:jc w:val="both"/>
      </w:pPr>
      <w:r>
        <w:rPr>
          <w:sz w:val="28"/>
          <w:szCs w:val="28"/>
        </w:rPr>
        <w:t xml:space="preserve">3. CHEN, Annie Y., Brendan NYHAN, Jason REIFLER, Ronald E. ROBERTSON and Christo WILSON. Subscriptions and external links help drive resentful users to alternative and extremist YouTube channels. Online. </w:t>
      </w:r>
      <w:r>
        <w:rPr>
          <w:i/>
          <w:iCs/>
          <w:sz w:val="28"/>
          <w:szCs w:val="28"/>
        </w:rPr>
        <w:t>Science Advances</w:t>
      </w:r>
      <w:r>
        <w:rPr>
          <w:sz w:val="28"/>
          <w:szCs w:val="28"/>
        </w:rPr>
        <w:t>, vol. 9 (2023), no. 35, art. eadd8080. Available from: https://doi.org/10.1126/sciadv.add8080. [viewed 2026-09-13].</w:t>
      </w:r>
    </w:p>
    <w:p w14:paraId="06964AAD" w14:textId="77777777" w:rsidR="00132F47" w:rsidRDefault="00000000">
      <w:pPr>
        <w:ind w:firstLine="567"/>
        <w:jc w:val="both"/>
      </w:pPr>
      <w:r>
        <w:rPr>
          <w:sz w:val="28"/>
          <w:szCs w:val="28"/>
        </w:rPr>
        <w:t xml:space="preserve">4. EUROPEAN COMMISSION. Regulation (EU) 2022/2065 of the European Parliament and of the Council of 19 October 2022 on a Single Market For Digital Services (Digital Services Act). Online. </w:t>
      </w:r>
      <w:r>
        <w:rPr>
          <w:i/>
          <w:iCs/>
          <w:sz w:val="28"/>
          <w:szCs w:val="28"/>
        </w:rPr>
        <w:t>Official Journal of the European Union</w:t>
      </w:r>
      <w:r>
        <w:rPr>
          <w:sz w:val="28"/>
          <w:szCs w:val="28"/>
        </w:rPr>
        <w:t>, L 277, 27.10.2022. Available from: https://eur-lex.europa.eu/eli/reg/2022/2065/oj. [viewed 2026-09-13].</w:t>
      </w:r>
    </w:p>
    <w:p w14:paraId="4EBB81F3" w14:textId="77777777" w:rsidR="00132F47" w:rsidRDefault="00000000">
      <w:pPr>
        <w:ind w:firstLine="567"/>
        <w:jc w:val="both"/>
      </w:pPr>
      <w:r>
        <w:rPr>
          <w:sz w:val="28"/>
          <w:szCs w:val="28"/>
        </w:rPr>
        <w:t xml:space="preserve">5. KINGZETTE, Jon, James N. DRUCKMAN, Samara KLAR, Yanna KRUPNIKOV, Matthew LEVENDUSKY and John Barry RYAN. How affective polarization undermines support for democratic norms. </w:t>
      </w:r>
      <w:r>
        <w:rPr>
          <w:i/>
          <w:iCs/>
          <w:sz w:val="28"/>
          <w:szCs w:val="28"/>
        </w:rPr>
        <w:t>Public Opinion Quarterly</w:t>
      </w:r>
      <w:r>
        <w:rPr>
          <w:sz w:val="28"/>
          <w:szCs w:val="28"/>
        </w:rPr>
        <w:t>, vol. 85 (2021), no. 2, pp. 663–677.</w:t>
      </w:r>
    </w:p>
    <w:p w14:paraId="0A751C79" w14:textId="77777777" w:rsidR="00132F47" w:rsidRDefault="00000000">
      <w:pPr>
        <w:ind w:firstLine="567"/>
        <w:jc w:val="both"/>
      </w:pPr>
      <w:r>
        <w:rPr>
          <w:sz w:val="28"/>
          <w:szCs w:val="28"/>
        </w:rPr>
        <w:lastRenderedPageBreak/>
        <w:t xml:space="preserve">6. KRUGLANSKI, Arie W., Jocelyn J. BÉLANGER and Rohan GUNARATNA. </w:t>
      </w:r>
      <w:r>
        <w:rPr>
          <w:i/>
          <w:iCs/>
          <w:sz w:val="28"/>
          <w:szCs w:val="28"/>
        </w:rPr>
        <w:t>The Three Pillars of Radicalization: Needs, Narratives, and Networks.</w:t>
      </w:r>
      <w:r>
        <w:rPr>
          <w:sz w:val="28"/>
          <w:szCs w:val="28"/>
        </w:rPr>
        <w:t xml:space="preserve"> New York: Oxford University Press, 2019.</w:t>
      </w:r>
    </w:p>
    <w:p w14:paraId="49D21597" w14:textId="77777777" w:rsidR="00132F47" w:rsidRDefault="00000000">
      <w:pPr>
        <w:ind w:firstLine="567"/>
        <w:jc w:val="both"/>
      </w:pPr>
      <w:r>
        <w:rPr>
          <w:sz w:val="28"/>
          <w:szCs w:val="28"/>
        </w:rPr>
        <w:t xml:space="preserve">7. LACLAU, Ernesto and Chantal MOUFFE. </w:t>
      </w:r>
      <w:r>
        <w:rPr>
          <w:i/>
          <w:iCs/>
          <w:sz w:val="28"/>
          <w:szCs w:val="28"/>
        </w:rPr>
        <w:t>Hegemony and Socialist Strategy: Towards a Radical Democratic Politics.</w:t>
      </w:r>
      <w:r>
        <w:rPr>
          <w:sz w:val="28"/>
          <w:szCs w:val="28"/>
        </w:rPr>
        <w:t xml:space="preserve"> 2nd ed. London: Verso, 2001.</w:t>
      </w:r>
    </w:p>
    <w:p w14:paraId="1B930E36" w14:textId="77777777" w:rsidR="00132F47" w:rsidRDefault="00000000">
      <w:pPr>
        <w:ind w:firstLine="567"/>
        <w:jc w:val="both"/>
      </w:pPr>
      <w:r>
        <w:rPr>
          <w:sz w:val="28"/>
          <w:szCs w:val="28"/>
        </w:rPr>
        <w:t xml:space="preserve">8. LEDWICH, Mark and Anna ZAITSEV. Algorithmic extremism: Examining YouTube's rabbit hole of radicalization. Online. </w:t>
      </w:r>
      <w:r>
        <w:rPr>
          <w:i/>
          <w:iCs/>
          <w:sz w:val="28"/>
          <w:szCs w:val="28"/>
        </w:rPr>
        <w:t>arXiv:1912.11211</w:t>
      </w:r>
      <w:r>
        <w:rPr>
          <w:sz w:val="28"/>
          <w:szCs w:val="28"/>
        </w:rPr>
        <w:t>, 2019. Available from: https://arxiv.org/abs/1912.11211. [viewed 2026-09-13].</w:t>
      </w:r>
    </w:p>
    <w:p w14:paraId="7394E49D" w14:textId="77777777" w:rsidR="00132F47" w:rsidRDefault="00000000">
      <w:pPr>
        <w:ind w:firstLine="567"/>
        <w:jc w:val="both"/>
      </w:pPr>
      <w:r>
        <w:rPr>
          <w:sz w:val="28"/>
          <w:szCs w:val="28"/>
        </w:rPr>
        <w:t xml:space="preserve">9. LEVITSKY, Steven and Daniel ZIBLATT. </w:t>
      </w:r>
      <w:r>
        <w:rPr>
          <w:i/>
          <w:iCs/>
          <w:sz w:val="28"/>
          <w:szCs w:val="28"/>
        </w:rPr>
        <w:t>How Democracies Die.</w:t>
      </w:r>
      <w:r>
        <w:rPr>
          <w:sz w:val="28"/>
          <w:szCs w:val="28"/>
        </w:rPr>
        <w:t xml:space="preserve"> New York: Crown Publishing, 2018.</w:t>
      </w:r>
    </w:p>
    <w:p w14:paraId="32134150" w14:textId="77777777" w:rsidR="00132F47" w:rsidRDefault="00000000">
      <w:pPr>
        <w:ind w:firstLine="567"/>
        <w:jc w:val="both"/>
      </w:pPr>
      <w:r>
        <w:rPr>
          <w:sz w:val="28"/>
          <w:szCs w:val="28"/>
        </w:rPr>
        <w:t xml:space="preserve">10. McCAULEY, Clark and Sophia MOSKALENKO. Understanding political radicalization: The two-pyramids model. </w:t>
      </w:r>
      <w:r>
        <w:rPr>
          <w:i/>
          <w:iCs/>
          <w:sz w:val="28"/>
          <w:szCs w:val="28"/>
        </w:rPr>
        <w:t>American Psychologist</w:t>
      </w:r>
      <w:r>
        <w:rPr>
          <w:sz w:val="28"/>
          <w:szCs w:val="28"/>
        </w:rPr>
        <w:t>, vol. 72 (2017), no. 3, pp. 205–216.</w:t>
      </w:r>
    </w:p>
    <w:p w14:paraId="27BD71A8" w14:textId="77777777" w:rsidR="00132F47" w:rsidRDefault="00000000">
      <w:pPr>
        <w:ind w:firstLine="567"/>
        <w:jc w:val="both"/>
      </w:pPr>
      <w:r>
        <w:rPr>
          <w:sz w:val="28"/>
          <w:szCs w:val="28"/>
        </w:rPr>
        <w:t xml:space="preserve">11. McKENNA, Katelyn Y. A. and John A. BARGH. Coming out in the age of the Internet: Identity “demarginalization” through virtual group participation. </w:t>
      </w:r>
      <w:r>
        <w:rPr>
          <w:i/>
          <w:iCs/>
          <w:sz w:val="28"/>
          <w:szCs w:val="28"/>
        </w:rPr>
        <w:t>Journal of Personality and Social Psychology</w:t>
      </w:r>
      <w:r>
        <w:rPr>
          <w:sz w:val="28"/>
          <w:szCs w:val="28"/>
        </w:rPr>
        <w:t>, vol. 75 (1998), no. 3, pp. 681–694.</w:t>
      </w:r>
    </w:p>
    <w:p w14:paraId="29BDFA79" w14:textId="77777777" w:rsidR="00132F47" w:rsidRDefault="00000000">
      <w:pPr>
        <w:ind w:firstLine="567"/>
        <w:jc w:val="both"/>
      </w:pPr>
      <w:r>
        <w:rPr>
          <w:sz w:val="28"/>
          <w:szCs w:val="28"/>
        </w:rPr>
        <w:t xml:space="preserve">12. MOGHADDAM, Fathali M. The staircase to terrorism: A psychological exploration. </w:t>
      </w:r>
      <w:r>
        <w:rPr>
          <w:i/>
          <w:iCs/>
          <w:sz w:val="28"/>
          <w:szCs w:val="28"/>
        </w:rPr>
        <w:t>American Psychologist</w:t>
      </w:r>
      <w:r>
        <w:rPr>
          <w:sz w:val="28"/>
          <w:szCs w:val="28"/>
        </w:rPr>
        <w:t>, vol. 60 (2005), no. 2, pp. 161–169.</w:t>
      </w:r>
    </w:p>
    <w:p w14:paraId="783EAF86" w14:textId="77777777" w:rsidR="00132F47" w:rsidRDefault="00000000">
      <w:pPr>
        <w:ind w:firstLine="567"/>
        <w:jc w:val="both"/>
      </w:pPr>
      <w:r>
        <w:rPr>
          <w:sz w:val="28"/>
          <w:szCs w:val="28"/>
        </w:rPr>
        <w:t xml:space="preserve">13. MOSKALENKO, Sophia and Clark McCAULEY. QAnon: Radical opinion versus radical action. </w:t>
      </w:r>
      <w:r>
        <w:rPr>
          <w:i/>
          <w:iCs/>
          <w:sz w:val="28"/>
          <w:szCs w:val="28"/>
        </w:rPr>
        <w:t>Perspectives on Terrorism</w:t>
      </w:r>
      <w:r>
        <w:rPr>
          <w:sz w:val="28"/>
          <w:szCs w:val="28"/>
        </w:rPr>
        <w:t>, vol. 15 (2021), no. 2, pp. 142–146.</w:t>
      </w:r>
    </w:p>
    <w:p w14:paraId="17E09108" w14:textId="77777777" w:rsidR="00132F47" w:rsidRDefault="00000000">
      <w:pPr>
        <w:ind w:firstLine="567"/>
        <w:jc w:val="both"/>
      </w:pPr>
      <w:r>
        <w:rPr>
          <w:sz w:val="28"/>
          <w:szCs w:val="28"/>
        </w:rPr>
        <w:t xml:space="preserve">14. PARISER, Eli. </w:t>
      </w:r>
      <w:r>
        <w:rPr>
          <w:i/>
          <w:iCs/>
          <w:sz w:val="28"/>
          <w:szCs w:val="28"/>
        </w:rPr>
        <w:t>The Filter Bubble: What the Internet Is Hiding from You.</w:t>
      </w:r>
      <w:r>
        <w:rPr>
          <w:sz w:val="28"/>
          <w:szCs w:val="28"/>
        </w:rPr>
        <w:t xml:space="preserve"> New York: Penguin Press, 2011.</w:t>
      </w:r>
    </w:p>
    <w:p w14:paraId="1D28A25F" w14:textId="77777777" w:rsidR="00132F47" w:rsidRDefault="00000000">
      <w:pPr>
        <w:ind w:firstLine="567"/>
        <w:jc w:val="both"/>
      </w:pPr>
      <w:r>
        <w:rPr>
          <w:sz w:val="28"/>
          <w:szCs w:val="28"/>
        </w:rPr>
        <w:t xml:space="preserve">15. SUNSTEIN, Cass R. </w:t>
      </w:r>
      <w:r>
        <w:rPr>
          <w:i/>
          <w:iCs/>
          <w:sz w:val="28"/>
          <w:szCs w:val="28"/>
        </w:rPr>
        <w:t>Republic.com.</w:t>
      </w:r>
      <w:r>
        <w:rPr>
          <w:sz w:val="28"/>
          <w:szCs w:val="28"/>
        </w:rPr>
        <w:t xml:space="preserve"> Princeton: Princeton University Press, 2001.</w:t>
      </w:r>
    </w:p>
    <w:p w14:paraId="3AE9CE69" w14:textId="77777777" w:rsidR="00132F47" w:rsidRDefault="00000000">
      <w:pPr>
        <w:ind w:firstLine="567"/>
        <w:jc w:val="both"/>
      </w:pPr>
      <w:r>
        <w:rPr>
          <w:sz w:val="28"/>
          <w:szCs w:val="28"/>
        </w:rPr>
        <w:t xml:space="preserve">16. TAJFEL, Henri and John C. TURNER. An integrative theory of intergroup conflict. In: AUSTIN, W. G. and S. WORCHEL (eds.). </w:t>
      </w:r>
      <w:r>
        <w:rPr>
          <w:i/>
          <w:iCs/>
          <w:sz w:val="28"/>
          <w:szCs w:val="28"/>
        </w:rPr>
        <w:t>The Social Psychology of Intergroup Relations</w:t>
      </w:r>
      <w:r>
        <w:rPr>
          <w:sz w:val="28"/>
          <w:szCs w:val="28"/>
        </w:rPr>
        <w:t>, pp. 33–47. Monterey, CA: Brooks/Cole, 1979.</w:t>
      </w:r>
    </w:p>
    <w:p w14:paraId="36A058F4" w14:textId="77777777" w:rsidR="00132F47" w:rsidRDefault="00000000">
      <w:pPr>
        <w:ind w:firstLine="567"/>
        <w:jc w:val="both"/>
      </w:pPr>
      <w:r>
        <w:rPr>
          <w:sz w:val="28"/>
          <w:szCs w:val="28"/>
        </w:rPr>
        <w:t xml:space="preserve">17. van STEKELENBURG, Jacquelien. Going all the way: Politicizing, polarizing, and radicalizing identity offline and online. </w:t>
      </w:r>
      <w:r>
        <w:rPr>
          <w:i/>
          <w:iCs/>
          <w:sz w:val="28"/>
          <w:szCs w:val="28"/>
        </w:rPr>
        <w:t>Sociology Compass</w:t>
      </w:r>
      <w:r>
        <w:rPr>
          <w:sz w:val="28"/>
          <w:szCs w:val="28"/>
        </w:rPr>
        <w:t>, vol. 8 (2014), no. 5, pp. 540–555.</w:t>
      </w:r>
    </w:p>
    <w:p w14:paraId="40815511" w14:textId="77777777" w:rsidR="00132F47" w:rsidRDefault="00132F47"/>
    <w:p w14:paraId="3CA95181" w14:textId="26D98E1C" w:rsidR="00132F47" w:rsidRPr="00F405F4" w:rsidRDefault="00F405F4">
      <w:pPr>
        <w:ind w:firstLine="567"/>
        <w:jc w:val="both"/>
        <w:rPr>
          <w:lang w:val="bg-BG"/>
        </w:rPr>
      </w:pPr>
      <w:r>
        <w:rPr>
          <w:i/>
          <w:iCs/>
          <w:sz w:val="24"/>
          <w:szCs w:val="24"/>
          <w:lang w:val="bg-BG"/>
        </w:rPr>
        <w:t xml:space="preserve">Георги Костов Баев, доц. д-р </w:t>
      </w:r>
    </w:p>
    <w:p w14:paraId="46A8A405" w14:textId="6926EC34" w:rsidR="00132F47" w:rsidRPr="00F405F4" w:rsidRDefault="00F405F4">
      <w:pPr>
        <w:ind w:firstLine="567"/>
        <w:jc w:val="both"/>
        <w:rPr>
          <w:lang w:val="bg-BG"/>
        </w:rPr>
      </w:pPr>
      <w:r>
        <w:rPr>
          <w:i/>
          <w:iCs/>
          <w:sz w:val="24"/>
          <w:szCs w:val="24"/>
          <w:lang w:val="bg-BG"/>
        </w:rPr>
        <w:t>НВУ „Васил Левски“, катедра „Национална и регионална сигурност“</w:t>
      </w:r>
    </w:p>
    <w:p w14:paraId="4EA92BB5" w14:textId="17B6242B" w:rsidR="00132F47" w:rsidRPr="00F405F4" w:rsidRDefault="00F405F4">
      <w:pPr>
        <w:ind w:firstLine="567"/>
        <w:jc w:val="both"/>
      </w:pPr>
      <w:r>
        <w:rPr>
          <w:i/>
          <w:iCs/>
          <w:sz w:val="24"/>
          <w:szCs w:val="24"/>
          <w:lang w:val="bg-BG"/>
        </w:rPr>
        <w:t xml:space="preserve">Гр. В. Търново, бул. „България“ 76, </w:t>
      </w:r>
      <w:r>
        <w:rPr>
          <w:i/>
          <w:iCs/>
          <w:sz w:val="24"/>
          <w:szCs w:val="24"/>
        </w:rPr>
        <w:t>e-mail: gkbaev@nvu.bg</w:t>
      </w:r>
    </w:p>
    <w:sectPr w:rsidR="00132F47" w:rsidRPr="00F405F4">
      <w:pgSz w:w="11906" w:h="16838"/>
      <w:pgMar w:top="1134" w:right="1134" w:bottom="851"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2FB"/>
    <w:multiLevelType w:val="hybridMultilevel"/>
    <w:tmpl w:val="4FE8E49C"/>
    <w:lvl w:ilvl="0" w:tplc="DF323860">
      <w:start w:val="1"/>
      <w:numFmt w:val="bullet"/>
      <w:lvlText w:val="●"/>
      <w:lvlJc w:val="left"/>
      <w:pPr>
        <w:ind w:left="720" w:hanging="360"/>
      </w:pPr>
    </w:lvl>
    <w:lvl w:ilvl="1" w:tplc="0816A70E">
      <w:start w:val="1"/>
      <w:numFmt w:val="bullet"/>
      <w:lvlText w:val="○"/>
      <w:lvlJc w:val="left"/>
      <w:pPr>
        <w:ind w:left="1440" w:hanging="360"/>
      </w:pPr>
    </w:lvl>
    <w:lvl w:ilvl="2" w:tplc="3384D248">
      <w:start w:val="1"/>
      <w:numFmt w:val="bullet"/>
      <w:lvlText w:val="■"/>
      <w:lvlJc w:val="left"/>
      <w:pPr>
        <w:ind w:left="2160" w:hanging="360"/>
      </w:pPr>
    </w:lvl>
    <w:lvl w:ilvl="3" w:tplc="ABD48016">
      <w:start w:val="1"/>
      <w:numFmt w:val="bullet"/>
      <w:lvlText w:val="●"/>
      <w:lvlJc w:val="left"/>
      <w:pPr>
        <w:ind w:left="2880" w:hanging="360"/>
      </w:pPr>
    </w:lvl>
    <w:lvl w:ilvl="4" w:tplc="4456F80E">
      <w:start w:val="1"/>
      <w:numFmt w:val="bullet"/>
      <w:lvlText w:val="○"/>
      <w:lvlJc w:val="left"/>
      <w:pPr>
        <w:ind w:left="3600" w:hanging="360"/>
      </w:pPr>
    </w:lvl>
    <w:lvl w:ilvl="5" w:tplc="C24C80CA">
      <w:start w:val="1"/>
      <w:numFmt w:val="bullet"/>
      <w:lvlText w:val="■"/>
      <w:lvlJc w:val="left"/>
      <w:pPr>
        <w:ind w:left="4320" w:hanging="360"/>
      </w:pPr>
    </w:lvl>
    <w:lvl w:ilvl="6" w:tplc="29AACCA8">
      <w:start w:val="1"/>
      <w:numFmt w:val="bullet"/>
      <w:lvlText w:val="●"/>
      <w:lvlJc w:val="left"/>
      <w:pPr>
        <w:ind w:left="5040" w:hanging="360"/>
      </w:pPr>
    </w:lvl>
    <w:lvl w:ilvl="7" w:tplc="D56288FC">
      <w:start w:val="1"/>
      <w:numFmt w:val="bullet"/>
      <w:lvlText w:val="●"/>
      <w:lvlJc w:val="left"/>
      <w:pPr>
        <w:ind w:left="5760" w:hanging="360"/>
      </w:pPr>
    </w:lvl>
    <w:lvl w:ilvl="8" w:tplc="AF028B12">
      <w:start w:val="1"/>
      <w:numFmt w:val="bullet"/>
      <w:lvlText w:val="●"/>
      <w:lvlJc w:val="left"/>
      <w:pPr>
        <w:ind w:left="6480" w:hanging="360"/>
      </w:pPr>
    </w:lvl>
  </w:abstractNum>
  <w:num w:numId="1" w16cid:durableId="58014023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F47"/>
    <w:rsid w:val="000F2837"/>
    <w:rsid w:val="0012716F"/>
    <w:rsid w:val="00132F47"/>
    <w:rsid w:val="00624C0C"/>
    <w:rsid w:val="0088202A"/>
    <w:rsid w:val="008B6798"/>
    <w:rsid w:val="00A23689"/>
    <w:rsid w:val="00F40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D79A2"/>
  <w15:docId w15:val="{C87F4DD3-11F6-47E7-984F-D1E3A6962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под линия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на бележка в края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3606</Words>
  <Characters>20558</Characters>
  <Application>Microsoft Office Word</Application>
  <DocSecurity>0</DocSecurity>
  <Lines>171</Lines>
  <Paragraphs>48</Paragraphs>
  <ScaleCrop>false</ScaleCrop>
  <Company/>
  <LinksUpToDate>false</LinksUpToDate>
  <CharactersWithSpaces>24116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Георги Баев</cp:lastModifiedBy>
  <cp:revision>4</cp:revision>
  <dcterms:created xsi:type="dcterms:W3CDTF">2026-09-23T12:15:00Z</dcterms:created>
  <dcterms:modified xsi:type="dcterms:W3CDTF">2026-09-23T12:27:00Z</dcterms:modified>
</cp:coreProperties>
</file>