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44AFC" w14:textId="77777777" w:rsidR="00931447" w:rsidRDefault="00000000">
      <w:pPr>
        <w:jc w:val="center"/>
      </w:pPr>
      <w:r>
        <w:rPr>
          <w:b/>
          <w:bCs/>
          <w:sz w:val="32"/>
          <w:szCs w:val="32"/>
        </w:rPr>
        <w:t>ЖАРГОН И СИМВОЛНИ ГРАНИЦИ В РАДИКАЛИЗИРАЩИТЕ СЕ ДИГИТАЛНИ СУБКУЛТУРИ</w:t>
      </w:r>
    </w:p>
    <w:p w14:paraId="009DA441" w14:textId="77777777" w:rsidR="00931447" w:rsidRDefault="00931447"/>
    <w:p w14:paraId="3AB30B15" w14:textId="77777777" w:rsidR="00931447" w:rsidRDefault="00931447"/>
    <w:p w14:paraId="01BD0AB0" w14:textId="6BCE4671" w:rsidR="00931447" w:rsidRPr="00A46557" w:rsidRDefault="00A46557">
      <w:pPr>
        <w:jc w:val="center"/>
        <w:rPr>
          <w:lang w:val="bg-BG"/>
        </w:rPr>
      </w:pPr>
      <w:r>
        <w:rPr>
          <w:b/>
          <w:bCs/>
          <w:sz w:val="32"/>
          <w:szCs w:val="32"/>
          <w:lang w:val="bg-BG"/>
        </w:rPr>
        <w:t>Георги Костов Баев</w:t>
      </w:r>
    </w:p>
    <w:p w14:paraId="4C4FA9A6" w14:textId="77777777" w:rsidR="00931447" w:rsidRDefault="00931447"/>
    <w:p w14:paraId="272C297D" w14:textId="77777777" w:rsidR="00931447" w:rsidRDefault="00000000">
      <w:pPr>
        <w:jc w:val="center"/>
      </w:pPr>
      <w:r>
        <w:rPr>
          <w:b/>
          <w:bCs/>
          <w:sz w:val="32"/>
          <w:szCs w:val="32"/>
        </w:rPr>
        <w:t>JARGON AND SYMBOLIC BOUNDARIES IN RADICALIZING DIGITAL SUBCULTURES</w:t>
      </w:r>
    </w:p>
    <w:p w14:paraId="64406544" w14:textId="77777777" w:rsidR="00931447" w:rsidRDefault="00931447"/>
    <w:p w14:paraId="1579DF23" w14:textId="3099447D" w:rsidR="00931447" w:rsidRPr="00A46557" w:rsidRDefault="00A46557">
      <w:pPr>
        <w:jc w:val="center"/>
      </w:pPr>
      <w:r>
        <w:rPr>
          <w:b/>
          <w:bCs/>
          <w:sz w:val="32"/>
          <w:szCs w:val="32"/>
        </w:rPr>
        <w:t>Georgi Kostov Baev</w:t>
      </w:r>
    </w:p>
    <w:p w14:paraId="7F71F7BC" w14:textId="77777777" w:rsidR="00931447" w:rsidRDefault="00931447"/>
    <w:p w14:paraId="5239E613" w14:textId="77777777" w:rsidR="00931447" w:rsidRDefault="00931447"/>
    <w:p w14:paraId="123C4DA2" w14:textId="77777777" w:rsidR="00931447" w:rsidRDefault="00000000">
      <w:pPr>
        <w:jc w:val="both"/>
      </w:pPr>
      <w:r>
        <w:rPr>
          <w:b/>
          <w:bCs/>
          <w:i/>
          <w:iCs/>
          <w:sz w:val="24"/>
          <w:szCs w:val="24"/>
        </w:rPr>
        <w:t xml:space="preserve">Резюме: </w:t>
      </w:r>
      <w:r>
        <w:rPr>
          <w:i/>
          <w:iCs/>
          <w:sz w:val="24"/>
          <w:szCs w:val="24"/>
        </w:rPr>
        <w:t>Разглеждат се вътрешните кодове и жаргонът като механизъм за изграждане на групова идентичност в радикализиращи се онлайн общности. Анализира се как езикът очертава граница между „свои“ и „чужди“ и участва в конструирането на образа на противника. Докладът изследва доколко промяната в изразите, шегите, евфемизмите и кодираните значения може да служи като индикатор за процеса на радикализация.</w:t>
      </w:r>
    </w:p>
    <w:p w14:paraId="2E7AF474" w14:textId="77777777" w:rsidR="00931447" w:rsidRDefault="00931447"/>
    <w:p w14:paraId="3E00CD3F" w14:textId="77777777" w:rsidR="00931447" w:rsidRDefault="00000000">
      <w:pPr>
        <w:jc w:val="both"/>
      </w:pPr>
      <w:r>
        <w:rPr>
          <w:b/>
          <w:bCs/>
          <w:i/>
          <w:iCs/>
          <w:sz w:val="24"/>
          <w:szCs w:val="24"/>
        </w:rPr>
        <w:t xml:space="preserve">Ключови думи: </w:t>
      </w:r>
      <w:r>
        <w:rPr>
          <w:i/>
          <w:iCs/>
          <w:sz w:val="24"/>
          <w:szCs w:val="24"/>
        </w:rPr>
        <w:t>радикализация, национална сигурност, дигитални субкултури.</w:t>
      </w:r>
    </w:p>
    <w:p w14:paraId="3FCED230" w14:textId="77777777" w:rsidR="00931447" w:rsidRDefault="00931447"/>
    <w:p w14:paraId="7C624F47" w14:textId="77777777" w:rsidR="00931447" w:rsidRDefault="00000000">
      <w:pPr>
        <w:jc w:val="both"/>
      </w:pPr>
      <w:r>
        <w:rPr>
          <w:b/>
          <w:bCs/>
          <w:i/>
          <w:iCs/>
          <w:sz w:val="24"/>
          <w:szCs w:val="24"/>
        </w:rPr>
        <w:t xml:space="preserve">Abstract: </w:t>
      </w:r>
      <w:r>
        <w:rPr>
          <w:i/>
          <w:iCs/>
          <w:sz w:val="24"/>
          <w:szCs w:val="24"/>
        </w:rPr>
        <w:t>The paper examines internal codes and jargon as mechanisms for building group identity in radicalizing online communities. It analyses how language marks the boundary between us and them and contributes to constructing the image of the enemy. It explores whether shifts in expressions, humour, euphemisms and coded meanings can serve as an indicator of the radicalization process.</w:t>
      </w:r>
    </w:p>
    <w:p w14:paraId="628860CF" w14:textId="77777777" w:rsidR="00931447" w:rsidRDefault="00931447"/>
    <w:p w14:paraId="24F6D585" w14:textId="77777777" w:rsidR="00931447" w:rsidRDefault="00000000">
      <w:pPr>
        <w:jc w:val="both"/>
      </w:pPr>
      <w:r>
        <w:rPr>
          <w:b/>
          <w:bCs/>
          <w:i/>
          <w:iCs/>
          <w:sz w:val="24"/>
          <w:szCs w:val="24"/>
        </w:rPr>
        <w:t xml:space="preserve">Keywords: </w:t>
      </w:r>
      <w:r>
        <w:rPr>
          <w:i/>
          <w:iCs/>
          <w:sz w:val="24"/>
          <w:szCs w:val="24"/>
        </w:rPr>
        <w:t>radicalization, national security, digital subcultures.</w:t>
      </w:r>
    </w:p>
    <w:p w14:paraId="2C6A0D82" w14:textId="77777777" w:rsidR="00931447" w:rsidRDefault="00931447"/>
    <w:p w14:paraId="7B9504EC" w14:textId="77777777" w:rsidR="00931447" w:rsidRDefault="00931447"/>
    <w:p w14:paraId="1EEAC3A1" w14:textId="77777777" w:rsidR="00931447" w:rsidRDefault="00000000">
      <w:r>
        <w:rPr>
          <w:b/>
          <w:bCs/>
          <w:sz w:val="28"/>
          <w:szCs w:val="28"/>
        </w:rPr>
        <w:t>УВОД</w:t>
      </w:r>
    </w:p>
    <w:p w14:paraId="2F5FAE90" w14:textId="317CF585" w:rsidR="00931447" w:rsidRDefault="00000000">
      <w:pPr>
        <w:jc w:val="both"/>
      </w:pPr>
      <w:r>
        <w:rPr>
          <w:sz w:val="28"/>
          <w:szCs w:val="28"/>
        </w:rPr>
        <w:t xml:space="preserve">Дигиталната среда промени радикално начина, по който протичат процесите на радикализация. Класическите модели на екстремизъм разчитат на йерархични организации, физическо присъствие и постепенно, лично въвличане, докато съвременните дигитални субкултури изграждат общности предимно чрез споделен език, символи и естетика, достъпни отвсякъде и по всяко време. Тези общности – независимо дали са свързани с джихадистка пропаганда, крайнодесен акселерационизъм, инцел-форуми или конспиративни движения </w:t>
      </w:r>
      <w:r w:rsidR="00A46557">
        <w:rPr>
          <w:sz w:val="28"/>
          <w:szCs w:val="28"/>
        </w:rPr>
        <w:t>-</w:t>
      </w:r>
      <w:r>
        <w:rPr>
          <w:sz w:val="28"/>
          <w:szCs w:val="28"/>
        </w:rPr>
        <w:t xml:space="preserve"> формират собствена лингвистична екосистема, в която жаргонът не е просто стилистична особеност, а инструмент за конструиране и поддържане на групова идентичност. Настоящият доклад изхожда от тезата, че вътрешните кодове и символният репертоар на дадена онлайн общност очертават граница между „свои“ и „чужди“ и че динамиката на тази граница </w:t>
      </w:r>
      <w:r w:rsidR="00A46557">
        <w:rPr>
          <w:sz w:val="28"/>
          <w:szCs w:val="28"/>
        </w:rPr>
        <w:t>-</w:t>
      </w:r>
      <w:r>
        <w:rPr>
          <w:sz w:val="28"/>
          <w:szCs w:val="28"/>
        </w:rPr>
        <w:t xml:space="preserve"> степента, в която жаргонът се разширява, кодира и радикализира във времето – може да бъде използвана като индикатор в процеса на наблюдение и превенция на радикализацията, значим за практиката по национална сигурност. Целта на доклада не е да картографира конкретни жаргонни изрази на определени общности, а да систематизира съществуващото изследователско знание по въпроса и да </w:t>
      </w:r>
      <w:r>
        <w:rPr>
          <w:sz w:val="28"/>
          <w:szCs w:val="28"/>
        </w:rPr>
        <w:lastRenderedPageBreak/>
        <w:t>очертае мястото на лингвистичния анализ сред инструментите за ранно предупреждение.</w:t>
      </w:r>
    </w:p>
    <w:p w14:paraId="04B89133" w14:textId="56DA5EB3" w:rsidR="00931447" w:rsidRPr="00A46557" w:rsidRDefault="00A46557">
      <w:pPr>
        <w:rPr>
          <w:lang w:val="bg-BG"/>
        </w:rPr>
      </w:pPr>
      <w:r>
        <w:rPr>
          <w:b/>
          <w:bCs/>
          <w:sz w:val="28"/>
          <w:szCs w:val="28"/>
          <w:lang w:val="bg-BG"/>
        </w:rPr>
        <w:t>1</w:t>
      </w:r>
      <w:r w:rsidR="00000000">
        <w:rPr>
          <w:b/>
          <w:bCs/>
          <w:sz w:val="28"/>
          <w:szCs w:val="28"/>
        </w:rPr>
        <w:t xml:space="preserve">. </w:t>
      </w:r>
      <w:r>
        <w:rPr>
          <w:b/>
          <w:bCs/>
          <w:sz w:val="28"/>
          <w:szCs w:val="28"/>
          <w:lang w:val="bg-BG"/>
        </w:rPr>
        <w:t>С</w:t>
      </w:r>
      <w:r>
        <w:rPr>
          <w:b/>
          <w:bCs/>
          <w:sz w:val="28"/>
          <w:szCs w:val="28"/>
        </w:rPr>
        <w:t>имволни граници и групова идентичност</w:t>
      </w:r>
    </w:p>
    <w:p w14:paraId="1C809429" w14:textId="7EAED3CA" w:rsidR="00931447" w:rsidRDefault="00000000">
      <w:pPr>
        <w:jc w:val="both"/>
      </w:pPr>
      <w:r>
        <w:rPr>
          <w:sz w:val="28"/>
          <w:szCs w:val="28"/>
        </w:rPr>
        <w:t>Изходна точка за анализа е класическата антропологическа теза на Фредрик Барт, че етническите, а по разширение – всякакви социални граници, не се дефинират от културното „съдържание“ вътре в групата, а от процесите на разграничаване спрямо други групи</w:t>
      </w:r>
      <w:r w:rsidR="00A46557">
        <w:rPr>
          <w:sz w:val="28"/>
          <w:szCs w:val="28"/>
          <w:lang w:val="bg-BG"/>
        </w:rPr>
        <w:t>.</w:t>
      </w:r>
      <w:r>
        <w:rPr>
          <w:sz w:val="28"/>
          <w:szCs w:val="28"/>
        </w:rPr>
        <w:t xml:space="preserve"> [1] Именно границата, а не веществото, което тя огражда, е носител на идентичността; тя се поддържа чрез непрекъснато договаряне на различия дори при интензивен контакт и обмен между групите. По-късно Мишел Ламон и Вираг Молнар доразвиват тази идея в понятието „символни граници“ </w:t>
      </w:r>
      <w:r w:rsidR="00A46557">
        <w:rPr>
          <w:sz w:val="28"/>
          <w:szCs w:val="28"/>
          <w:lang w:val="bg-BG"/>
        </w:rPr>
        <w:t>-</w:t>
      </w:r>
      <w:r>
        <w:rPr>
          <w:sz w:val="28"/>
          <w:szCs w:val="28"/>
        </w:rPr>
        <w:t xml:space="preserve"> концептуалните разграничения, чрез които социалните актьори класифицират хора, практики и обекти в категории и по този начин генерират чувство за сходство и групова принадлежност</w:t>
      </w:r>
      <w:r w:rsidR="00A46557">
        <w:rPr>
          <w:sz w:val="28"/>
          <w:szCs w:val="28"/>
          <w:lang w:val="bg-BG"/>
        </w:rPr>
        <w:t>.</w:t>
      </w:r>
      <w:r>
        <w:rPr>
          <w:sz w:val="28"/>
          <w:szCs w:val="28"/>
        </w:rPr>
        <w:t xml:space="preserve"> [2] Символните граници стават социални граници едва когато бъдат широко споделени и институционализирани, но самите те се проявяват най-напред в езика </w:t>
      </w:r>
      <w:r w:rsidR="00A46557">
        <w:rPr>
          <w:sz w:val="28"/>
          <w:szCs w:val="28"/>
          <w:lang w:val="bg-BG"/>
        </w:rPr>
        <w:t>-</w:t>
      </w:r>
      <w:r>
        <w:rPr>
          <w:sz w:val="28"/>
          <w:szCs w:val="28"/>
        </w:rPr>
        <w:t xml:space="preserve"> в системата от одобрение, присмех, табу изрази и специализирана лексика, чрез които се очертава кой принадлежи към групата и кой остава извън нея.</w:t>
      </w:r>
      <w:r w:rsidR="00A46557">
        <w:rPr>
          <w:lang w:val="bg-BG"/>
        </w:rPr>
        <w:t xml:space="preserve"> </w:t>
      </w:r>
      <w:r>
        <w:rPr>
          <w:sz w:val="28"/>
          <w:szCs w:val="28"/>
        </w:rPr>
        <w:t>Дж. М. Бъргър пренася тази логика в изследването на съвременния екстремизъм, като посочва, че всяка екстремистка идеология се основава на остро разграничение между „ние“ и „те“, при което успехът на „нашата“ група се възприема като неразривно свързан с враждебни действия срещу „тяхната“</w:t>
      </w:r>
      <w:r w:rsidR="00A46557">
        <w:rPr>
          <w:sz w:val="28"/>
          <w:szCs w:val="28"/>
          <w:lang w:val="bg-BG"/>
        </w:rPr>
        <w:t>.</w:t>
      </w:r>
      <w:r>
        <w:rPr>
          <w:sz w:val="28"/>
          <w:szCs w:val="28"/>
        </w:rPr>
        <w:t xml:space="preserve"> [3] Именно тази бинарна логика на противопоставяне обяснява защо символните и езиковите граници заемат централно място в радикализиращите се общности: колкото по-непроницаем е жаргонът за външния наблюдател, толкова по-силно е усещането за изключителност, лоялност и превъзходство на вътрешната група, и толкова по-лесно противникът се превръща в обезличена, хомогенна категория, спрямо която е оправдано враждебно действие.</w:t>
      </w:r>
    </w:p>
    <w:p w14:paraId="0BC0A511" w14:textId="1D5AE786" w:rsidR="00931447" w:rsidRPr="00A46557" w:rsidRDefault="00A46557">
      <w:pPr>
        <w:rPr>
          <w:lang w:val="bg-BG"/>
        </w:rPr>
      </w:pPr>
      <w:r>
        <w:rPr>
          <w:b/>
          <w:bCs/>
          <w:sz w:val="28"/>
          <w:szCs w:val="28"/>
          <w:lang w:val="bg-BG"/>
        </w:rPr>
        <w:t>2</w:t>
      </w:r>
      <w:r w:rsidR="00000000">
        <w:rPr>
          <w:b/>
          <w:bCs/>
          <w:sz w:val="28"/>
          <w:szCs w:val="28"/>
        </w:rPr>
        <w:t xml:space="preserve">. </w:t>
      </w:r>
      <w:r>
        <w:rPr>
          <w:b/>
          <w:bCs/>
          <w:sz w:val="28"/>
          <w:szCs w:val="28"/>
          <w:lang w:val="bg-BG"/>
        </w:rPr>
        <w:t>Ж</w:t>
      </w:r>
      <w:r>
        <w:rPr>
          <w:b/>
          <w:bCs/>
          <w:sz w:val="28"/>
          <w:szCs w:val="28"/>
        </w:rPr>
        <w:t>аргонът в дигиталните субкултури</w:t>
      </w:r>
    </w:p>
    <w:p w14:paraId="414A71C8" w14:textId="53458535" w:rsidR="00931447" w:rsidRPr="00A46557" w:rsidRDefault="00000000">
      <w:pPr>
        <w:jc w:val="both"/>
        <w:rPr>
          <w:lang w:val="bg-BG"/>
        </w:rPr>
      </w:pPr>
      <w:r>
        <w:rPr>
          <w:sz w:val="28"/>
          <w:szCs w:val="28"/>
        </w:rPr>
        <w:t>Емпиричните изследвания на онлайн екстремистки текстове потвърждават, че езиковата промяна съпътства процеса на радикализация. Количествен анализ на съдържанието на първите единадесет броя на списание „Dabiq“ – официалното англоезично издание на т.нар. Ислямска държава – показва нарастваща употреба на интернет жаргон с напредването на изданието, което изследователите тълкуват като стратегия на групата да се адаптира към дигиталната среда и да се свърже с идентичността на по-млада аудитория [4]. Успоредно с това нараства и афилиативната лексика, засилва се емоционалният тон на текстовете и се увеличава вниманието към теми, свързани с изграждането на образа на „идеалната“ общност.</w:t>
      </w:r>
      <w:r w:rsidR="00A46557">
        <w:rPr>
          <w:lang w:val="bg-BG"/>
        </w:rPr>
        <w:t xml:space="preserve"> </w:t>
      </w:r>
      <w:r>
        <w:rPr>
          <w:sz w:val="28"/>
          <w:szCs w:val="28"/>
        </w:rPr>
        <w:t>От гледна точка на компютърната лингвистика и анализа на социални мрежи, употребата на групово-специфични неологизми е предложена като косвен показател за степента на радикализиращо влияние, на което е подложен даден потребител</w:t>
      </w:r>
      <w:r w:rsidR="00A46557">
        <w:rPr>
          <w:sz w:val="28"/>
          <w:szCs w:val="28"/>
          <w:lang w:val="bg-BG"/>
        </w:rPr>
        <w:t>.</w:t>
      </w:r>
      <w:r>
        <w:rPr>
          <w:sz w:val="28"/>
          <w:szCs w:val="28"/>
        </w:rPr>
        <w:t xml:space="preserve"> [5] По-нови изследвания, основани на съвместно моделиране на еволюцията на социалната структура и езика в затворени онлайн общности, установяват висока корелация между употребата на групов жаргон, обема на публикациите и социалната свързаност на участниците, като ранното </w:t>
      </w:r>
      <w:r>
        <w:rPr>
          <w:sz w:val="28"/>
          <w:szCs w:val="28"/>
        </w:rPr>
        <w:lastRenderedPageBreak/>
        <w:t>усвояване на груповия език се оказва предиктор за по-високи нива на радикализационни индикатори на по-късен етап от участието</w:t>
      </w:r>
      <w:r w:rsidR="00A46557">
        <w:rPr>
          <w:sz w:val="28"/>
          <w:szCs w:val="28"/>
          <w:lang w:val="bg-BG"/>
        </w:rPr>
        <w:t>.</w:t>
      </w:r>
      <w:r>
        <w:rPr>
          <w:sz w:val="28"/>
          <w:szCs w:val="28"/>
        </w:rPr>
        <w:t xml:space="preserve"> [6]</w:t>
      </w:r>
    </w:p>
    <w:p w14:paraId="5FFBD90D" w14:textId="667911F8" w:rsidR="00931447" w:rsidRDefault="00000000">
      <w:pPr>
        <w:jc w:val="both"/>
      </w:pPr>
      <w:r>
        <w:rPr>
          <w:sz w:val="28"/>
          <w:szCs w:val="28"/>
        </w:rPr>
        <w:t xml:space="preserve">Систематичен преглед на изследванията върху езика в екстремистки дигитални пространства обобщава подобни находки в пет типа лингвистично поведение </w:t>
      </w:r>
      <w:r w:rsidR="00A46557">
        <w:rPr>
          <w:sz w:val="28"/>
          <w:szCs w:val="28"/>
          <w:lang w:val="bg-BG"/>
        </w:rPr>
        <w:t>-</w:t>
      </w:r>
      <w:r>
        <w:rPr>
          <w:sz w:val="28"/>
          <w:szCs w:val="28"/>
        </w:rPr>
        <w:t xml:space="preserve"> представени обобщено в Таблица 1: алгоритмично поведение, насочено към заобикаляне на модерацията; конфликтно поведение; поведение на омраза; поведение на позитивно себепредставяне на групата; и поведение, свързано с набирането на нови членове</w:t>
      </w:r>
      <w:r w:rsidR="00A46557">
        <w:rPr>
          <w:sz w:val="28"/>
          <w:szCs w:val="28"/>
          <w:lang w:val="bg-BG"/>
        </w:rPr>
        <w:t>.</w:t>
      </w:r>
      <w:r>
        <w:rPr>
          <w:sz w:val="28"/>
          <w:szCs w:val="28"/>
        </w:rPr>
        <w:t xml:space="preserve"> [7] Общото между всички тях е функцията да представят собствената група в положителна светлина, като едновременно с това рамкират негативно „чуждата“ група </w:t>
      </w:r>
      <w:r w:rsidR="00A46557">
        <w:rPr>
          <w:sz w:val="28"/>
          <w:szCs w:val="28"/>
          <w:lang w:val="bg-BG"/>
        </w:rPr>
        <w:t>-</w:t>
      </w:r>
      <w:r>
        <w:rPr>
          <w:sz w:val="28"/>
          <w:szCs w:val="28"/>
        </w:rPr>
        <w:t xml:space="preserve"> процес, пряко свързан с конструирането на образа на противника, за който говори и резюмето на настоящия доклад.</w:t>
      </w:r>
    </w:p>
    <w:p w14:paraId="5BC2A7EE" w14:textId="77777777" w:rsidR="00931447" w:rsidRDefault="00931447"/>
    <w:p w14:paraId="55B137FE" w14:textId="6FB9635D" w:rsidR="00931447" w:rsidRPr="00A46557" w:rsidRDefault="00000000">
      <w:pPr>
        <w:rPr>
          <w:i/>
          <w:iCs/>
          <w:sz w:val="24"/>
          <w:szCs w:val="24"/>
        </w:rPr>
      </w:pPr>
      <w:r w:rsidRPr="00A46557">
        <w:rPr>
          <w:i/>
          <w:iCs/>
          <w:sz w:val="24"/>
          <w:szCs w:val="24"/>
        </w:rPr>
        <w:t xml:space="preserve">Таблица 1 </w:t>
      </w:r>
      <w:r w:rsidR="00A46557" w:rsidRPr="00A46557">
        <w:rPr>
          <w:i/>
          <w:iCs/>
          <w:sz w:val="24"/>
          <w:szCs w:val="24"/>
          <w:lang w:val="bg-BG"/>
        </w:rPr>
        <w:t>-</w:t>
      </w:r>
      <w:r w:rsidRPr="00A46557">
        <w:rPr>
          <w:i/>
          <w:iCs/>
          <w:sz w:val="24"/>
          <w:szCs w:val="24"/>
        </w:rPr>
        <w:t xml:space="preserve"> Типове лингвистично поведение в екстремистки онлайн общности (по [7])</w:t>
      </w:r>
    </w:p>
    <w:p w14:paraId="12AC0C90" w14:textId="77777777" w:rsidR="00931447" w:rsidRDefault="00931447"/>
    <w:tbl>
      <w:tblPr>
        <w:tblStyle w:val="ac"/>
        <w:tblW w:w="0" w:type="auto"/>
        <w:tblLook w:val="04A0" w:firstRow="1" w:lastRow="0" w:firstColumn="1" w:lastColumn="0" w:noHBand="0" w:noVBand="1"/>
      </w:tblPr>
      <w:tblGrid>
        <w:gridCol w:w="4530"/>
        <w:gridCol w:w="4531"/>
      </w:tblGrid>
      <w:tr w:rsidR="008B6461" w14:paraId="052C9FF0" w14:textId="77777777" w:rsidTr="008B6461">
        <w:tc>
          <w:tcPr>
            <w:tcW w:w="4530" w:type="dxa"/>
          </w:tcPr>
          <w:p w14:paraId="6C1BFB95" w14:textId="4D2A6D0B" w:rsidR="008B6461" w:rsidRDefault="008B6461">
            <w:pPr>
              <w:rPr>
                <w:b/>
                <w:bCs/>
                <w:sz w:val="28"/>
                <w:szCs w:val="28"/>
              </w:rPr>
            </w:pPr>
            <w:r>
              <w:rPr>
                <w:b/>
                <w:bCs/>
                <w:sz w:val="24"/>
                <w:szCs w:val="24"/>
              </w:rPr>
              <w:t>Тип поведение</w:t>
            </w:r>
          </w:p>
        </w:tc>
        <w:tc>
          <w:tcPr>
            <w:tcW w:w="4531" w:type="dxa"/>
          </w:tcPr>
          <w:p w14:paraId="088F86A2" w14:textId="6611D223" w:rsidR="008B6461" w:rsidRDefault="008B6461">
            <w:pPr>
              <w:rPr>
                <w:b/>
                <w:bCs/>
                <w:sz w:val="28"/>
                <w:szCs w:val="28"/>
              </w:rPr>
            </w:pPr>
            <w:r>
              <w:rPr>
                <w:b/>
                <w:bCs/>
                <w:sz w:val="24"/>
                <w:szCs w:val="24"/>
              </w:rPr>
              <w:t>Функция</w:t>
            </w:r>
          </w:p>
        </w:tc>
      </w:tr>
      <w:tr w:rsidR="008B6461" w14:paraId="0F670E89" w14:textId="77777777" w:rsidTr="008B6461">
        <w:tc>
          <w:tcPr>
            <w:tcW w:w="4530" w:type="dxa"/>
          </w:tcPr>
          <w:p w14:paraId="1C007EAD" w14:textId="7F4C8D17" w:rsidR="008B6461" w:rsidRDefault="008B6461">
            <w:pPr>
              <w:rPr>
                <w:b/>
                <w:bCs/>
                <w:sz w:val="28"/>
                <w:szCs w:val="28"/>
              </w:rPr>
            </w:pPr>
            <w:r>
              <w:rPr>
                <w:sz w:val="24"/>
                <w:szCs w:val="24"/>
              </w:rPr>
              <w:t>Алгоритмично</w:t>
            </w:r>
          </w:p>
        </w:tc>
        <w:tc>
          <w:tcPr>
            <w:tcW w:w="4531" w:type="dxa"/>
          </w:tcPr>
          <w:p w14:paraId="5A086712" w14:textId="2FE12EF5" w:rsidR="008B6461" w:rsidRDefault="008B6461">
            <w:pPr>
              <w:rPr>
                <w:b/>
                <w:bCs/>
                <w:sz w:val="28"/>
                <w:szCs w:val="28"/>
              </w:rPr>
            </w:pPr>
            <w:r>
              <w:rPr>
                <w:sz w:val="24"/>
                <w:szCs w:val="24"/>
              </w:rPr>
              <w:t>Заобикаляне на модерацията и филтрите чрез кодиран изказ и вариации в изписването</w:t>
            </w:r>
          </w:p>
        </w:tc>
      </w:tr>
      <w:tr w:rsidR="008B6461" w14:paraId="0083A74E" w14:textId="77777777" w:rsidTr="008B6461">
        <w:tc>
          <w:tcPr>
            <w:tcW w:w="4530" w:type="dxa"/>
          </w:tcPr>
          <w:p w14:paraId="7FA54DF2" w14:textId="13971EF4" w:rsidR="008B6461" w:rsidRDefault="008B6461">
            <w:pPr>
              <w:rPr>
                <w:b/>
                <w:bCs/>
                <w:sz w:val="28"/>
                <w:szCs w:val="28"/>
              </w:rPr>
            </w:pPr>
            <w:r>
              <w:rPr>
                <w:sz w:val="24"/>
                <w:szCs w:val="24"/>
              </w:rPr>
              <w:t>Конфликтно</w:t>
            </w:r>
          </w:p>
        </w:tc>
        <w:tc>
          <w:tcPr>
            <w:tcW w:w="4531" w:type="dxa"/>
          </w:tcPr>
          <w:p w14:paraId="03AC3541" w14:textId="2A37608D" w:rsidR="008B6461" w:rsidRDefault="008B6461">
            <w:pPr>
              <w:rPr>
                <w:b/>
                <w:bCs/>
                <w:sz w:val="28"/>
                <w:szCs w:val="28"/>
              </w:rPr>
            </w:pPr>
            <w:r>
              <w:rPr>
                <w:sz w:val="24"/>
                <w:szCs w:val="24"/>
              </w:rPr>
              <w:t>Провокиране и ескалиране на противопоставянето спрямо „чуждата“ група</w:t>
            </w:r>
          </w:p>
        </w:tc>
      </w:tr>
      <w:tr w:rsidR="008B6461" w14:paraId="3DE99C51" w14:textId="77777777" w:rsidTr="008B6461">
        <w:tc>
          <w:tcPr>
            <w:tcW w:w="4530" w:type="dxa"/>
          </w:tcPr>
          <w:p w14:paraId="55B600A6" w14:textId="4AFC1285" w:rsidR="008B6461" w:rsidRDefault="008B6461">
            <w:pPr>
              <w:rPr>
                <w:b/>
                <w:bCs/>
                <w:sz w:val="28"/>
                <w:szCs w:val="28"/>
              </w:rPr>
            </w:pPr>
            <w:r>
              <w:rPr>
                <w:sz w:val="24"/>
                <w:szCs w:val="24"/>
              </w:rPr>
              <w:t>На омраза</w:t>
            </w:r>
          </w:p>
        </w:tc>
        <w:tc>
          <w:tcPr>
            <w:tcW w:w="4531" w:type="dxa"/>
          </w:tcPr>
          <w:p w14:paraId="4243CBAE" w14:textId="6A811D8C" w:rsidR="008B6461" w:rsidRDefault="008B6461">
            <w:pPr>
              <w:rPr>
                <w:b/>
                <w:bCs/>
                <w:sz w:val="28"/>
                <w:szCs w:val="28"/>
              </w:rPr>
            </w:pPr>
            <w:r>
              <w:rPr>
                <w:sz w:val="24"/>
                <w:szCs w:val="24"/>
              </w:rPr>
              <w:t>Пряко дехуманизиращо и обидно говорене за аутгрупата</w:t>
            </w:r>
          </w:p>
        </w:tc>
      </w:tr>
      <w:tr w:rsidR="008B6461" w14:paraId="5044F546" w14:textId="77777777" w:rsidTr="008B6461">
        <w:tc>
          <w:tcPr>
            <w:tcW w:w="4530" w:type="dxa"/>
          </w:tcPr>
          <w:p w14:paraId="461E9B8E" w14:textId="36FC86F4" w:rsidR="008B6461" w:rsidRDefault="008B6461">
            <w:pPr>
              <w:rPr>
                <w:b/>
                <w:bCs/>
                <w:sz w:val="28"/>
                <w:szCs w:val="28"/>
              </w:rPr>
            </w:pPr>
            <w:r>
              <w:rPr>
                <w:sz w:val="24"/>
                <w:szCs w:val="24"/>
              </w:rPr>
              <w:t>Позитивно себепредставяне</w:t>
            </w:r>
          </w:p>
        </w:tc>
        <w:tc>
          <w:tcPr>
            <w:tcW w:w="4531" w:type="dxa"/>
          </w:tcPr>
          <w:p w14:paraId="1F425F0B" w14:textId="5D4294F6" w:rsidR="008B6461" w:rsidRDefault="008B6461">
            <w:pPr>
              <w:rPr>
                <w:b/>
                <w:bCs/>
                <w:sz w:val="28"/>
                <w:szCs w:val="28"/>
              </w:rPr>
            </w:pPr>
            <w:r>
              <w:rPr>
                <w:sz w:val="24"/>
                <w:szCs w:val="24"/>
              </w:rPr>
              <w:t>Изграждане на положителен образ и сплотеност на „своята“ група</w:t>
            </w:r>
          </w:p>
        </w:tc>
      </w:tr>
      <w:tr w:rsidR="008B6461" w14:paraId="5B2AC514" w14:textId="77777777" w:rsidTr="008B6461">
        <w:tc>
          <w:tcPr>
            <w:tcW w:w="4530" w:type="dxa"/>
          </w:tcPr>
          <w:p w14:paraId="008254D4" w14:textId="549E8F9B" w:rsidR="008B6461" w:rsidRDefault="008B6461">
            <w:pPr>
              <w:rPr>
                <w:b/>
                <w:bCs/>
                <w:sz w:val="28"/>
                <w:szCs w:val="28"/>
              </w:rPr>
            </w:pPr>
            <w:r>
              <w:rPr>
                <w:sz w:val="24"/>
                <w:szCs w:val="24"/>
              </w:rPr>
              <w:t>Набиране на членове</w:t>
            </w:r>
          </w:p>
        </w:tc>
        <w:tc>
          <w:tcPr>
            <w:tcW w:w="4531" w:type="dxa"/>
          </w:tcPr>
          <w:p w14:paraId="22FCE6B0" w14:textId="3FACF500" w:rsidR="008B6461" w:rsidRDefault="008B6461">
            <w:pPr>
              <w:rPr>
                <w:b/>
                <w:bCs/>
                <w:sz w:val="28"/>
                <w:szCs w:val="28"/>
              </w:rPr>
            </w:pPr>
            <w:r>
              <w:rPr>
                <w:sz w:val="24"/>
                <w:szCs w:val="24"/>
              </w:rPr>
              <w:t>Привличане и постепенно включване на нови участници в общността</w:t>
            </w:r>
          </w:p>
        </w:tc>
      </w:tr>
    </w:tbl>
    <w:p w14:paraId="15881CB7" w14:textId="77777777" w:rsidR="008B6461" w:rsidRDefault="008B6461">
      <w:pPr>
        <w:rPr>
          <w:b/>
          <w:bCs/>
          <w:sz w:val="28"/>
          <w:szCs w:val="28"/>
        </w:rPr>
      </w:pPr>
    </w:p>
    <w:p w14:paraId="6D6AADFA" w14:textId="2CA37339" w:rsidR="00931447" w:rsidRDefault="00A46557">
      <w:r>
        <w:rPr>
          <w:b/>
          <w:bCs/>
          <w:sz w:val="28"/>
          <w:szCs w:val="28"/>
          <w:lang w:val="bg-BG"/>
        </w:rPr>
        <w:t>3</w:t>
      </w:r>
      <w:r w:rsidR="00000000">
        <w:rPr>
          <w:b/>
          <w:bCs/>
          <w:sz w:val="28"/>
          <w:szCs w:val="28"/>
        </w:rPr>
        <w:t xml:space="preserve">. </w:t>
      </w:r>
      <w:r>
        <w:rPr>
          <w:b/>
          <w:bCs/>
          <w:sz w:val="28"/>
          <w:szCs w:val="28"/>
          <w:lang w:val="bg-BG"/>
        </w:rPr>
        <w:t>Х</w:t>
      </w:r>
      <w:r>
        <w:rPr>
          <w:b/>
          <w:bCs/>
          <w:sz w:val="28"/>
          <w:szCs w:val="28"/>
        </w:rPr>
        <w:t>умор, ирония и „декодируема“ комуникация</w:t>
      </w:r>
    </w:p>
    <w:p w14:paraId="349989C2" w14:textId="02980305" w:rsidR="00931447" w:rsidRDefault="00000000">
      <w:pPr>
        <w:jc w:val="both"/>
      </w:pPr>
      <w:r>
        <w:rPr>
          <w:sz w:val="28"/>
          <w:szCs w:val="28"/>
        </w:rPr>
        <w:t xml:space="preserve">Не по-малко значима е ролята на хумора и иронията в изграждането на символните граници. Изследване на визуалната култура в т.нар. „чан“ сайтове установява, че мемите се използват за популяризиране на екстремистки наративи „под прикритието на попкултурна естетика, хумор и ирония“, което понижава прага за участие и привлича по-млада, дигитално ориентирана аудитория </w:t>
      </w:r>
      <w:r w:rsidR="00A46557">
        <w:rPr>
          <w:sz w:val="28"/>
          <w:szCs w:val="28"/>
          <w:lang w:val="bg-BG"/>
        </w:rPr>
        <w:t>.</w:t>
      </w:r>
      <w:r>
        <w:rPr>
          <w:sz w:val="28"/>
          <w:szCs w:val="28"/>
        </w:rPr>
        <w:t>[8] Авторите подчертават, че значението на голяма част от изображенията остава недостъпно за случайния наблюдател – то се разчита единствено от „посветените“, усвоили специфичния речник, теми и внушения на общността, докато самата ирония осигурява на участниците известна степен на правдоподобно отричане на буквалния смисъл на изказаното.</w:t>
      </w:r>
      <w:r w:rsidR="00A46557">
        <w:rPr>
          <w:lang w:val="bg-BG"/>
        </w:rPr>
        <w:t xml:space="preserve"> </w:t>
      </w:r>
      <w:r>
        <w:rPr>
          <w:sz w:val="28"/>
          <w:szCs w:val="28"/>
        </w:rPr>
        <w:t>Аналогична функция изпълнява и хуморът в по-стари, текстово ориентирани бяло-супрематистки онлайн пространства: анализ на шеги, споделяни във форуми, показва, че смехът едновременно укрепва вътрешната сплотеност на групата и служи като средство за символна дехуманизация на аутгрупата, като по този начин омразата се предлага в социално по-приемлива, привидно несериозна опаковка</w:t>
      </w:r>
      <w:r w:rsidR="00A46557">
        <w:rPr>
          <w:sz w:val="28"/>
          <w:szCs w:val="28"/>
          <w:lang w:val="bg-BG"/>
        </w:rPr>
        <w:t>.</w:t>
      </w:r>
      <w:r>
        <w:rPr>
          <w:sz w:val="28"/>
          <w:szCs w:val="28"/>
        </w:rPr>
        <w:t xml:space="preserve"> [9] Ключовата за настоящия доклад теза е, че смяната на регистъра </w:t>
      </w:r>
      <w:r w:rsidR="00A46557">
        <w:rPr>
          <w:sz w:val="28"/>
          <w:szCs w:val="28"/>
          <w:lang w:val="bg-BG"/>
        </w:rPr>
        <w:t>-</w:t>
      </w:r>
      <w:r>
        <w:rPr>
          <w:sz w:val="28"/>
          <w:szCs w:val="28"/>
        </w:rPr>
        <w:t xml:space="preserve"> от директно и открито </w:t>
      </w:r>
      <w:r>
        <w:rPr>
          <w:sz w:val="28"/>
          <w:szCs w:val="28"/>
        </w:rPr>
        <w:lastRenderedPageBreak/>
        <w:t xml:space="preserve">изразяване към ироничен, кодиран и хумористичен </w:t>
      </w:r>
      <w:r w:rsidR="00A46557">
        <w:rPr>
          <w:sz w:val="28"/>
          <w:szCs w:val="28"/>
          <w:lang w:val="bg-BG"/>
        </w:rPr>
        <w:t>-</w:t>
      </w:r>
      <w:r>
        <w:rPr>
          <w:sz w:val="28"/>
          <w:szCs w:val="28"/>
        </w:rPr>
        <w:t xml:space="preserve"> не намалява радикалността на съдържанието, а по-скоро я маскира и разширява кръга от потенциални симпатизанти, преди самата радикалност да бъде разкрита пред външен наблюдател или дори пред самия участник.</w:t>
      </w:r>
    </w:p>
    <w:p w14:paraId="014699DE" w14:textId="1A2D4B1E" w:rsidR="00931447" w:rsidRDefault="00A46557">
      <w:r>
        <w:rPr>
          <w:b/>
          <w:bCs/>
          <w:sz w:val="28"/>
          <w:szCs w:val="28"/>
          <w:lang w:val="bg-BG"/>
        </w:rPr>
        <w:t>4</w:t>
      </w:r>
      <w:r w:rsidR="00000000">
        <w:rPr>
          <w:b/>
          <w:bCs/>
          <w:sz w:val="28"/>
          <w:szCs w:val="28"/>
        </w:rPr>
        <w:t xml:space="preserve">. </w:t>
      </w:r>
      <w:r>
        <w:rPr>
          <w:b/>
          <w:bCs/>
          <w:sz w:val="28"/>
          <w:szCs w:val="28"/>
          <w:lang w:val="bg-BG"/>
        </w:rPr>
        <w:t>П</w:t>
      </w:r>
      <w:r>
        <w:rPr>
          <w:b/>
          <w:bCs/>
          <w:sz w:val="28"/>
          <w:szCs w:val="28"/>
        </w:rPr>
        <w:t>ромяната в езика като индикатор за радикализация</w:t>
      </w:r>
    </w:p>
    <w:p w14:paraId="13961AB3" w14:textId="6944C091" w:rsidR="00931447" w:rsidRDefault="00000000">
      <w:pPr>
        <w:jc w:val="both"/>
      </w:pPr>
      <w:r>
        <w:rPr>
          <w:sz w:val="28"/>
          <w:szCs w:val="28"/>
        </w:rPr>
        <w:t xml:space="preserve">Централният въпрос, поставен в резюмето на настоящия доклад, е доколко промяната в изразите, шегите, евфемизмите и кодираните значения, както и целият символен репертоар на дадена общност, може да служи като ранен индикатор за протичащ процес на радикализация. Разгледаните изследвания дават относително последователен, но нюансиран отговор. От една страна, нарастващата плътност на групов жаргон, скоростта на неговото усвояване от нов участник и все по-честата употреба на кодирани и иронични изрази корелират с други, независимо измерени показатели на радикализация </w:t>
      </w:r>
      <w:r w:rsidR="00A46557">
        <w:rPr>
          <w:sz w:val="28"/>
          <w:szCs w:val="28"/>
          <w:lang w:val="bg-BG"/>
        </w:rPr>
        <w:t>-</w:t>
      </w:r>
      <w:r>
        <w:rPr>
          <w:sz w:val="28"/>
          <w:szCs w:val="28"/>
        </w:rPr>
        <w:t xml:space="preserve"> продължителност на участие, обем на публикациите и степен на социална свързаност в общността [5; 6]. От друга страна, самото наличие на специфичен жаргон не е достатъчно условие за радикализация: множество безобидни онлайн общности развиват собствен „инсайдерски“ речник единствено като израз на субкултурна принадлежност, без това да води до насилие или омраза.</w:t>
      </w:r>
      <w:r w:rsidR="00A46557">
        <w:rPr>
          <w:lang w:val="bg-BG"/>
        </w:rPr>
        <w:t xml:space="preserve"> </w:t>
      </w:r>
      <w:r>
        <w:rPr>
          <w:sz w:val="28"/>
          <w:szCs w:val="28"/>
        </w:rPr>
        <w:t xml:space="preserve">Затова методологически най-надежден е не статичният анализ на речника в определен момент, а проследяването на неговата динамика във времето </w:t>
      </w:r>
      <w:r w:rsidR="00A46557">
        <w:rPr>
          <w:sz w:val="28"/>
          <w:szCs w:val="28"/>
          <w:lang w:val="bg-BG"/>
        </w:rPr>
        <w:t>-</w:t>
      </w:r>
      <w:r>
        <w:rPr>
          <w:sz w:val="28"/>
          <w:szCs w:val="28"/>
        </w:rPr>
        <w:t xml:space="preserve"> скоростта на нарастване на дела кодирани изрази, посоката на промяна в емоционалния тон и степента, до която новите членове усвояват жаргона преди да усвоят самата идеология. Подобен мониторинг обаче поставя и сериозни методологически и етични въпроси, свързани със защитата на личните данни, границите на допустимата намеса в затворени онлайн пространства и риска от свръхинтерпретация на безобидна субкултурна реч като заплаха</w:t>
      </w:r>
      <w:r w:rsidR="00A46557">
        <w:rPr>
          <w:sz w:val="28"/>
          <w:szCs w:val="28"/>
          <w:lang w:val="bg-BG"/>
        </w:rPr>
        <w:t>.</w:t>
      </w:r>
      <w:r>
        <w:rPr>
          <w:sz w:val="28"/>
          <w:szCs w:val="28"/>
        </w:rPr>
        <w:t xml:space="preserve"> [10] Именно динамиката на езика, разглеждана внимателно и в контекст, а не отделните думи сами по себе си, е сигналът, който заслужава внимание от гледна точка на превенцията.</w:t>
      </w:r>
    </w:p>
    <w:p w14:paraId="008AF639" w14:textId="684B8DC8" w:rsidR="00931447" w:rsidRDefault="00A46557">
      <w:r>
        <w:rPr>
          <w:b/>
          <w:bCs/>
          <w:sz w:val="28"/>
          <w:szCs w:val="28"/>
          <w:lang w:val="bg-BG"/>
        </w:rPr>
        <w:t>5</w:t>
      </w:r>
      <w:r w:rsidR="00000000">
        <w:rPr>
          <w:b/>
          <w:bCs/>
          <w:sz w:val="28"/>
          <w:szCs w:val="28"/>
        </w:rPr>
        <w:t xml:space="preserve">. </w:t>
      </w:r>
      <w:r>
        <w:rPr>
          <w:b/>
          <w:bCs/>
          <w:sz w:val="28"/>
          <w:szCs w:val="28"/>
          <w:lang w:val="bg-BG"/>
        </w:rPr>
        <w:t>П</w:t>
      </w:r>
      <w:r>
        <w:rPr>
          <w:b/>
          <w:bCs/>
          <w:sz w:val="28"/>
          <w:szCs w:val="28"/>
        </w:rPr>
        <w:t xml:space="preserve">риложение към практиката по национална сигурност в </w:t>
      </w:r>
      <w:r>
        <w:rPr>
          <w:b/>
          <w:bCs/>
          <w:sz w:val="28"/>
          <w:szCs w:val="28"/>
          <w:lang w:val="bg-BG"/>
        </w:rPr>
        <w:t>Б</w:t>
      </w:r>
      <w:r>
        <w:rPr>
          <w:b/>
          <w:bCs/>
          <w:sz w:val="28"/>
          <w:szCs w:val="28"/>
        </w:rPr>
        <w:t>ългария</w:t>
      </w:r>
    </w:p>
    <w:p w14:paraId="2644497F" w14:textId="14DF0953" w:rsidR="00931447" w:rsidRPr="00A46557" w:rsidRDefault="00000000">
      <w:pPr>
        <w:jc w:val="both"/>
        <w:rPr>
          <w:lang w:val="bg-BG"/>
        </w:rPr>
      </w:pPr>
      <w:r>
        <w:rPr>
          <w:sz w:val="28"/>
          <w:szCs w:val="28"/>
        </w:rPr>
        <w:t>За българската практика по превенция на радикализацията темата е особено актуална, тъй като процесите на групово въвличане</w:t>
      </w:r>
      <w:r w:rsidR="00A46557">
        <w:rPr>
          <w:sz w:val="28"/>
          <w:szCs w:val="28"/>
          <w:lang w:val="bg-BG"/>
        </w:rPr>
        <w:t>,</w:t>
      </w:r>
      <w:r>
        <w:rPr>
          <w:sz w:val="28"/>
          <w:szCs w:val="28"/>
        </w:rPr>
        <w:t xml:space="preserve"> независимо дали протичат във физическа, или в дигитална среда</w:t>
      </w:r>
      <w:r w:rsidR="00A46557">
        <w:rPr>
          <w:sz w:val="28"/>
          <w:szCs w:val="28"/>
          <w:lang w:val="bg-BG"/>
        </w:rPr>
        <w:t>,</w:t>
      </w:r>
      <w:r>
        <w:rPr>
          <w:sz w:val="28"/>
          <w:szCs w:val="28"/>
        </w:rPr>
        <w:t xml:space="preserve"> се основават на сходни психологически механизми на внушение, подражание, страх и паника, каквито Валерия Дончева анализира в контекста на динамиката на груповото поведение</w:t>
      </w:r>
      <w:r w:rsidR="00A46557">
        <w:rPr>
          <w:sz w:val="28"/>
          <w:szCs w:val="28"/>
          <w:lang w:val="bg-BG"/>
        </w:rPr>
        <w:t xml:space="preserve">. </w:t>
      </w:r>
      <w:r>
        <w:rPr>
          <w:sz w:val="28"/>
          <w:szCs w:val="28"/>
        </w:rPr>
        <w:t>[11] Пренесени в дигиталната среда, тези механизми обясняват защо усвояването на общ жаргон действа не само като информационен, а и като емоционален лост: повтарянето на споделени изрази и вътрешни шеги произвежда усещане за принадлежност, което се разпространява подражателно сред нови участници, по логика, сходна с класическите модели на груповото внушение и заразяване.</w:t>
      </w:r>
      <w:r w:rsidR="00A46557">
        <w:rPr>
          <w:lang w:val="bg-BG"/>
        </w:rPr>
        <w:t xml:space="preserve"> </w:t>
      </w:r>
      <w:r>
        <w:rPr>
          <w:sz w:val="28"/>
          <w:szCs w:val="28"/>
        </w:rPr>
        <w:t xml:space="preserve">Тази перспектива е застъпена и в българската специализирана литература, посветена на радикализацията сред младите хора, която откроява ролята на интернет средата и социалните мрежи като пространство, в което младежите биват привлечени постепенно, чрез стъпаловидно навлизане в общности със собствена символика, преди да достигнат до открито радикализирано </w:t>
      </w:r>
      <w:r>
        <w:rPr>
          <w:sz w:val="28"/>
          <w:szCs w:val="28"/>
        </w:rPr>
        <w:lastRenderedPageBreak/>
        <w:t>съдържание</w:t>
      </w:r>
      <w:r w:rsidR="00A46557">
        <w:rPr>
          <w:sz w:val="28"/>
          <w:szCs w:val="28"/>
          <w:lang w:val="bg-BG"/>
        </w:rPr>
        <w:t>.</w:t>
      </w:r>
      <w:r>
        <w:rPr>
          <w:sz w:val="28"/>
          <w:szCs w:val="28"/>
        </w:rPr>
        <w:t xml:space="preserve"> [12] В съответствие с тази оценка, актуализираната Стратегия за противодействие на радикализацията и тероризма на Република България за периода 2026 </w:t>
      </w:r>
      <w:r w:rsidR="00A46557">
        <w:rPr>
          <w:sz w:val="28"/>
          <w:szCs w:val="28"/>
          <w:lang w:val="bg-BG"/>
        </w:rPr>
        <w:t>-</w:t>
      </w:r>
      <w:r>
        <w:rPr>
          <w:sz w:val="28"/>
          <w:szCs w:val="28"/>
        </w:rPr>
        <w:t xml:space="preserve"> 2030 г. изрично отчита, че динамичните промени в средата на заплахите, транснационалният характер на екстремистките мрежи и новите технологии за разпространение на радикални идеи налагат надграждане на съществуващите механизми за превенция, сред които анализът на комуникационните модели в дигитална среда логично намира своето място като допълващ, а не самостоятелен инструмент.</w:t>
      </w:r>
      <w:r w:rsidR="00A46557">
        <w:rPr>
          <w:sz w:val="28"/>
          <w:szCs w:val="28"/>
          <w:lang w:val="bg-BG"/>
        </w:rPr>
        <w:t xml:space="preserve"> </w:t>
      </w:r>
      <w:r w:rsidR="00A46557">
        <w:rPr>
          <w:sz w:val="28"/>
          <w:szCs w:val="28"/>
        </w:rPr>
        <w:t>[13]</w:t>
      </w:r>
    </w:p>
    <w:p w14:paraId="24C45B70" w14:textId="1D421B16" w:rsidR="00931447" w:rsidRPr="00A46557" w:rsidRDefault="00A46557">
      <w:pPr>
        <w:rPr>
          <w:lang w:val="bg-BG"/>
        </w:rPr>
      </w:pPr>
      <w:r>
        <w:rPr>
          <w:b/>
          <w:bCs/>
          <w:sz w:val="28"/>
          <w:szCs w:val="28"/>
          <w:lang w:val="bg-BG"/>
        </w:rPr>
        <w:t>Заключение</w:t>
      </w:r>
    </w:p>
    <w:p w14:paraId="1BF4AA69" w14:textId="2091F091" w:rsidR="00931447" w:rsidRDefault="00000000">
      <w:pPr>
        <w:jc w:val="both"/>
      </w:pPr>
      <w:r>
        <w:rPr>
          <w:sz w:val="28"/>
          <w:szCs w:val="28"/>
        </w:rPr>
        <w:t xml:space="preserve">Жаргонът и символният репертоар на радикализиращите се дигитални субкултури не са периферна, чисто стилистична характеристика на тези общности, а централен механизъм за конструиране на границата между „свои“ и „чужди“ и за производство на образа на противника. Разгледаните изследвания подкрепят тезата, че промяната в езика </w:t>
      </w:r>
      <w:r w:rsidR="00A46557">
        <w:rPr>
          <w:sz w:val="28"/>
          <w:szCs w:val="28"/>
          <w:lang w:val="bg-BG"/>
        </w:rPr>
        <w:t>-</w:t>
      </w:r>
      <w:r>
        <w:rPr>
          <w:sz w:val="28"/>
          <w:szCs w:val="28"/>
        </w:rPr>
        <w:t xml:space="preserve"> нарастващата плътност на груповия жаргон, навлизането на кодирани и иронични изрази, ускореното му усвояване от нови участници </w:t>
      </w:r>
      <w:r w:rsidR="00A46557">
        <w:rPr>
          <w:sz w:val="28"/>
          <w:szCs w:val="28"/>
          <w:lang w:val="bg-BG"/>
        </w:rPr>
        <w:t>-</w:t>
      </w:r>
      <w:r>
        <w:rPr>
          <w:sz w:val="28"/>
          <w:szCs w:val="28"/>
        </w:rPr>
        <w:t xml:space="preserve"> корелира с процеса на радикализация и може да служи като косвен, но полезен индикатор в аналитичната и превантивната работа на институциите по сигурността. Същевременно подобен лингвистичен мониторинг трябва да бъде съчетаван с други, независими показатели и да се провежда при спазване на ясни етични и правни граници, тъй като жаргонът сам по себе си е обичайно явление за всяка онлайн субкултура и носи риск от свръхинтерпретация и незаслужено стигматизиране на безобидни дигитални общности. Бъдещите изследвания в тази посока биха имали полза от съчетаването на количествен лингвистичен анализ с качествено, контекстуализирано разбиране на конкретните общности </w:t>
      </w:r>
      <w:r w:rsidR="00A46557">
        <w:rPr>
          <w:sz w:val="28"/>
          <w:szCs w:val="28"/>
          <w:lang w:val="bg-BG"/>
        </w:rPr>
        <w:t>-</w:t>
      </w:r>
      <w:r>
        <w:rPr>
          <w:sz w:val="28"/>
          <w:szCs w:val="28"/>
        </w:rPr>
        <w:t xml:space="preserve"> подход, който е в основата и на настоящия доклад.</w:t>
      </w:r>
    </w:p>
    <w:p w14:paraId="143A4601" w14:textId="77777777" w:rsidR="00931447" w:rsidRDefault="00931447"/>
    <w:p w14:paraId="1A9C4F42" w14:textId="77777777" w:rsidR="00931447" w:rsidRDefault="00000000">
      <w:r>
        <w:rPr>
          <w:b/>
          <w:bCs/>
          <w:sz w:val="28"/>
          <w:szCs w:val="28"/>
        </w:rPr>
        <w:t>Благодарности и финансиране</w:t>
      </w:r>
    </w:p>
    <w:p w14:paraId="799967F9" w14:textId="77777777" w:rsidR="00931447" w:rsidRDefault="00000000">
      <w:pPr>
        <w:jc w:val="both"/>
      </w:pPr>
      <w:r>
        <w:rPr>
          <w:sz w:val="28"/>
          <w:szCs w:val="28"/>
        </w:rPr>
        <w:t>Докладът не е подготвен с външно финансиране.</w:t>
      </w:r>
    </w:p>
    <w:p w14:paraId="0D36A2DD" w14:textId="77777777" w:rsidR="00931447" w:rsidRDefault="00931447"/>
    <w:p w14:paraId="04129EE1" w14:textId="77777777" w:rsidR="00931447" w:rsidRDefault="00000000">
      <w:r>
        <w:rPr>
          <w:b/>
          <w:bCs/>
          <w:sz w:val="28"/>
          <w:szCs w:val="28"/>
        </w:rPr>
        <w:t>БЕЛЕЖКИ:</w:t>
      </w:r>
    </w:p>
    <w:p w14:paraId="5965BFC1" w14:textId="77777777" w:rsidR="00931447" w:rsidRDefault="00000000">
      <w:pPr>
        <w:jc w:val="both"/>
      </w:pPr>
      <w:r>
        <w:rPr>
          <w:sz w:val="28"/>
          <w:szCs w:val="28"/>
        </w:rPr>
        <w:t>[1] BARTH, Fredrik (ed.). Ethnic Groups and Boundaries: The Social Organization of Culture Difference. Boston: Little, Brown and Company, 1969.</w:t>
      </w:r>
    </w:p>
    <w:p w14:paraId="2F7A3AC9" w14:textId="77777777" w:rsidR="00931447" w:rsidRDefault="00000000">
      <w:pPr>
        <w:jc w:val="both"/>
      </w:pPr>
      <w:r>
        <w:rPr>
          <w:sz w:val="28"/>
          <w:szCs w:val="28"/>
        </w:rPr>
        <w:t>[2] LAMONT, Michèle and MOLNÁR, Virág. The Study of Boundaries in the Social Sciences. Annual Review of Sociology, vol. 28 (2002), pp. 167-195.</w:t>
      </w:r>
    </w:p>
    <w:p w14:paraId="7F2E0B88" w14:textId="77777777" w:rsidR="00931447" w:rsidRDefault="00000000">
      <w:pPr>
        <w:jc w:val="both"/>
      </w:pPr>
      <w:r>
        <w:rPr>
          <w:sz w:val="28"/>
          <w:szCs w:val="28"/>
        </w:rPr>
        <w:t>[3] BERGER, J. M. Extremism. Cambridge, MA: The MIT Press, 2018.</w:t>
      </w:r>
    </w:p>
    <w:p w14:paraId="247D4A6F" w14:textId="77777777" w:rsidR="00931447" w:rsidRDefault="00000000">
      <w:pPr>
        <w:jc w:val="both"/>
      </w:pPr>
      <w:r>
        <w:rPr>
          <w:sz w:val="28"/>
          <w:szCs w:val="28"/>
        </w:rPr>
        <w:t>[4] VERGANI, Matteo and BLIUC, Ana-Maria. The Evolution of the ISIS' Language: A Quantitative Analysis of the Language of the First Year of Dabiq Magazine. Sicurezza, Terrorismo e Società, vol. 2 (2015), no. 2, pp. 7-20.</w:t>
      </w:r>
    </w:p>
    <w:p w14:paraId="759D38B2" w14:textId="77777777" w:rsidR="00931447" w:rsidRDefault="00000000">
      <w:pPr>
        <w:jc w:val="both"/>
      </w:pPr>
      <w:r>
        <w:rPr>
          <w:sz w:val="28"/>
          <w:szCs w:val="28"/>
        </w:rPr>
        <w:t>[5] FERNANDEZ, Miriam, ASIF, Moizzah and ALANI, Harith. Understanding the Roots of Radicalisation on Twitter. In: WebSci '18: Proceedings of the 10th ACM Conference on Web Science, Amsterdam, 27-30 May 2018, pp. 1-10. New York: ACM, 2018.</w:t>
      </w:r>
    </w:p>
    <w:p w14:paraId="2B950398" w14:textId="77777777" w:rsidR="00931447" w:rsidRDefault="00000000">
      <w:pPr>
        <w:jc w:val="both"/>
      </w:pPr>
      <w:r>
        <w:rPr>
          <w:sz w:val="28"/>
          <w:szCs w:val="28"/>
        </w:rPr>
        <w:t xml:space="preserve">[6] DE KOCK, Christine and HOVY, Dirk. Investigating Radicalisation Indicators in Online Extremist Communities. In: Proceedings of the 8th </w:t>
      </w:r>
      <w:r>
        <w:rPr>
          <w:sz w:val="28"/>
          <w:szCs w:val="28"/>
        </w:rPr>
        <w:lastRenderedPageBreak/>
        <w:t>Workshop on Online Abuse and Harms (WOAH 2024), pp. 1-12. Mexico City: Association for Computational Linguistics, 2024.</w:t>
      </w:r>
    </w:p>
    <w:p w14:paraId="0EB7ACAC" w14:textId="77777777" w:rsidR="00931447" w:rsidRDefault="00000000">
      <w:pPr>
        <w:jc w:val="both"/>
      </w:pPr>
      <w:r>
        <w:rPr>
          <w:sz w:val="28"/>
          <w:szCs w:val="28"/>
        </w:rPr>
        <w:t>[7] WILLIAMS, Thomas and TZANI, Calli. How does language influence the radicalisation process? A systematic review of research exploring online extremist communication and discussion. Behavioral Sciences of Terrorism and Political Aggression, vol. 16 (2024), no. 3, pp. 310-330.</w:t>
      </w:r>
    </w:p>
    <w:p w14:paraId="3767FCC8" w14:textId="77777777" w:rsidR="00931447" w:rsidRDefault="00000000">
      <w:pPr>
        <w:jc w:val="both"/>
      </w:pPr>
      <w:r>
        <w:rPr>
          <w:sz w:val="28"/>
          <w:szCs w:val="28"/>
        </w:rPr>
        <w:t>[8] CRAWFORD, Blyth, KEEN, Florence and SUAREZ-TANGIL, Guillermo. Memes, Radicalisation, and the Promotion of Violence on Chan Sites. Proceedings of the International AAAI Conference on Web and Social Media, vol. 15 (2021), no. 1, pp. 982-991.</w:t>
      </w:r>
    </w:p>
    <w:p w14:paraId="2B594446" w14:textId="77777777" w:rsidR="00931447" w:rsidRDefault="00000000">
      <w:pPr>
        <w:jc w:val="both"/>
      </w:pPr>
      <w:r>
        <w:rPr>
          <w:sz w:val="28"/>
          <w:szCs w:val="28"/>
        </w:rPr>
        <w:t>[9] PÉREZ, Raúl. The Souls of White Jokes: How Racist Humor Fuels White Supremacy. Stanford, CA: Stanford University Press, 2022.</w:t>
      </w:r>
    </w:p>
    <w:p w14:paraId="1A9CED13" w14:textId="77777777" w:rsidR="00931447" w:rsidRDefault="00000000">
      <w:pPr>
        <w:jc w:val="both"/>
      </w:pPr>
      <w:r>
        <w:rPr>
          <w:sz w:val="28"/>
          <w:szCs w:val="28"/>
        </w:rPr>
        <w:t>[10] SOLD, Manjana and JUNK, Julian. Researching Extremist Content on Social Media Platforms: Data Protection and Research Ethics Challenges and Opportunities. Online. London: Global Network on Extremism and Technology (GNET), 2021. Available from: https://gnet-research.org/wp-content/uploads/2021/01/GNET-Report-Researching-Extremist-Content-Social-Media-Ethics.pdf. [viewed 2026-09-13].</w:t>
      </w:r>
    </w:p>
    <w:p w14:paraId="113FBBDC" w14:textId="77777777" w:rsidR="00931447" w:rsidRDefault="00000000">
      <w:pPr>
        <w:jc w:val="both"/>
      </w:pPr>
      <w:r>
        <w:rPr>
          <w:sz w:val="28"/>
          <w:szCs w:val="28"/>
        </w:rPr>
        <w:t>[11] ДОНЧЕВА, Валерия. Динамика на груповото поведение. Механизми на внушението, подражанието, страха и паниката. В: Сборник доклади от научна конференция „Актуални проблеми на сигурността“, Велико Търново, 7-8 май 2026 г. Том 3, с. 166-174. Велико Търново: Издателски комплекс на НВУ „Васил Левски“, 2026. ISSN 2367-7465.</w:t>
      </w:r>
    </w:p>
    <w:p w14:paraId="5516A51D" w14:textId="77777777" w:rsidR="00931447" w:rsidRDefault="00000000">
      <w:pPr>
        <w:jc w:val="both"/>
      </w:pPr>
      <w:r>
        <w:rPr>
          <w:sz w:val="28"/>
          <w:szCs w:val="28"/>
        </w:rPr>
        <w:t>[12] БОЖИЛОВ, Йордан (ред.). Радикализмът и младите. София: Елестра, 2016.</w:t>
      </w:r>
    </w:p>
    <w:p w14:paraId="60C91A3B" w14:textId="77777777" w:rsidR="00931447" w:rsidRDefault="00000000">
      <w:pPr>
        <w:jc w:val="both"/>
      </w:pPr>
      <w:r>
        <w:rPr>
          <w:sz w:val="28"/>
          <w:szCs w:val="28"/>
        </w:rPr>
        <w:t>[13] МИНИСТЕРСКИ СЪВЕТ НА РЕПУБЛИКА БЪЛГАРИЯ. Стратегия за противодействие на радикализацията и тероризма (2026 – 2030 г.). Online. София, 2026. Available from: https://www.strategy.bg/download/1320203. [viewed 2026-09-13].</w:t>
      </w:r>
    </w:p>
    <w:p w14:paraId="1E003B54" w14:textId="77777777" w:rsidR="00931447" w:rsidRDefault="00931447"/>
    <w:p w14:paraId="09F0BC97" w14:textId="77777777" w:rsidR="00931447" w:rsidRDefault="00000000">
      <w:r>
        <w:rPr>
          <w:b/>
          <w:bCs/>
          <w:sz w:val="28"/>
          <w:szCs w:val="28"/>
        </w:rPr>
        <w:t>ЛИТЕРАТУРА:</w:t>
      </w:r>
    </w:p>
    <w:p w14:paraId="737FB3BC" w14:textId="77777777" w:rsidR="00931447" w:rsidRDefault="00000000">
      <w:pPr>
        <w:jc w:val="both"/>
      </w:pPr>
      <w:r>
        <w:rPr>
          <w:sz w:val="28"/>
          <w:szCs w:val="28"/>
        </w:rPr>
        <w:t>1. БОЖИЛОВ, Йордан (ред.). Радикализмът и младите. София: Елестра, 2016. ISBN 978-619-7292-02-2.</w:t>
      </w:r>
    </w:p>
    <w:p w14:paraId="051F2D0F" w14:textId="77777777" w:rsidR="00931447" w:rsidRDefault="00000000">
      <w:pPr>
        <w:jc w:val="both"/>
      </w:pPr>
      <w:r>
        <w:rPr>
          <w:sz w:val="28"/>
          <w:szCs w:val="28"/>
        </w:rPr>
        <w:t>2. ДОНЧЕВА, Валерия. Динамика на груповото поведение. Механизми на внушението, подражанието, страха и паниката. В: Сборник доклади от научна конференция „Актуални проблеми на сигурността“, Велико Търново, 7-8 май 2026 г. Том 3, с. 166-174. Велико Търново: Издателски комплекс на НВУ „Васил Левски“, 2026. ISSN 2367-7465.</w:t>
      </w:r>
    </w:p>
    <w:p w14:paraId="1810525F" w14:textId="77777777" w:rsidR="00931447" w:rsidRDefault="00000000">
      <w:pPr>
        <w:jc w:val="both"/>
      </w:pPr>
      <w:r>
        <w:rPr>
          <w:sz w:val="28"/>
          <w:szCs w:val="28"/>
        </w:rPr>
        <w:t>3. МИНИСТЕРСКИ СЪВЕТ НА РЕПУБЛИКА БЪЛГАРИЯ. Стратегия за противодействие на радикализацията и тероризма (2026 – 2030 г.). Online. София, 2026. Available from: https://www.strategy.bg/download/1320203. [viewed 2026-09-13].</w:t>
      </w:r>
    </w:p>
    <w:p w14:paraId="4534C9A6" w14:textId="77777777" w:rsidR="00931447" w:rsidRDefault="00000000">
      <w:pPr>
        <w:jc w:val="both"/>
      </w:pPr>
      <w:r>
        <w:rPr>
          <w:sz w:val="28"/>
          <w:szCs w:val="28"/>
        </w:rPr>
        <w:t>4. BARTH, Fredrik (ed.). Ethnic Groups and Boundaries: The Social Organization of Culture Difference. Boston: Little, Brown and Company, 1969.</w:t>
      </w:r>
    </w:p>
    <w:p w14:paraId="1528B58E" w14:textId="77777777" w:rsidR="00931447" w:rsidRDefault="00000000">
      <w:pPr>
        <w:jc w:val="both"/>
      </w:pPr>
      <w:r>
        <w:rPr>
          <w:sz w:val="28"/>
          <w:szCs w:val="28"/>
        </w:rPr>
        <w:t>5. BERGER, J. M. Extremism. Cambridge, MA: The MIT Press, 2018. ISBN 978-0-262-53587-8.</w:t>
      </w:r>
    </w:p>
    <w:p w14:paraId="55C9D0AA" w14:textId="77777777" w:rsidR="00931447" w:rsidRDefault="00000000">
      <w:pPr>
        <w:jc w:val="both"/>
      </w:pPr>
      <w:r>
        <w:rPr>
          <w:sz w:val="28"/>
          <w:szCs w:val="28"/>
        </w:rPr>
        <w:lastRenderedPageBreak/>
        <w:t>6. CRAWFORD, Blyth, KEEN, Florence and SUAREZ-TANGIL, Guillermo. Memes, Radicalisation, and the Promotion of Violence on Chan Sites. Proceedings of the International AAAI Conference on Web and Social Media, vol. 15 (2021), no. 1, pp. 982-991. Available from: https://doi.org/10.1609/icwsm.v15i1.18121.</w:t>
      </w:r>
    </w:p>
    <w:p w14:paraId="3A56FFEC" w14:textId="77777777" w:rsidR="00931447" w:rsidRDefault="00000000">
      <w:pPr>
        <w:jc w:val="both"/>
      </w:pPr>
      <w:r>
        <w:rPr>
          <w:sz w:val="28"/>
          <w:szCs w:val="28"/>
        </w:rPr>
        <w:t>7. DE KOCK, Christine and HOVY, Dirk. Investigating Radicalisation Indicators in Online Extremist Communities. In: Proceedings of the 8th Workshop on Online Abuse and Harms (WOAH 2024), pp. 1-12. Mexico City: Association for Computational Linguistics, 2024.</w:t>
      </w:r>
    </w:p>
    <w:p w14:paraId="36A4C55F" w14:textId="77777777" w:rsidR="00931447" w:rsidRDefault="00000000">
      <w:pPr>
        <w:jc w:val="both"/>
      </w:pPr>
      <w:r>
        <w:rPr>
          <w:sz w:val="28"/>
          <w:szCs w:val="28"/>
        </w:rPr>
        <w:t>8. FERNANDEZ, Miriam, ASIF, Moizzah and ALANI, Harith. Understanding the Roots of Radicalisation on Twitter. In: WebSci '18: Proceedings of the 10th ACM Conference on Web Science, Amsterdam, 27-30 May 2018, pp. 1-10. New York: ACM, 2018. Available from: https://doi.org/10.1145/3201064.3201082.</w:t>
      </w:r>
    </w:p>
    <w:p w14:paraId="6A348FAC" w14:textId="77777777" w:rsidR="00931447" w:rsidRDefault="00000000">
      <w:pPr>
        <w:jc w:val="both"/>
      </w:pPr>
      <w:r>
        <w:rPr>
          <w:sz w:val="28"/>
          <w:szCs w:val="28"/>
        </w:rPr>
        <w:t>9. LAMONT, Michèle and MOLNÁR, Virág. The Study of Boundaries in the Social Sciences. Annual Review of Sociology, vol. 28 (2002), pp. 167-195. ISSN 0360-0572.</w:t>
      </w:r>
    </w:p>
    <w:p w14:paraId="7D78A23B" w14:textId="77777777" w:rsidR="00931447" w:rsidRDefault="00000000">
      <w:pPr>
        <w:jc w:val="both"/>
      </w:pPr>
      <w:r>
        <w:rPr>
          <w:sz w:val="28"/>
          <w:szCs w:val="28"/>
        </w:rPr>
        <w:t>10. PÉREZ, Raúl. The Souls of White Jokes: How Racist Humor Fuels White Supremacy. Stanford, CA: Stanford University Press, 2022. ISBN 978-1-5036-1148-1.</w:t>
      </w:r>
    </w:p>
    <w:p w14:paraId="17F4AF17" w14:textId="77777777" w:rsidR="00931447" w:rsidRDefault="00000000">
      <w:pPr>
        <w:jc w:val="both"/>
      </w:pPr>
      <w:r>
        <w:rPr>
          <w:sz w:val="28"/>
          <w:szCs w:val="28"/>
        </w:rPr>
        <w:t>11. SOLD, Manjana and JUNK, Julian. Researching Extremist Content on Social Media Platforms: Data Protection and Research Ethics Challenges and Opportunities. Online. London: Global Network on Extremism and Technology (GNET), 2021. Available from: https://gnet-research.org/wp-content/uploads/2021/01/GNET-Report-Researching-Extremist-Content-Social-Media-Ethics.pdf. [viewed 2026-09-13].</w:t>
      </w:r>
    </w:p>
    <w:p w14:paraId="20EDD05C" w14:textId="77777777" w:rsidR="00931447" w:rsidRDefault="00000000">
      <w:pPr>
        <w:jc w:val="both"/>
      </w:pPr>
      <w:r>
        <w:rPr>
          <w:sz w:val="28"/>
          <w:szCs w:val="28"/>
        </w:rPr>
        <w:t>12. VERGANI, Matteo and BLIUC, Ana-Maria. The Evolution of the ISIS' Language: A Quantitative Analysis of the Language of the First Year of Dabiq Magazine. Sicurezza, Terrorismo e Società, vol. 2 (2015), no. 2, pp. 7-20.</w:t>
      </w:r>
    </w:p>
    <w:p w14:paraId="5E5F2C71" w14:textId="77777777" w:rsidR="00931447" w:rsidRDefault="00000000">
      <w:pPr>
        <w:jc w:val="both"/>
      </w:pPr>
      <w:r>
        <w:rPr>
          <w:sz w:val="28"/>
          <w:szCs w:val="28"/>
        </w:rPr>
        <w:t>13. WILLIAMS, Thomas and TZANI, Calli. How does language influence the radicalisation process? A systematic review of research exploring online extremist communication and discussion. Behavioral Sciences of Terrorism and Political Aggression, vol. 16 (2024), no. 3, pp. 310-330. Available from: https://doi.org/10.1080/19434472.2022.2104910.</w:t>
      </w:r>
    </w:p>
    <w:p w14:paraId="0438CEC9" w14:textId="77777777" w:rsidR="00931447" w:rsidRDefault="00931447"/>
    <w:p w14:paraId="12619F6F" w14:textId="66BB85D5" w:rsidR="00931447" w:rsidRPr="00A46557" w:rsidRDefault="00A46557">
      <w:pPr>
        <w:rPr>
          <w:lang w:val="bg-BG"/>
        </w:rPr>
      </w:pPr>
      <w:r>
        <w:rPr>
          <w:i/>
          <w:iCs/>
          <w:sz w:val="24"/>
          <w:szCs w:val="24"/>
          <w:lang w:val="bg-BG"/>
        </w:rPr>
        <w:t>Георги Костов Баев, доц. д-р</w:t>
      </w:r>
    </w:p>
    <w:p w14:paraId="462E1175" w14:textId="0BCD69B8" w:rsidR="00931447" w:rsidRPr="00A46557" w:rsidRDefault="00A46557">
      <w:pPr>
        <w:rPr>
          <w:lang w:val="bg-BG"/>
        </w:rPr>
      </w:pPr>
      <w:r>
        <w:rPr>
          <w:i/>
          <w:iCs/>
          <w:sz w:val="24"/>
          <w:szCs w:val="24"/>
          <w:lang w:val="bg-BG"/>
        </w:rPr>
        <w:t>НВУ „Васил Левски“, катедра „Национална и регионална сигурност“</w:t>
      </w:r>
    </w:p>
    <w:p w14:paraId="02342BD0" w14:textId="2F95196F" w:rsidR="00931447" w:rsidRPr="00A46557" w:rsidRDefault="00A46557">
      <w:pPr>
        <w:rPr>
          <w:lang w:val="bg-BG"/>
        </w:rPr>
      </w:pPr>
      <w:r>
        <w:rPr>
          <w:i/>
          <w:iCs/>
          <w:sz w:val="24"/>
          <w:szCs w:val="24"/>
          <w:lang w:val="bg-BG"/>
        </w:rPr>
        <w:t xml:space="preserve">Гр. В. Търново, бул. „България“ 76, </w:t>
      </w:r>
      <w:r w:rsidR="00000000">
        <w:rPr>
          <w:i/>
          <w:iCs/>
          <w:sz w:val="24"/>
          <w:szCs w:val="24"/>
        </w:rPr>
        <w:t xml:space="preserve">E-mail: </w:t>
      </w:r>
      <w:r>
        <w:rPr>
          <w:i/>
          <w:iCs/>
          <w:sz w:val="24"/>
          <w:szCs w:val="24"/>
        </w:rPr>
        <w:t>gkbaev@nvu.bg</w:t>
      </w:r>
    </w:p>
    <w:sectPr w:rsidR="00931447" w:rsidRPr="00A46557">
      <w:pgSz w:w="11906" w:h="16838"/>
      <w:pgMar w:top="1134" w:right="1134" w:bottom="850"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661E4"/>
    <w:multiLevelType w:val="hybridMultilevel"/>
    <w:tmpl w:val="4DC629B6"/>
    <w:lvl w:ilvl="0" w:tplc="73DC63D8">
      <w:start w:val="1"/>
      <w:numFmt w:val="bullet"/>
      <w:lvlText w:val="●"/>
      <w:lvlJc w:val="left"/>
      <w:pPr>
        <w:ind w:left="720" w:hanging="360"/>
      </w:pPr>
    </w:lvl>
    <w:lvl w:ilvl="1" w:tplc="ECFE8314">
      <w:start w:val="1"/>
      <w:numFmt w:val="bullet"/>
      <w:lvlText w:val="○"/>
      <w:lvlJc w:val="left"/>
      <w:pPr>
        <w:ind w:left="1440" w:hanging="360"/>
      </w:pPr>
    </w:lvl>
    <w:lvl w:ilvl="2" w:tplc="009CC7F2">
      <w:start w:val="1"/>
      <w:numFmt w:val="bullet"/>
      <w:lvlText w:val="■"/>
      <w:lvlJc w:val="left"/>
      <w:pPr>
        <w:ind w:left="2160" w:hanging="360"/>
      </w:pPr>
    </w:lvl>
    <w:lvl w:ilvl="3" w:tplc="3A148F78">
      <w:start w:val="1"/>
      <w:numFmt w:val="bullet"/>
      <w:lvlText w:val="●"/>
      <w:lvlJc w:val="left"/>
      <w:pPr>
        <w:ind w:left="2880" w:hanging="360"/>
      </w:pPr>
    </w:lvl>
    <w:lvl w:ilvl="4" w:tplc="834C9C06">
      <w:start w:val="1"/>
      <w:numFmt w:val="bullet"/>
      <w:lvlText w:val="○"/>
      <w:lvlJc w:val="left"/>
      <w:pPr>
        <w:ind w:left="3600" w:hanging="360"/>
      </w:pPr>
    </w:lvl>
    <w:lvl w:ilvl="5" w:tplc="317E260A">
      <w:start w:val="1"/>
      <w:numFmt w:val="bullet"/>
      <w:lvlText w:val="■"/>
      <w:lvlJc w:val="left"/>
      <w:pPr>
        <w:ind w:left="4320" w:hanging="360"/>
      </w:pPr>
    </w:lvl>
    <w:lvl w:ilvl="6" w:tplc="909EA084">
      <w:start w:val="1"/>
      <w:numFmt w:val="bullet"/>
      <w:lvlText w:val="●"/>
      <w:lvlJc w:val="left"/>
      <w:pPr>
        <w:ind w:left="5040" w:hanging="360"/>
      </w:pPr>
    </w:lvl>
    <w:lvl w:ilvl="7" w:tplc="57248F8C">
      <w:start w:val="1"/>
      <w:numFmt w:val="bullet"/>
      <w:lvlText w:val="●"/>
      <w:lvlJc w:val="left"/>
      <w:pPr>
        <w:ind w:left="5760" w:hanging="360"/>
      </w:pPr>
    </w:lvl>
    <w:lvl w:ilvl="8" w:tplc="843687B2">
      <w:start w:val="1"/>
      <w:numFmt w:val="bullet"/>
      <w:lvlText w:val="●"/>
      <w:lvlJc w:val="left"/>
      <w:pPr>
        <w:ind w:left="6480" w:hanging="360"/>
      </w:pPr>
    </w:lvl>
  </w:abstractNum>
  <w:num w:numId="1" w16cid:durableId="1709495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447"/>
    <w:rsid w:val="0088202A"/>
    <w:rsid w:val="008B6461"/>
    <w:rsid w:val="00931447"/>
    <w:rsid w:val="00A46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DD096"/>
  <w15:docId w15:val="{165545AE-B8F6-496C-8620-85ACA5A82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под линия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на бележка в края Знак"/>
    <w:link w:val="aa"/>
    <w:uiPriority w:val="99"/>
    <w:semiHidden/>
    <w:unhideWhenUsed/>
    <w:rPr>
      <w:sz w:val="20"/>
      <w:szCs w:val="20"/>
    </w:rPr>
  </w:style>
  <w:style w:type="table" w:styleId="ac">
    <w:name w:val="Table Grid"/>
    <w:basedOn w:val="a1"/>
    <w:uiPriority w:val="39"/>
    <w:rsid w:val="008B6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2809</Words>
  <Characters>16017</Characters>
  <Application>Microsoft Office Word</Application>
  <DocSecurity>0</DocSecurity>
  <Lines>133</Lines>
  <Paragraphs>37</Paragraphs>
  <ScaleCrop>false</ScaleCrop>
  <Company/>
  <LinksUpToDate>false</LinksUpToDate>
  <CharactersWithSpaces>18789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Георги Баев</cp:lastModifiedBy>
  <cp:revision>3</cp:revision>
  <dcterms:created xsi:type="dcterms:W3CDTF">2026-09-23T12:09:00Z</dcterms:created>
  <dcterms:modified xsi:type="dcterms:W3CDTF">2026-09-23T12:11:00Z</dcterms:modified>
</cp:coreProperties>
</file>