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14C06" w14:textId="77777777" w:rsidR="00A7105F" w:rsidRDefault="00000000">
      <w:pPr>
        <w:jc w:val="center"/>
      </w:pPr>
      <w:r>
        <w:rPr>
          <w:b/>
          <w:bCs/>
          <w:caps/>
          <w:sz w:val="32"/>
          <w:szCs w:val="32"/>
        </w:rPr>
        <w:t>НАСИЛИЕ И МЕХАНИЗМИ НА ЕСКАЛАЦИЯ В ДИГИТАЛНИТЕ СУБКУЛТУРИ</w:t>
      </w:r>
    </w:p>
    <w:p w14:paraId="694E5DF7" w14:textId="77777777" w:rsidR="00A7105F" w:rsidRDefault="00A7105F"/>
    <w:p w14:paraId="7E77BA1F" w14:textId="77777777" w:rsidR="00A7105F" w:rsidRDefault="00A7105F"/>
    <w:p w14:paraId="522C3EF5" w14:textId="0D67A07B" w:rsidR="00A7105F" w:rsidRPr="001B4070" w:rsidRDefault="001B4070">
      <w:pPr>
        <w:jc w:val="center"/>
        <w:rPr>
          <w:lang w:val="bg-BG"/>
        </w:rPr>
      </w:pPr>
      <w:r>
        <w:rPr>
          <w:b/>
          <w:bCs/>
          <w:sz w:val="32"/>
          <w:szCs w:val="32"/>
          <w:lang w:val="bg-BG"/>
        </w:rPr>
        <w:t>Георги Костов Баев</w:t>
      </w:r>
    </w:p>
    <w:p w14:paraId="0678150C" w14:textId="77777777" w:rsidR="00A7105F" w:rsidRDefault="00A7105F"/>
    <w:p w14:paraId="47CC313F" w14:textId="77777777" w:rsidR="00A7105F" w:rsidRDefault="00000000">
      <w:pPr>
        <w:jc w:val="center"/>
      </w:pPr>
      <w:r>
        <w:rPr>
          <w:b/>
          <w:bCs/>
          <w:caps/>
          <w:sz w:val="32"/>
          <w:szCs w:val="32"/>
        </w:rPr>
        <w:t>VIOLENCE AND ESCALATION MECHANISMS IN DIGITAL SUBCULTURES</w:t>
      </w:r>
    </w:p>
    <w:p w14:paraId="7F8A0717" w14:textId="77777777" w:rsidR="00A7105F" w:rsidRDefault="00A7105F"/>
    <w:p w14:paraId="6D3EE8F3" w14:textId="1226C3F3" w:rsidR="00A7105F" w:rsidRDefault="001B4070">
      <w:pPr>
        <w:jc w:val="center"/>
      </w:pPr>
      <w:r>
        <w:rPr>
          <w:b/>
          <w:bCs/>
          <w:sz w:val="32"/>
          <w:szCs w:val="32"/>
        </w:rPr>
        <w:t>Georgi Kostov Baev</w:t>
      </w:r>
    </w:p>
    <w:p w14:paraId="217BAC30" w14:textId="77777777" w:rsidR="00A7105F" w:rsidRDefault="00A7105F"/>
    <w:p w14:paraId="2089754C" w14:textId="77777777" w:rsidR="00A7105F" w:rsidRDefault="00A7105F"/>
    <w:p w14:paraId="54659F81" w14:textId="77777777" w:rsidR="00A7105F" w:rsidRDefault="00000000">
      <w:pPr>
        <w:jc w:val="both"/>
      </w:pPr>
      <w:r>
        <w:rPr>
          <w:b/>
          <w:bCs/>
          <w:i/>
          <w:iCs/>
          <w:sz w:val="24"/>
          <w:szCs w:val="24"/>
        </w:rPr>
        <w:t>Резюме:</w:t>
      </w:r>
      <w:r>
        <w:rPr>
          <w:i/>
          <w:iCs/>
          <w:sz w:val="24"/>
          <w:szCs w:val="24"/>
        </w:rPr>
        <w:t xml:space="preserve"> Докладът анализира механизми, които в някои дигитални субкултури могат да доведат до постепенно нормализиране на насилието в обществото. Разглежда се моделът на групова принадлежност, както и неговата роля, специализираният език и неговото общностно одобрение, което измества границите на допустимото обществено поведение. Символната и вербалната агресия са разгледани като преход към оправдаване на насилието. Обсъжда се значението на посочените процеси и се предлагат механизми за ранно разпознаване на динамиките в рисковите групи.</w:t>
      </w:r>
    </w:p>
    <w:p w14:paraId="59A4E8DC" w14:textId="77777777" w:rsidR="00A7105F" w:rsidRDefault="00A7105F"/>
    <w:p w14:paraId="26862753" w14:textId="77777777" w:rsidR="00A7105F" w:rsidRDefault="00000000">
      <w:pPr>
        <w:jc w:val="both"/>
      </w:pPr>
      <w:r>
        <w:rPr>
          <w:b/>
          <w:bCs/>
          <w:i/>
          <w:iCs/>
          <w:sz w:val="24"/>
          <w:szCs w:val="24"/>
        </w:rPr>
        <w:t>Ключови думи:</w:t>
      </w:r>
      <w:r>
        <w:rPr>
          <w:i/>
          <w:iCs/>
          <w:sz w:val="24"/>
          <w:szCs w:val="24"/>
        </w:rPr>
        <w:t xml:space="preserve"> национална сигурност, дигитални субкултури, насилие</w:t>
      </w:r>
    </w:p>
    <w:p w14:paraId="039F681C" w14:textId="77777777" w:rsidR="00A7105F" w:rsidRDefault="00A7105F"/>
    <w:p w14:paraId="15699C31" w14:textId="77777777" w:rsidR="00A7105F" w:rsidRDefault="00000000">
      <w:pPr>
        <w:jc w:val="both"/>
      </w:pPr>
      <w:r>
        <w:rPr>
          <w:b/>
          <w:bCs/>
          <w:i/>
          <w:iCs/>
          <w:sz w:val="24"/>
          <w:szCs w:val="24"/>
        </w:rPr>
        <w:t>Abstract:</w:t>
      </w:r>
      <w:r>
        <w:rPr>
          <w:i/>
          <w:iCs/>
          <w:sz w:val="24"/>
          <w:szCs w:val="24"/>
        </w:rPr>
        <w:t xml:space="preserve"> The report analyzes mechanisms by which certain digital subcultures may gradually normalize violence in society. It examines the model of group belonging, the specialized language and its community approval, which shift the boundaries of acceptable social behavior. Symbolic and verbal aggression are treated as a transition toward justifying violence. The relevance of these processes is discussed, and mechanisms for early recognition of risk-group dynamics are proposed.</w:t>
      </w:r>
    </w:p>
    <w:p w14:paraId="0F99C91D" w14:textId="77777777" w:rsidR="00A7105F" w:rsidRDefault="00A7105F"/>
    <w:p w14:paraId="19C511B0" w14:textId="77777777" w:rsidR="00A7105F" w:rsidRDefault="00000000">
      <w:pPr>
        <w:jc w:val="both"/>
      </w:pPr>
      <w:r>
        <w:rPr>
          <w:b/>
          <w:bCs/>
          <w:i/>
          <w:iCs/>
          <w:sz w:val="24"/>
          <w:szCs w:val="24"/>
        </w:rPr>
        <w:t>Keywords:</w:t>
      </w:r>
      <w:r>
        <w:rPr>
          <w:i/>
          <w:iCs/>
          <w:sz w:val="24"/>
          <w:szCs w:val="24"/>
        </w:rPr>
        <w:t xml:space="preserve"> national security, digital subcultures, violence</w:t>
      </w:r>
    </w:p>
    <w:p w14:paraId="38445099" w14:textId="77777777" w:rsidR="00A7105F" w:rsidRDefault="00A7105F"/>
    <w:p w14:paraId="2FD4D83F" w14:textId="77777777" w:rsidR="00A7105F" w:rsidRDefault="00A7105F"/>
    <w:p w14:paraId="1378BA7D" w14:textId="77777777" w:rsidR="00A7105F" w:rsidRDefault="00000000">
      <w:pPr>
        <w:spacing w:before="120" w:after="120"/>
      </w:pPr>
      <w:r>
        <w:rPr>
          <w:b/>
          <w:bCs/>
        </w:rPr>
        <w:t>УВОД</w:t>
      </w:r>
    </w:p>
    <w:p w14:paraId="5C2DE2ED" w14:textId="0E4DC76D" w:rsidR="00A7105F" w:rsidRDefault="00000000">
      <w:pPr>
        <w:jc w:val="both"/>
      </w:pPr>
      <w:r>
        <w:t>Дигиталната среда трансформира начина, по който протичат процесите на групова идентификация, социализация и формиране на нагласи, включително нагласи, свързани с толерирането и оправдаването на насилие. Онлайн общностите, изградени около специфични интереси, идеологии или естетики</w:t>
      </w:r>
      <w:r w:rsidR="00761161">
        <w:t xml:space="preserve">, </w:t>
      </w:r>
      <w:r w:rsidR="00761161">
        <w:rPr>
          <w:lang w:val="bg-BG"/>
        </w:rPr>
        <w:t>които представляват</w:t>
      </w:r>
      <w:r>
        <w:t xml:space="preserve"> т.нар. дигитални субкултури</w:t>
      </w:r>
      <w:r w:rsidR="00761161">
        <w:rPr>
          <w:lang w:val="bg-BG"/>
        </w:rPr>
        <w:t>,</w:t>
      </w:r>
      <w:r>
        <w:t xml:space="preserve"> създават относително затворени комуникационни пространства</w:t>
      </w:r>
      <w:r w:rsidR="00761161">
        <w:rPr>
          <w:lang w:val="bg-BG"/>
        </w:rPr>
        <w:t xml:space="preserve">. В тях </w:t>
      </w:r>
      <w:r>
        <w:t>се формират собствени норми, език и йерархии на одобрение. В редица случаи тези пространства функционират като инкубатори за постепенно изместване на границите на приемливото социално поведение, при което вербалната и символната агресия постепенно се превръщат в предпоставка за оправдаване на реално насилие.</w:t>
      </w:r>
      <w:r w:rsidR="00761161">
        <w:rPr>
          <w:lang w:val="bg-BG"/>
        </w:rPr>
        <w:t xml:space="preserve"> </w:t>
      </w:r>
      <w:r>
        <w:t xml:space="preserve">Груповата динамика, водеща до нормализиране на агресивно поведение, е обект на изследване в социалната психология още от средата на ХХ век. Новото в дигиталния контекст е </w:t>
      </w:r>
      <w:r>
        <w:lastRenderedPageBreak/>
        <w:t>мащабът, скоростта и степента на автоматизация, с които протичат тези процеси: платформите за социални мрежи, форумите и затворените канали за съобщения позволяват формирането на общности от хиляди участници в рамките на дни, а алгоритмичните механизми за препоръчване на съдържание могат да ускорят процеса на радикализация значително по-бързо, отколкото традиционните форми на групово влияние.</w:t>
      </w:r>
      <w:r w:rsidR="00761161">
        <w:rPr>
          <w:lang w:val="bg-BG"/>
        </w:rPr>
        <w:t xml:space="preserve"> </w:t>
      </w:r>
      <w:r>
        <w:t>Разбирането на механизмите на тази ескалация е от съществено значение за националната сигурност, доколкото засегнатите индивиди</w:t>
      </w:r>
      <w:r w:rsidR="00761161">
        <w:rPr>
          <w:lang w:val="bg-BG"/>
        </w:rPr>
        <w:t>,</w:t>
      </w:r>
      <w:r>
        <w:t xml:space="preserve"> най-често в юношеска и млада възраст</w:t>
      </w:r>
      <w:r w:rsidR="00761161">
        <w:rPr>
          <w:lang w:val="bg-BG"/>
        </w:rPr>
        <w:t>,</w:t>
      </w:r>
      <w:r>
        <w:t xml:space="preserve"> могат да преминат от онлайн ангажираност към офлайн действия с обществено значими последици. Настоящият доклад систематизира тези механизми в седем последователни раздела: моделът на груповата принадлежност; специализираният език, символиката и общностното одобрение; ролята на алгоритмичното усилване и ехо-камерите; символната и вербалната агресия като преходен стадий към оправдаване на насилието; динамиката на прехода от дигитално към физическо насилие и свързаните с него рискове за сигурността; профилът на уязвимите групи; и механизмите за ранно разпознаване и превенция на описаните процеси.</w:t>
      </w:r>
    </w:p>
    <w:p w14:paraId="676793F5" w14:textId="03841C66" w:rsidR="00A7105F" w:rsidRDefault="00000000">
      <w:pPr>
        <w:spacing w:before="120" w:after="120"/>
      </w:pPr>
      <w:r>
        <w:rPr>
          <w:b/>
          <w:bCs/>
        </w:rPr>
        <w:t xml:space="preserve">1. </w:t>
      </w:r>
      <w:r w:rsidR="00761161">
        <w:rPr>
          <w:b/>
          <w:bCs/>
          <w:lang w:val="bg-BG"/>
        </w:rPr>
        <w:t>М</w:t>
      </w:r>
      <w:r w:rsidR="00761161">
        <w:rPr>
          <w:b/>
          <w:bCs/>
        </w:rPr>
        <w:t>оделът на груповата принадлежност</w:t>
      </w:r>
    </w:p>
    <w:p w14:paraId="52096DA4" w14:textId="1BED8CE2" w:rsidR="00A7105F" w:rsidRDefault="00000000">
      <w:pPr>
        <w:jc w:val="both"/>
      </w:pPr>
      <w:r>
        <w:t>Груповата принадлежност е базов психологически механизъм, чрез който индивидът извежда част от собствената си идентичност от членството си в дадена общност. В дигиталните субкултури този механизъм се проявява с особена сила, тъй като онлайн платформите позволяват бърз достъп до общности с изключително тясна тематична и идеологическа насоченост, независимо от географското разположение на участниците. Членството не изисква физическо присъствие, финансови или социални разходи, характерни за офлайн общностите, което понижава прага за присъединяване и увеличава броя на потенциалните участници.</w:t>
      </w:r>
      <w:r w:rsidR="00761161">
        <w:rPr>
          <w:lang w:val="bg-BG"/>
        </w:rPr>
        <w:t xml:space="preserve"> </w:t>
      </w:r>
      <w:r>
        <w:t xml:space="preserve">Груповата динамика в подобни общности разчита в голяма степен на класическите механизми на внушението, подражанието, страха и паниката </w:t>
      </w:r>
      <w:r w:rsidR="00761161">
        <w:rPr>
          <w:lang w:val="bg-BG"/>
        </w:rPr>
        <w:t>-</w:t>
      </w:r>
      <w:r>
        <w:t xml:space="preserve"> процеси, чрез които отделният участник постепенно приема установените в общността норми, дори когато те се разминават с индивидуалните му предварителни убеждения</w:t>
      </w:r>
      <w:r w:rsidR="00761161">
        <w:rPr>
          <w:lang w:val="bg-BG"/>
        </w:rPr>
        <w:t>.</w:t>
      </w:r>
      <w:r>
        <w:t xml:space="preserve"> [1] Подражанието на по-авторитетни или по-дълго присъстващи членове установява негласна йерархия на статус, а вътрешногруповото внушение, поддържано от повтарящи се послания и визуални символи, постепенно измества референтната рамка, спрямо която участникът преценява какво е нормално и приемливо поведение. Страхът от изключване или обществено порицание в рамките на самата група допълнително затвърждава конформизма, дори когато той противоречи на предишни лични убеждения.</w:t>
      </w:r>
      <w:r w:rsidR="00761161">
        <w:rPr>
          <w:lang w:val="bg-BG"/>
        </w:rPr>
        <w:t xml:space="preserve"> </w:t>
      </w:r>
      <w:r>
        <w:t>Успоредно с внушението и подражанието действа и ефектът на деиндивидуализацията</w:t>
      </w:r>
      <w:r w:rsidR="00761161">
        <w:rPr>
          <w:lang w:val="bg-BG"/>
        </w:rPr>
        <w:t>. Това е</w:t>
      </w:r>
      <w:r>
        <w:t xml:space="preserve"> състоянието, при което индивидът губи усещане за лична отговорност и морална автономност при потапяне в анонимна група, а ситуационните фактори на средата придобиват по-голямо влияние върху поведението, отколкото индивидуалните ценности</w:t>
      </w:r>
      <w:r w:rsidR="00761161">
        <w:rPr>
          <w:lang w:val="bg-BG"/>
        </w:rPr>
        <w:t>.</w:t>
      </w:r>
      <w:r>
        <w:t xml:space="preserve"> [2] Анонимността, характерна за голяма част от дигиталните пространства</w:t>
      </w:r>
      <w:r w:rsidR="001B587D">
        <w:rPr>
          <w:lang w:val="bg-BG"/>
        </w:rPr>
        <w:t>,</w:t>
      </w:r>
      <w:r>
        <w:t xml:space="preserve"> </w:t>
      </w:r>
      <w:r w:rsidR="001B587D">
        <w:rPr>
          <w:lang w:val="bg-BG"/>
        </w:rPr>
        <w:t>чрез</w:t>
      </w:r>
      <w:r>
        <w:t xml:space="preserve"> псевдоними, аватари, липса на пряк </w:t>
      </w:r>
      <w:r>
        <w:lastRenderedPageBreak/>
        <w:t>визуален контакт между участниците</w:t>
      </w:r>
      <w:r w:rsidR="001B587D">
        <w:rPr>
          <w:lang w:val="bg-BG"/>
        </w:rPr>
        <w:t>,</w:t>
      </w:r>
      <w:r>
        <w:t xml:space="preserve"> значително улеснява процеса на деиндивидуализация и понижава прага на моралния самоконтрол. Комуникацията, лишена от невербални сигнали и пряка обратна връзка, прави по-лесно изричането на позиции, които участникът вероятно не би изразил лице в лице с обект на съответната враждебност.</w:t>
      </w:r>
      <w:r w:rsidR="001B587D">
        <w:rPr>
          <w:lang w:val="bg-BG"/>
        </w:rPr>
        <w:t xml:space="preserve"> </w:t>
      </w:r>
      <w:r>
        <w:t xml:space="preserve">Груповата принадлежност в дигиталните субкултури се подсилва допълнително от явлението </w:t>
      </w:r>
      <w:r w:rsidR="001B587D">
        <w:rPr>
          <w:lang w:val="bg-BG"/>
        </w:rPr>
        <w:t>„</w:t>
      </w:r>
      <w:r>
        <w:t xml:space="preserve">групова </w:t>
      </w:r>
      <w:proofErr w:type="gramStart"/>
      <w:r>
        <w:t>поляризация</w:t>
      </w:r>
      <w:r w:rsidR="001B587D">
        <w:rPr>
          <w:lang w:val="bg-BG"/>
        </w:rPr>
        <w:t>“ -</w:t>
      </w:r>
      <w:proofErr w:type="gramEnd"/>
      <w:r w:rsidR="001B587D">
        <w:rPr>
          <w:lang w:val="bg-BG"/>
        </w:rPr>
        <w:t xml:space="preserve"> </w:t>
      </w:r>
      <w:r>
        <w:t>когато хора със сходни възгледи комуникират продължително помежду си в затворена среда, техните позиции не се уравновесяват, а се радикализират в посоката, към която общността вече е насочена</w:t>
      </w:r>
      <w:r w:rsidR="001B587D">
        <w:rPr>
          <w:lang w:val="bg-BG"/>
        </w:rPr>
        <w:t>.</w:t>
      </w:r>
      <w:r>
        <w:t xml:space="preserve"> [3] В контекста на онлайн форуми, канали и групи в социалните мрежи този процес протича без коригиращото влияние на разнородна аудитория, което го прави особено динамичен и труден за навременно институционално наблюдение. Резултатът е постепенно стесняване на диапазона от гледни точки, които се считат за легитимни в рамките на общността, докато позиции, представлявали малцинство или крайност в началото, се превръщат в норма.</w:t>
      </w:r>
    </w:p>
    <w:p w14:paraId="4EBFFD33" w14:textId="27BD5EB3" w:rsidR="00A7105F" w:rsidRDefault="00000000">
      <w:pPr>
        <w:spacing w:before="120" w:after="120"/>
      </w:pPr>
      <w:r>
        <w:rPr>
          <w:b/>
          <w:bCs/>
        </w:rPr>
        <w:t xml:space="preserve">2. </w:t>
      </w:r>
      <w:r w:rsidR="001B587D">
        <w:rPr>
          <w:b/>
          <w:bCs/>
          <w:lang w:val="bg-BG"/>
        </w:rPr>
        <w:t>С</w:t>
      </w:r>
      <w:r w:rsidR="001B587D">
        <w:rPr>
          <w:b/>
          <w:bCs/>
        </w:rPr>
        <w:t>пециализиран език, символика и общностно одобрение</w:t>
      </w:r>
    </w:p>
    <w:p w14:paraId="09471EAC" w14:textId="78962B4F" w:rsidR="00A7105F" w:rsidRPr="001B587D" w:rsidRDefault="00000000">
      <w:pPr>
        <w:jc w:val="both"/>
        <w:rPr>
          <w:lang w:val="bg-BG"/>
        </w:rPr>
      </w:pPr>
      <w:r>
        <w:t>Специализираният език</w:t>
      </w:r>
      <w:r w:rsidR="001B587D">
        <w:rPr>
          <w:lang w:val="bg-BG"/>
        </w:rPr>
        <w:t>, който се изразява с</w:t>
      </w:r>
      <w:r>
        <w:t xml:space="preserve"> жаргон, мемове, съкращения, кодови думи</w:t>
      </w:r>
      <w:r w:rsidR="001B587D">
        <w:rPr>
          <w:lang w:val="bg-BG"/>
        </w:rPr>
        <w:t xml:space="preserve"> („6-7“)</w:t>
      </w:r>
      <w:r>
        <w:t xml:space="preserve"> и вътрешни референции изпълнява няколко едновременни функции в дигиталните субкултури. Той служи като маркер за принадлежност, тъй като разбирането и правилната му употреба удостоверяват членство в общността и степен на „</w:t>
      </w:r>
      <w:proofErr w:type="gramStart"/>
      <w:r>
        <w:t>посветеност“</w:t>
      </w:r>
      <w:r w:rsidR="001B587D">
        <w:rPr>
          <w:lang w:val="bg-BG"/>
        </w:rPr>
        <w:t xml:space="preserve"> </w:t>
      </w:r>
      <w:r>
        <w:t>в</w:t>
      </w:r>
      <w:proofErr w:type="gramEnd"/>
      <w:r>
        <w:t xml:space="preserve"> нея. Действа и като бариера пред външни наблюдатели, затруднявайки разбирането и модерацията на съдържанието от родители, педагози, институции и самите платформи, чиито автоматизирани системи трудно разпознават бързо променящ се и контекстно зависим жаргон.</w:t>
      </w:r>
      <w:r w:rsidR="001B587D">
        <w:rPr>
          <w:lang w:val="bg-BG"/>
        </w:rPr>
        <w:t xml:space="preserve"> </w:t>
      </w:r>
      <w:r>
        <w:t xml:space="preserve">Специализираният език функционира и като инструмент за постепенно нормализиране на екстремни идеи чрез евфемизация и хумористично обрамчване </w:t>
      </w:r>
      <w:r w:rsidR="001B587D">
        <w:rPr>
          <w:lang w:val="bg-BG"/>
        </w:rPr>
        <w:t>-</w:t>
      </w:r>
      <w:r>
        <w:t xml:space="preserve"> стратегическата употреба на мемове, ирония и специфична терминология позволява на съдържание с проблематичен характер да бъде представено като забавно, безобидно или чисто естетическо, докато същевременно постига разпространение отвъд границите на самата субкултура</w:t>
      </w:r>
      <w:r w:rsidR="001B587D">
        <w:rPr>
          <w:lang w:val="bg-BG"/>
        </w:rPr>
        <w:t>.</w:t>
      </w:r>
      <w:r>
        <w:t xml:space="preserve"> [4]</w:t>
      </w:r>
      <w:r w:rsidR="001B587D">
        <w:rPr>
          <w:lang w:val="bg-BG"/>
        </w:rPr>
        <w:t xml:space="preserve"> </w:t>
      </w:r>
      <w:r>
        <w:t xml:space="preserve">Общностното одобрение под формата на лайкове, споделяния, коментари, репутационни точки или неформален статус действа като директен механизъм за подкрепление на поведение. Съдържание, което </w:t>
      </w:r>
      <w:r w:rsidR="001B587D">
        <w:rPr>
          <w:lang w:val="bg-BG"/>
        </w:rPr>
        <w:t>носи</w:t>
      </w:r>
      <w:r>
        <w:t xml:space="preserve"> по-висока степен на агресия, провокативност или трансгресивност, често получава по-висока видимост и одобрение в рамките на общността</w:t>
      </w:r>
      <w:r w:rsidR="001B587D">
        <w:rPr>
          <w:lang w:val="bg-BG"/>
        </w:rPr>
        <w:t xml:space="preserve"> и това </w:t>
      </w:r>
      <w:r>
        <w:t>създава пряк и измерим стимул за ескалация на тона и съдържанието на комуникацията с течение на времето.</w:t>
      </w:r>
      <w:r w:rsidR="001B587D">
        <w:rPr>
          <w:lang w:val="bg-BG"/>
        </w:rPr>
        <w:t xml:space="preserve"> </w:t>
      </w:r>
      <w:r>
        <w:t>Тази динамика се вписва в по-широка логика на разделение между „</w:t>
      </w:r>
      <w:proofErr w:type="gramStart"/>
      <w:r>
        <w:t>ние“ и</w:t>
      </w:r>
      <w:proofErr w:type="gramEnd"/>
      <w:r>
        <w:t xml:space="preserve"> „</w:t>
      </w:r>
      <w:proofErr w:type="gramStart"/>
      <w:r>
        <w:t>те“</w:t>
      </w:r>
      <w:proofErr w:type="gramEnd"/>
      <w:r>
        <w:t>, при която успехът и сплотеността на собствената група се възприемат като неразривно свързани с враждебни действия или изявления срещу външна група</w:t>
      </w:r>
      <w:r w:rsidR="001B587D">
        <w:rPr>
          <w:lang w:val="bg-BG"/>
        </w:rPr>
        <w:t>.</w:t>
      </w:r>
      <w:r>
        <w:t xml:space="preserve"> [5] Тази логика прогресивно измества границата на допустимото </w:t>
      </w:r>
      <w:r w:rsidR="001B587D">
        <w:rPr>
          <w:lang w:val="bg-BG"/>
        </w:rPr>
        <w:t>-</w:t>
      </w:r>
      <w:r>
        <w:t xml:space="preserve"> изявления, които биха били недопустими извън контекста на общността, се превръщат в очаквана и дори възнаградена форма на комуникация вътре в нея, а </w:t>
      </w:r>
      <w:r>
        <w:lastRenderedPageBreak/>
        <w:t>участниците, които не се включват в тази динамика, рискуват загуба на статус или директно изключване.</w:t>
      </w:r>
    </w:p>
    <w:p w14:paraId="08705493" w14:textId="448E25DD" w:rsidR="00A7105F" w:rsidRDefault="00000000">
      <w:pPr>
        <w:spacing w:before="120" w:after="120"/>
        <w:contextualSpacing/>
      </w:pPr>
      <w:r>
        <w:rPr>
          <w:b/>
          <w:bCs/>
        </w:rPr>
        <w:t xml:space="preserve">3. </w:t>
      </w:r>
      <w:r w:rsidR="00CD623E">
        <w:rPr>
          <w:b/>
          <w:bCs/>
          <w:lang w:val="bg-BG"/>
        </w:rPr>
        <w:t>А</w:t>
      </w:r>
      <w:r w:rsidR="00CD623E">
        <w:rPr>
          <w:b/>
          <w:bCs/>
        </w:rPr>
        <w:t>лгоритмично усилване и ехо-камери</w:t>
      </w:r>
    </w:p>
    <w:p w14:paraId="75C9AC95" w14:textId="68DD871D" w:rsidR="00A7105F" w:rsidRPr="00CD623E" w:rsidRDefault="00000000">
      <w:pPr>
        <w:jc w:val="both"/>
        <w:rPr>
          <w:lang w:val="bg-BG"/>
        </w:rPr>
      </w:pPr>
      <w:r>
        <w:t xml:space="preserve">Описаните социално-психологически механизми не действат изолирано от техническата архитектура на платформите, върху които протичат. Алгоритмите за препоръчване на съдържание са проектирани да максимизират ангажираността на потребителите </w:t>
      </w:r>
      <w:r w:rsidR="00CD623E">
        <w:rPr>
          <w:lang w:val="bg-BG"/>
        </w:rPr>
        <w:t>- тяхното</w:t>
      </w:r>
      <w:r>
        <w:t xml:space="preserve"> време</w:t>
      </w:r>
      <w:r w:rsidR="00CD623E">
        <w:rPr>
          <w:lang w:val="bg-BG"/>
        </w:rPr>
        <w:t xml:space="preserve"> </w:t>
      </w:r>
      <w:r>
        <w:t xml:space="preserve">прекарано в приложението, броя на реакциите </w:t>
      </w:r>
      <w:r w:rsidR="00CD623E">
        <w:rPr>
          <w:lang w:val="bg-BG"/>
        </w:rPr>
        <w:t xml:space="preserve">им </w:t>
      </w:r>
      <w:r>
        <w:t>и обмена на съдържание</w:t>
      </w:r>
      <w:r w:rsidR="00CD623E">
        <w:rPr>
          <w:lang w:val="bg-BG"/>
        </w:rPr>
        <w:t>,</w:t>
      </w:r>
      <w:r>
        <w:t xml:space="preserve"> а не непременно точността, балансираността или обществената полза от него. Тъй като провокативното, емоционално заредено и трансгресивно съдържание статистически генерира по-висока ангажираност, алгоритмичните механизми систематично го открояват пред по-неутрално съдържание, независимо от намерението на самата платформа</w:t>
      </w:r>
      <w:r w:rsidR="00CD623E">
        <w:rPr>
          <w:lang w:val="bg-BG"/>
        </w:rPr>
        <w:t>.</w:t>
      </w:r>
      <w:r>
        <w:t xml:space="preserve"> [4]</w:t>
      </w:r>
      <w:r w:rsidR="00CD623E">
        <w:rPr>
          <w:lang w:val="bg-BG"/>
        </w:rPr>
        <w:t xml:space="preserve"> </w:t>
      </w:r>
      <w:r>
        <w:t xml:space="preserve">Мащабното събиране на поведенчески данни </w:t>
      </w:r>
      <w:r w:rsidR="00CD623E">
        <w:rPr>
          <w:lang w:val="bg-BG"/>
        </w:rPr>
        <w:t>-</w:t>
      </w:r>
      <w:r>
        <w:t xml:space="preserve"> история на разглежданото съдържание, време на взаимодействие, социални връзки, реакции</w:t>
      </w:r>
      <w:r w:rsidR="00CD623E">
        <w:rPr>
          <w:lang w:val="bg-BG"/>
        </w:rPr>
        <w:t>,</w:t>
      </w:r>
      <w:r>
        <w:t xml:space="preserve"> позволява прецизно профилиране на потребителите и насочване към тях на съдържание, съответстващо на вече изразените им интереси и нагласи</w:t>
      </w:r>
      <w:r w:rsidR="00CD623E">
        <w:rPr>
          <w:lang w:val="bg-BG"/>
        </w:rPr>
        <w:t>.</w:t>
      </w:r>
      <w:r>
        <w:t xml:space="preserve"> [7] За потребител, проявил първоначален интерес към теми, свързани с определена дигитална субкултура, това означава прогресивно стесняване на информационния поток към все по-специализирано и потенциално по-екстремно съдържание в същата тематична посока</w:t>
      </w:r>
      <w:r w:rsidR="00CD623E">
        <w:rPr>
          <w:lang w:val="bg-BG"/>
        </w:rPr>
        <w:t>. Това е</w:t>
      </w:r>
      <w:r>
        <w:t xml:space="preserve"> явление познато като ефект на ехо-камерата или филтърен мехур.</w:t>
      </w:r>
      <w:r w:rsidR="00CD623E">
        <w:rPr>
          <w:lang w:val="bg-BG"/>
        </w:rPr>
        <w:t xml:space="preserve"> </w:t>
      </w:r>
      <w:r>
        <w:t>Комбинацията между груповата поляризация и алгоритмичното усилване създава затворен цикъл: общността генерира все по-провокативно съдържание, за да поддържа вниманието и одобрението на своите членове; алгоритъмът разпространява това съдържание към нови потребители със сходен профил; новите участници се социализират бързо в установените норми чрез описаните механизми на внушение и подражание; а разширената база от участници генерира допълнителен обем съдържание, който подхранва цикъла отначало. Резултатът е ескалация, която е едновременно социална и технологична по своята природа, а не единствено продукт от индивидуалните нагласи на участниците.</w:t>
      </w:r>
    </w:p>
    <w:p w14:paraId="54EEC072" w14:textId="3EDD50AA" w:rsidR="00A7105F" w:rsidRDefault="00000000">
      <w:pPr>
        <w:spacing w:before="120" w:after="120"/>
        <w:contextualSpacing/>
      </w:pPr>
      <w:r>
        <w:rPr>
          <w:b/>
          <w:bCs/>
        </w:rPr>
        <w:t xml:space="preserve">4. </w:t>
      </w:r>
      <w:r w:rsidR="008B2480">
        <w:rPr>
          <w:b/>
          <w:bCs/>
          <w:lang w:val="bg-BG"/>
        </w:rPr>
        <w:t>С</w:t>
      </w:r>
      <w:r w:rsidR="008B2480">
        <w:rPr>
          <w:b/>
          <w:bCs/>
        </w:rPr>
        <w:t>имволна и вербална агресия като преходен стадий</w:t>
      </w:r>
    </w:p>
    <w:p w14:paraId="6659BA0A" w14:textId="28AA0DAF" w:rsidR="00A7105F" w:rsidRDefault="00000000">
      <w:pPr>
        <w:jc w:val="both"/>
      </w:pPr>
      <w:r>
        <w:t xml:space="preserve">Символната агресия </w:t>
      </w:r>
      <w:r w:rsidR="008B2480">
        <w:rPr>
          <w:lang w:val="bg-BG"/>
        </w:rPr>
        <w:t>-</w:t>
      </w:r>
      <w:r>
        <w:t xml:space="preserve"> провокативни изображения, символи, естетика на насилие и вербалната агресия </w:t>
      </w:r>
      <w:r w:rsidR="008B2480">
        <w:rPr>
          <w:lang w:val="bg-BG"/>
        </w:rPr>
        <w:t>-</w:t>
      </w:r>
      <w:r>
        <w:t xml:space="preserve"> заплахи, дехуманизиращ език, призиви към насилие, изразени под формата на „</w:t>
      </w:r>
      <w:proofErr w:type="gramStart"/>
      <w:r>
        <w:t>шега“ или</w:t>
      </w:r>
      <w:proofErr w:type="gramEnd"/>
      <w:r>
        <w:t xml:space="preserve"> ирония рядко се появяват като изолирани явления. По-скоро те представляват преходен стадий в процес на постепенно снемане на моралните задръжки спрямо агресивното поведение.</w:t>
      </w:r>
    </w:p>
    <w:p w14:paraId="76BCB429" w14:textId="790A775E" w:rsidR="00A7105F" w:rsidRDefault="00000000">
      <w:pPr>
        <w:jc w:val="both"/>
      </w:pPr>
      <w:r>
        <w:t>Този процес протича чрез набор от когнитивни механизми</w:t>
      </w:r>
      <w:r w:rsidR="008B2480">
        <w:rPr>
          <w:lang w:val="bg-BG"/>
        </w:rPr>
        <w:t>:</w:t>
      </w:r>
      <w:r>
        <w:t xml:space="preserve"> морално оправдание, евфемистично етикетиране на агресивните действия, дифузия на отговорността между членовете на групата и дехуманизация на обекта на враждебност</w:t>
      </w:r>
      <w:r w:rsidR="008B2480">
        <w:rPr>
          <w:lang w:val="bg-BG"/>
        </w:rPr>
        <w:t xml:space="preserve">. По този начин </w:t>
      </w:r>
      <w:r>
        <w:t>индивидите неутрализират вътрешните си морални задръжки спрямо агресивно поведение</w:t>
      </w:r>
      <w:r w:rsidR="008B2480">
        <w:rPr>
          <w:lang w:val="bg-BG"/>
        </w:rPr>
        <w:t>.</w:t>
      </w:r>
      <w:r>
        <w:t xml:space="preserve"> [6] В дигиталните субкултури тези механизми се прилагат колективно и комуникативно, а не само индивидуално: чрез повтарящи се шаблони на изразяване, споделени в общността, насилието се представя като оправдано, заслужено или </w:t>
      </w:r>
      <w:r>
        <w:lastRenderedPageBreak/>
        <w:t>ирелевантно, тъй като е насочено срещу дехуманизирана „</w:t>
      </w:r>
      <w:proofErr w:type="gramStart"/>
      <w:r>
        <w:t>чужда“ група</w:t>
      </w:r>
      <w:proofErr w:type="gramEnd"/>
      <w:r>
        <w:t>.</w:t>
      </w:r>
      <w:r w:rsidR="008B2480">
        <w:rPr>
          <w:lang w:val="bg-BG"/>
        </w:rPr>
        <w:t xml:space="preserve"> </w:t>
      </w:r>
      <w:r>
        <w:t>Иронията и хумористичното обрамчване играят особена роля в този преход, тъй като позволяват на участниците да изказват крайни позиции, без формално да поемат пряка отговорност за тях</w:t>
      </w:r>
      <w:r w:rsidR="008B2480">
        <w:rPr>
          <w:lang w:val="bg-BG"/>
        </w:rPr>
        <w:t>, защото</w:t>
      </w:r>
      <w:r>
        <w:t xml:space="preserve"> зад твърдение, представено като „</w:t>
      </w:r>
      <w:proofErr w:type="gramStart"/>
      <w:r>
        <w:t>шега“</w:t>
      </w:r>
      <w:proofErr w:type="gramEnd"/>
      <w:r>
        <w:t>, участникът може да отрече сериозно намерение, докато същевременно затвърждава съответните нагласи чрез повторение пред публика, която реагира одобрително. С течение на времето границата между символния и вербалния регистър, от една страна, и реалното намерение за действие, от друга, може да се размие</w:t>
      </w:r>
      <w:r w:rsidR="008B2480">
        <w:rPr>
          <w:lang w:val="bg-BG"/>
        </w:rPr>
        <w:t>. Това важи к</w:t>
      </w:r>
      <w:r>
        <w:t>акто за самите участници, така и за наблюдаващите отвън институции, което съществено затруднява навременната оценка на риска.</w:t>
      </w:r>
    </w:p>
    <w:p w14:paraId="40588D11" w14:textId="61D9EFC8" w:rsidR="00A7105F" w:rsidRDefault="00000000" w:rsidP="008B2480">
      <w:pPr>
        <w:ind w:firstLine="720"/>
        <w:jc w:val="both"/>
      </w:pPr>
      <w:r>
        <w:t>Тази неяснота създава характерен проблем за практиките за оценка на заплахата</w:t>
      </w:r>
      <w:r w:rsidR="008B2480">
        <w:rPr>
          <w:lang w:val="bg-BG"/>
        </w:rPr>
        <w:t>, защото</w:t>
      </w:r>
      <w:r>
        <w:t xml:space="preserve"> голяма част от съдържанието, генерирано в рисковите общности, остава на ниво реч и символика за продължителни периоди, без да прерасне в конкретно действие, което може да доведе до подценяване на риска от страна на наблюдаващите институции. Същевременно именно постепенната ескалация на регистъра </w:t>
      </w:r>
      <w:r w:rsidR="008B2480">
        <w:rPr>
          <w:lang w:val="bg-BG"/>
        </w:rPr>
        <w:t>-</w:t>
      </w:r>
      <w:r>
        <w:t xml:space="preserve"> от ирония, през откровена враждебност, до конкретни заплахи представлява по-надежден индикатор за нарастващ риск, отколкото отделни изолирани изявления, разглеждани извън контекста си.</w:t>
      </w:r>
    </w:p>
    <w:p w14:paraId="2028AEE7" w14:textId="6EDD0768" w:rsidR="00A7105F" w:rsidRDefault="00000000">
      <w:pPr>
        <w:spacing w:before="120" w:after="120"/>
        <w:contextualSpacing/>
      </w:pPr>
      <w:r>
        <w:rPr>
          <w:b/>
          <w:bCs/>
        </w:rPr>
        <w:t xml:space="preserve">5. </w:t>
      </w:r>
      <w:r w:rsidR="00942806">
        <w:rPr>
          <w:b/>
          <w:bCs/>
          <w:lang w:val="bg-BG"/>
        </w:rPr>
        <w:t>Д</w:t>
      </w:r>
      <w:r w:rsidR="008B2480">
        <w:rPr>
          <w:b/>
          <w:bCs/>
        </w:rPr>
        <w:t>инамика на ескалацията и рискове за националната сигурност</w:t>
      </w:r>
    </w:p>
    <w:p w14:paraId="792B1730" w14:textId="75829379" w:rsidR="00A7105F" w:rsidRPr="00942806" w:rsidRDefault="00000000">
      <w:pPr>
        <w:jc w:val="both"/>
        <w:rPr>
          <w:lang w:val="bg-BG"/>
        </w:rPr>
      </w:pPr>
      <w:r>
        <w:t>От гледна точка на националната сигурност описаните механизми създават реален риск от преход от онлайн радикализация към офлайн насилствени действия. Мащабното събиране на лични данни онлайн от страна на потребителите създава условия за целенасочено въздействие и мобилизиране на рискови групи в посока на радикализация, тъй като данните за поведение, интереси и социални връзки могат да бъдат използвани за прецизно профилиране на индивиди, вече проявяващи признаци на нарастваща ангажираност с рискова общност</w:t>
      </w:r>
      <w:r w:rsidR="008B2480">
        <w:rPr>
          <w:lang w:val="bg-BG"/>
        </w:rPr>
        <w:t>.</w:t>
      </w:r>
      <w:r>
        <w:t xml:space="preserve"> [7]</w:t>
      </w:r>
      <w:r w:rsidR="00942806">
        <w:rPr>
          <w:lang w:val="bg-BG"/>
        </w:rPr>
        <w:t xml:space="preserve"> </w:t>
      </w:r>
      <w:r>
        <w:t xml:space="preserve">В по-широк план тези процеси се вписват в общата картина на сигурността в глобализирания дигитален свят </w:t>
      </w:r>
      <w:r w:rsidR="00942806">
        <w:rPr>
          <w:lang w:val="bg-BG"/>
        </w:rPr>
        <w:t>-</w:t>
      </w:r>
      <w:r>
        <w:t xml:space="preserve"> взаимната свързаност на информационните пространства прави локалните прояви на дигитален екстремизъм потенциално бързо разпространими извън първоначалния им национален или езиков контекст, а последиците от тях трудни за ограничаване в рамките на една институционална или национална юрисдикция</w:t>
      </w:r>
      <w:r w:rsidR="008B2480">
        <w:rPr>
          <w:lang w:val="bg-BG"/>
        </w:rPr>
        <w:t>.</w:t>
      </w:r>
      <w:r>
        <w:t xml:space="preserve"> [8] Съдържание, създадено в рамките на конкретна дигитална субкултура в една държава, може да бъде възприето, преведено и адаптирано от сходни общности в друга държава в рамките на часове, което прави чисто националните мерки за противодействие структурно недостатъчни.</w:t>
      </w:r>
      <w:r w:rsidR="00942806">
        <w:rPr>
          <w:lang w:val="bg-BG"/>
        </w:rPr>
        <w:t xml:space="preserve"> </w:t>
      </w:r>
      <w:r>
        <w:t xml:space="preserve">Комбинацията от анонимност, алгоритмично усилване и трансгранична свързаност превръща дигиталните субкултури в среда, в която ескалацията на насилие може да протече значително по-бързо, отколкото при традиционните форми на групова радикализация, познати от историческия опит с екстремистки организации. Времето между първоначалния контакт с рисково съдържание и възприемането на нагласи, оправдаващи насилие, може да бъде значително съкратено, когато процесът </w:t>
      </w:r>
      <w:r>
        <w:lastRenderedPageBreak/>
        <w:t>е подпомогнат от алгоритмично насочване и постоянна достъпност на общността чрез мобилни устройства.</w:t>
      </w:r>
      <w:r w:rsidR="00942806">
        <w:rPr>
          <w:lang w:val="bg-BG"/>
        </w:rPr>
        <w:t xml:space="preserve"> </w:t>
      </w:r>
      <w:r>
        <w:t xml:space="preserve">Преходът от вербална и символна агресия към конкретно планиране на насилствени действия обикновено включва допълнителна стъпка </w:t>
      </w:r>
      <w:r w:rsidR="00942806">
        <w:rPr>
          <w:lang w:val="bg-BG"/>
        </w:rPr>
        <w:t>-</w:t>
      </w:r>
      <w:r>
        <w:t xml:space="preserve"> преместване на комуникацията извън публично видимата платформа, към затворени канали или лични съобщения, където се обсъждат конкретни цели, места и срокове. Тази стъпка е значима за практиките по ранно предупреждение, тъй като публично видимата ескалация на езика често предхожда преминаването към скрита координация, което дава прозорец за институционална намеса, ако съответните индикатори бъдат разпознати навреме.</w:t>
      </w:r>
    </w:p>
    <w:p w14:paraId="052583E1" w14:textId="77AAB2BC" w:rsidR="00A7105F" w:rsidRDefault="00000000">
      <w:pPr>
        <w:spacing w:before="120" w:after="120"/>
        <w:contextualSpacing/>
      </w:pPr>
      <w:r>
        <w:rPr>
          <w:b/>
          <w:bCs/>
        </w:rPr>
        <w:t xml:space="preserve">6. </w:t>
      </w:r>
      <w:r w:rsidR="00942806">
        <w:rPr>
          <w:b/>
          <w:bCs/>
          <w:lang w:val="bg-BG"/>
        </w:rPr>
        <w:t>П</w:t>
      </w:r>
      <w:r w:rsidR="00942806">
        <w:rPr>
          <w:b/>
          <w:bCs/>
        </w:rPr>
        <w:t>рофил на уязвимите групи</w:t>
      </w:r>
    </w:p>
    <w:p w14:paraId="3BA146DD" w14:textId="3163ED9C" w:rsidR="00A7105F" w:rsidRDefault="00000000">
      <w:pPr>
        <w:jc w:val="both"/>
      </w:pPr>
      <w:r>
        <w:t>Не всички потребители на дигитални пространства са еднакво уязвими спрямо описаните механизми на ескалация. Най-податливи са индивиди в период на активно търсене на идентичност и социална принадлежност</w:t>
      </w:r>
      <w:r w:rsidR="00942806">
        <w:rPr>
          <w:lang w:val="bg-BG"/>
        </w:rPr>
        <w:t>,</w:t>
      </w:r>
      <w:r>
        <w:t xml:space="preserve"> най-често юноши и млади хора, за които онлайн общността може да компенсира усещане за изолация, липса на признание или конфликтно отношение с обкръжаващата ги социална среда.</w:t>
      </w:r>
      <w:r w:rsidR="00942806">
        <w:rPr>
          <w:lang w:val="bg-BG"/>
        </w:rPr>
        <w:t xml:space="preserve"> </w:t>
      </w:r>
      <w:r>
        <w:t>Ситуационните фактори, а не единствено предварителните личностни характеристики, определят до голяма степен вероятността от навлизане в динамика на ескалация</w:t>
      </w:r>
      <w:r w:rsidR="008B2480">
        <w:rPr>
          <w:lang w:val="bg-BG"/>
        </w:rPr>
        <w:t>.</w:t>
      </w:r>
      <w:r>
        <w:t xml:space="preserve"> [2] Индивиди, преминаващи през периоди на лична несигурност, социална изолация или възприемана несправедливост, са по-склонни да търсят общности, предлагащи ясна рамка за обяснение на техните преживявания, силно усещане за принадлежност и възможност за бързо издигане в статус чрез съответствие с груповите норми включително норми, толериращи или насърчаващи агресия.</w:t>
      </w:r>
      <w:r w:rsidR="00942806">
        <w:rPr>
          <w:lang w:val="bg-BG"/>
        </w:rPr>
        <w:t xml:space="preserve"> </w:t>
      </w:r>
      <w:r>
        <w:t xml:space="preserve">Механизмите на внушение, подражание, страх и паника действат с особена сила именно при тази категория участници, тъй като те по-рядко разполагат с алтернативна референтна рамка </w:t>
      </w:r>
      <w:r w:rsidR="00942806">
        <w:rPr>
          <w:lang w:val="bg-BG"/>
        </w:rPr>
        <w:t xml:space="preserve">- </w:t>
      </w:r>
      <w:r>
        <w:t>силна семейна, училищна или професионална мрежа</w:t>
      </w:r>
      <w:r w:rsidR="00942806">
        <w:rPr>
          <w:lang w:val="bg-BG"/>
        </w:rPr>
        <w:t>,</w:t>
      </w:r>
      <w:r>
        <w:t xml:space="preserve"> спрямо която да преценяват критично нормите на новата общност</w:t>
      </w:r>
      <w:r w:rsidR="008B2480">
        <w:rPr>
          <w:lang w:val="bg-BG"/>
        </w:rPr>
        <w:t>.</w:t>
      </w:r>
      <w:r>
        <w:t xml:space="preserve"> [1] Това прави ранната идентификация на признаци на нарастваща изолация и прекомерна ангажираност с определена онлайн общност особено значима превантивна мярка, разгледана по-подробно в следващия раздел.</w:t>
      </w:r>
    </w:p>
    <w:p w14:paraId="35284ED3" w14:textId="38107ECD" w:rsidR="00A7105F" w:rsidRDefault="00000000">
      <w:pPr>
        <w:spacing w:before="120" w:after="120"/>
        <w:contextualSpacing/>
      </w:pPr>
      <w:r>
        <w:rPr>
          <w:b/>
          <w:bCs/>
        </w:rPr>
        <w:t xml:space="preserve">7. </w:t>
      </w:r>
      <w:r w:rsidR="00942806">
        <w:rPr>
          <w:b/>
          <w:bCs/>
          <w:lang w:val="bg-BG"/>
        </w:rPr>
        <w:t>М</w:t>
      </w:r>
      <w:r w:rsidR="00942806">
        <w:rPr>
          <w:b/>
          <w:bCs/>
        </w:rPr>
        <w:t>еханизми за ранно разпознаване и превенция</w:t>
      </w:r>
    </w:p>
    <w:p w14:paraId="6664B384" w14:textId="77777777" w:rsidR="00A7105F" w:rsidRDefault="00000000">
      <w:pPr>
        <w:jc w:val="both"/>
      </w:pPr>
      <w:r>
        <w:t>Ранното разпознаване на описаните динамики изисква комбиниран подход, включващ мониторинг на съдържанието, медийна и дигитална грамотност и институционално взаимодействие с платформите и общността. В Таблица 1 са обобщени основни индикатори, характерни за отделните фази на ескалация, съответстващи на разгледаните по-горе механизми.</w:t>
      </w:r>
    </w:p>
    <w:p w14:paraId="2F56D6AC" w14:textId="291DF2D2" w:rsidR="00A7105F" w:rsidRPr="00B9511D" w:rsidRDefault="00000000" w:rsidP="00942806">
      <w:pPr>
        <w:spacing w:before="120" w:after="60"/>
        <w:rPr>
          <w:i/>
          <w:iCs/>
          <w:lang w:val="bg-BG"/>
        </w:rPr>
      </w:pPr>
      <w:r w:rsidRPr="00942806">
        <w:rPr>
          <w:i/>
          <w:iCs/>
          <w:sz w:val="24"/>
          <w:szCs w:val="24"/>
        </w:rPr>
        <w:t xml:space="preserve">Таблица 1 </w:t>
      </w:r>
      <w:r w:rsidR="00942806" w:rsidRPr="00942806">
        <w:rPr>
          <w:i/>
          <w:iCs/>
          <w:sz w:val="24"/>
          <w:szCs w:val="24"/>
          <w:lang w:val="bg-BG"/>
        </w:rPr>
        <w:t>-</w:t>
      </w:r>
      <w:r w:rsidRPr="00942806">
        <w:rPr>
          <w:i/>
          <w:iCs/>
          <w:sz w:val="24"/>
          <w:szCs w:val="24"/>
        </w:rPr>
        <w:t xml:space="preserve"> Индикатори за фазите на ескалация на насилието в дигиталните субкултури</w:t>
      </w:r>
      <w:r w:rsidR="00B9511D">
        <w:rPr>
          <w:i/>
          <w:iCs/>
          <w:sz w:val="24"/>
          <w:szCs w:val="24"/>
          <w:lang w:val="bg-BG"/>
        </w:rPr>
        <w:t xml:space="preserve"> (авторова класификация)</w:t>
      </w:r>
    </w:p>
    <w:tbl>
      <w:tblPr>
        <w:tblStyle w:val="ac"/>
        <w:tblW w:w="0" w:type="auto"/>
        <w:tblLook w:val="04A0" w:firstRow="1" w:lastRow="0" w:firstColumn="1" w:lastColumn="0" w:noHBand="0" w:noVBand="1"/>
      </w:tblPr>
      <w:tblGrid>
        <w:gridCol w:w="3020"/>
        <w:gridCol w:w="3020"/>
        <w:gridCol w:w="3021"/>
      </w:tblGrid>
      <w:tr w:rsidR="00942806" w14:paraId="0FED2CE4" w14:textId="77777777" w:rsidTr="00942806">
        <w:tc>
          <w:tcPr>
            <w:tcW w:w="3020" w:type="dxa"/>
          </w:tcPr>
          <w:p w14:paraId="6259C60C" w14:textId="4DB218D8" w:rsidR="00942806" w:rsidRDefault="00942806" w:rsidP="00942806">
            <w:pPr>
              <w:jc w:val="center"/>
              <w:rPr>
                <w:lang w:val="bg-BG"/>
              </w:rPr>
            </w:pPr>
            <w:r>
              <w:rPr>
                <w:b/>
                <w:bCs/>
                <w:sz w:val="24"/>
                <w:szCs w:val="24"/>
              </w:rPr>
              <w:t>Фаза</w:t>
            </w:r>
          </w:p>
        </w:tc>
        <w:tc>
          <w:tcPr>
            <w:tcW w:w="3020" w:type="dxa"/>
          </w:tcPr>
          <w:p w14:paraId="290FB88A" w14:textId="2885CCD1" w:rsidR="00942806" w:rsidRDefault="00942806" w:rsidP="00942806">
            <w:pPr>
              <w:jc w:val="center"/>
              <w:rPr>
                <w:lang w:val="bg-BG"/>
              </w:rPr>
            </w:pPr>
            <w:r>
              <w:rPr>
                <w:b/>
                <w:bCs/>
                <w:sz w:val="24"/>
                <w:szCs w:val="24"/>
              </w:rPr>
              <w:t>Основни индикатори</w:t>
            </w:r>
          </w:p>
        </w:tc>
        <w:tc>
          <w:tcPr>
            <w:tcW w:w="3021" w:type="dxa"/>
          </w:tcPr>
          <w:p w14:paraId="5B275B7A" w14:textId="4D3F3971" w:rsidR="00942806" w:rsidRDefault="00942806" w:rsidP="00942806">
            <w:pPr>
              <w:jc w:val="center"/>
              <w:rPr>
                <w:lang w:val="bg-BG"/>
              </w:rPr>
            </w:pPr>
            <w:r>
              <w:rPr>
                <w:b/>
                <w:bCs/>
                <w:sz w:val="24"/>
                <w:szCs w:val="24"/>
              </w:rPr>
              <w:t>Пример</w:t>
            </w:r>
          </w:p>
        </w:tc>
      </w:tr>
      <w:tr w:rsidR="00942806" w14:paraId="2790FC24" w14:textId="77777777" w:rsidTr="00942806">
        <w:tc>
          <w:tcPr>
            <w:tcW w:w="3020" w:type="dxa"/>
          </w:tcPr>
          <w:p w14:paraId="18DFEAF1" w14:textId="6606765C" w:rsidR="00942806" w:rsidRDefault="00942806">
            <w:pPr>
              <w:rPr>
                <w:lang w:val="bg-BG"/>
              </w:rPr>
            </w:pPr>
            <w:r>
              <w:rPr>
                <w:sz w:val="24"/>
                <w:szCs w:val="24"/>
              </w:rPr>
              <w:t>Групова принадлежност</w:t>
            </w:r>
          </w:p>
        </w:tc>
        <w:tc>
          <w:tcPr>
            <w:tcW w:w="3020" w:type="dxa"/>
          </w:tcPr>
          <w:p w14:paraId="6144D74C" w14:textId="65467F34" w:rsidR="00942806" w:rsidRDefault="00942806">
            <w:pPr>
              <w:rPr>
                <w:lang w:val="bg-BG"/>
              </w:rPr>
            </w:pPr>
            <w:r>
              <w:rPr>
                <w:sz w:val="24"/>
                <w:szCs w:val="24"/>
              </w:rPr>
              <w:t>Затворени канали/сървъри; нарастваща лоялност към общността; нетърпимост към външна критика</w:t>
            </w:r>
          </w:p>
        </w:tc>
        <w:tc>
          <w:tcPr>
            <w:tcW w:w="3021" w:type="dxa"/>
          </w:tcPr>
          <w:p w14:paraId="29045DD8" w14:textId="6011B1EE" w:rsidR="00942806" w:rsidRDefault="00942806">
            <w:pPr>
              <w:rPr>
                <w:lang w:val="bg-BG"/>
              </w:rPr>
            </w:pPr>
            <w:r>
              <w:rPr>
                <w:sz w:val="24"/>
                <w:szCs w:val="24"/>
              </w:rPr>
              <w:t>Нови членове бързо приемат вътрешните правила и жаргона на групата</w:t>
            </w:r>
          </w:p>
        </w:tc>
      </w:tr>
      <w:tr w:rsidR="00942806" w14:paraId="35432B1F" w14:textId="77777777" w:rsidTr="00942806">
        <w:tc>
          <w:tcPr>
            <w:tcW w:w="3020" w:type="dxa"/>
          </w:tcPr>
          <w:p w14:paraId="0025AE4C" w14:textId="6B7F26F5" w:rsidR="00942806" w:rsidRDefault="00942806">
            <w:pPr>
              <w:rPr>
                <w:lang w:val="bg-BG"/>
              </w:rPr>
            </w:pPr>
            <w:r>
              <w:rPr>
                <w:sz w:val="24"/>
                <w:szCs w:val="24"/>
              </w:rPr>
              <w:lastRenderedPageBreak/>
              <w:t>Специализиран език и одобрение</w:t>
            </w:r>
          </w:p>
        </w:tc>
        <w:tc>
          <w:tcPr>
            <w:tcW w:w="3020" w:type="dxa"/>
          </w:tcPr>
          <w:p w14:paraId="409C5C72" w14:textId="332D2D5A" w:rsidR="00942806" w:rsidRDefault="00942806">
            <w:pPr>
              <w:rPr>
                <w:lang w:val="bg-BG"/>
              </w:rPr>
            </w:pPr>
            <w:r>
              <w:rPr>
                <w:sz w:val="24"/>
                <w:szCs w:val="24"/>
              </w:rPr>
              <w:t>Поява на нов жаргон и мемове; ръст на одобрението (лайкове, репутация) за провокативно съдържание</w:t>
            </w:r>
          </w:p>
        </w:tc>
        <w:tc>
          <w:tcPr>
            <w:tcW w:w="3021" w:type="dxa"/>
          </w:tcPr>
          <w:p w14:paraId="49935C27" w14:textId="6897C64E" w:rsidR="00942806" w:rsidRDefault="00942806">
            <w:pPr>
              <w:rPr>
                <w:lang w:val="bg-BG"/>
              </w:rPr>
            </w:pPr>
            <w:r>
              <w:rPr>
                <w:sz w:val="24"/>
                <w:szCs w:val="24"/>
              </w:rPr>
              <w:t>Провокативни публикации получават значително по-висока ангажираност от неутралните</w:t>
            </w:r>
          </w:p>
        </w:tc>
      </w:tr>
      <w:tr w:rsidR="00942806" w14:paraId="1665D5E8" w14:textId="77777777" w:rsidTr="00942806">
        <w:tc>
          <w:tcPr>
            <w:tcW w:w="3020" w:type="dxa"/>
          </w:tcPr>
          <w:p w14:paraId="6CDA0DC4" w14:textId="252C8DB9" w:rsidR="00942806" w:rsidRDefault="00942806">
            <w:pPr>
              <w:rPr>
                <w:lang w:val="bg-BG"/>
              </w:rPr>
            </w:pPr>
            <w:r>
              <w:rPr>
                <w:sz w:val="24"/>
                <w:szCs w:val="24"/>
              </w:rPr>
              <w:t>Символна и вербална агресия</w:t>
            </w:r>
          </w:p>
        </w:tc>
        <w:tc>
          <w:tcPr>
            <w:tcW w:w="3020" w:type="dxa"/>
          </w:tcPr>
          <w:p w14:paraId="044EF950" w14:textId="78E37D71" w:rsidR="00942806" w:rsidRDefault="00942806">
            <w:pPr>
              <w:rPr>
                <w:lang w:val="bg-BG"/>
              </w:rPr>
            </w:pPr>
            <w:r>
              <w:rPr>
                <w:sz w:val="24"/>
                <w:szCs w:val="24"/>
              </w:rPr>
              <w:t>Дехуманизиращ език; заплахи, представени като „</w:t>
            </w:r>
            <w:proofErr w:type="gramStart"/>
            <w:r>
              <w:rPr>
                <w:sz w:val="24"/>
                <w:szCs w:val="24"/>
              </w:rPr>
              <w:t>шега“</w:t>
            </w:r>
            <w:proofErr w:type="gramEnd"/>
            <w:r>
              <w:rPr>
                <w:sz w:val="24"/>
                <w:szCs w:val="24"/>
              </w:rPr>
              <w:t>; естетика на насилие във визуалното съдържание</w:t>
            </w:r>
          </w:p>
        </w:tc>
        <w:tc>
          <w:tcPr>
            <w:tcW w:w="3021" w:type="dxa"/>
          </w:tcPr>
          <w:p w14:paraId="64BF351F" w14:textId="56105CF5" w:rsidR="00942806" w:rsidRDefault="00942806">
            <w:pPr>
              <w:rPr>
                <w:lang w:val="bg-BG"/>
              </w:rPr>
            </w:pPr>
            <w:r>
              <w:rPr>
                <w:sz w:val="24"/>
                <w:szCs w:val="24"/>
              </w:rPr>
              <w:t>Повтарящи се закани, изразени с ироничен тон</w:t>
            </w:r>
          </w:p>
        </w:tc>
      </w:tr>
      <w:tr w:rsidR="00942806" w14:paraId="62C56A4D" w14:textId="77777777" w:rsidTr="00942806">
        <w:tc>
          <w:tcPr>
            <w:tcW w:w="3020" w:type="dxa"/>
          </w:tcPr>
          <w:p w14:paraId="5BCBF17B" w14:textId="1D946E7E" w:rsidR="00942806" w:rsidRDefault="00942806">
            <w:pPr>
              <w:rPr>
                <w:lang w:val="bg-BG"/>
              </w:rPr>
            </w:pPr>
            <w:r>
              <w:rPr>
                <w:sz w:val="24"/>
                <w:szCs w:val="24"/>
              </w:rPr>
              <w:t>Преход към действие</w:t>
            </w:r>
          </w:p>
        </w:tc>
        <w:tc>
          <w:tcPr>
            <w:tcW w:w="3020" w:type="dxa"/>
          </w:tcPr>
          <w:p w14:paraId="39FBF179" w14:textId="52A2C5B3" w:rsidR="00942806" w:rsidRDefault="00942806">
            <w:pPr>
              <w:rPr>
                <w:lang w:val="bg-BG"/>
              </w:rPr>
            </w:pPr>
            <w:r>
              <w:rPr>
                <w:sz w:val="24"/>
                <w:szCs w:val="24"/>
              </w:rPr>
              <w:t>Конкретизиране на цели (лица, места, дати); координация извън платформата</w:t>
            </w:r>
          </w:p>
        </w:tc>
        <w:tc>
          <w:tcPr>
            <w:tcW w:w="3021" w:type="dxa"/>
          </w:tcPr>
          <w:p w14:paraId="116B771E" w14:textId="56FBF8DE" w:rsidR="00942806" w:rsidRDefault="00942806">
            <w:pPr>
              <w:rPr>
                <w:lang w:val="bg-BG"/>
              </w:rPr>
            </w:pPr>
            <w:r>
              <w:rPr>
                <w:sz w:val="24"/>
                <w:szCs w:val="24"/>
              </w:rPr>
              <w:t>Обсъждане на офлайн срещи или конкретни действия срещу посочена цел</w:t>
            </w:r>
          </w:p>
        </w:tc>
      </w:tr>
    </w:tbl>
    <w:p w14:paraId="4C5AF59A" w14:textId="77777777" w:rsidR="00942806" w:rsidRPr="00942806" w:rsidRDefault="00942806">
      <w:pPr>
        <w:rPr>
          <w:lang w:val="bg-BG"/>
        </w:rPr>
      </w:pPr>
    </w:p>
    <w:p w14:paraId="212514D5" w14:textId="75893488" w:rsidR="00A7105F" w:rsidRDefault="00000000">
      <w:pPr>
        <w:jc w:val="both"/>
      </w:pPr>
      <w:r>
        <w:t>Практическото приложение на подобна рамка за ранно разпознаване предполага: (1) обучение на педагози, родители и модератори на съдържание за разпознаване на специфичния жаргон и визуална естетика на рисковите общности; (2) сътрудничество между образователните и силовите институции и платформите за навременно докладване на съдържание, преминало от символна към директна заплаха; (3) насърчаване на критично мислене и дигитална грамотност сред младите потребители като превантивна мярка срещу подражателните и внушителните механизми, разгледани по-горе; (4) периодичен анализ на трендовете в комуникацията в рисковите общности, а не само на изолирани инциденти, тъй като ескалацията представлява процес, а не еднократно събитие; и (5) целенасочена работа с индивиди от установения профил на уязвимост, включително подкрепа за изграждане на алтернативни социални мрежи извън рисковата общност.</w:t>
      </w:r>
      <w:r w:rsidR="003E0B74">
        <w:rPr>
          <w:lang w:val="bg-BG"/>
        </w:rPr>
        <w:t xml:space="preserve"> </w:t>
      </w:r>
      <w:r>
        <w:t>На институционално ниво посочените мерки следва да бъдат съчетани с ясна регулаторна рамка за отговорностите на платформите при модериране на съдържание, преминало от символна към директна заплаха, както и с международно сътрудничество между службите за сигурност предвид трансграничния характер на разглежданите рискове [8].</w:t>
      </w:r>
    </w:p>
    <w:p w14:paraId="269CF118" w14:textId="4BCF151B" w:rsidR="00A7105F" w:rsidRDefault="003E0B74">
      <w:pPr>
        <w:spacing w:before="120" w:after="120"/>
        <w:contextualSpacing/>
      </w:pPr>
      <w:r>
        <w:rPr>
          <w:b/>
          <w:bCs/>
          <w:lang w:val="bg-BG"/>
        </w:rPr>
        <w:t>З</w:t>
      </w:r>
      <w:r>
        <w:rPr>
          <w:b/>
          <w:bCs/>
        </w:rPr>
        <w:t>аключение</w:t>
      </w:r>
    </w:p>
    <w:p w14:paraId="599D487A" w14:textId="3CA57212" w:rsidR="00A7105F" w:rsidRPr="003E0B74" w:rsidRDefault="00000000" w:rsidP="003E0B74">
      <w:pPr>
        <w:jc w:val="both"/>
        <w:rPr>
          <w:lang w:val="bg-BG"/>
        </w:rPr>
      </w:pPr>
      <w:r>
        <w:t>Насилието в дигиталните субкултури рядко възниква внезапно</w:t>
      </w:r>
      <w:r w:rsidR="003E0B74">
        <w:rPr>
          <w:lang w:val="bg-BG"/>
        </w:rPr>
        <w:t>, защото</w:t>
      </w:r>
      <w:r>
        <w:t xml:space="preserve"> то е резултат от постепенен и структуриран процес, в който груповата принадлежност, специализираният език и общностното одобрение изместват границите на допустимото поведение, алгоритмичното усилване ускорява разпространението на все по-провокативно съдържание, а символната и вербалната агресия подготвят психологическата и социалната почва за оправдаване на реално насилие.</w:t>
      </w:r>
      <w:r w:rsidR="003E0B74">
        <w:rPr>
          <w:lang w:val="bg-BG"/>
        </w:rPr>
        <w:t xml:space="preserve"> </w:t>
      </w:r>
      <w:r>
        <w:t xml:space="preserve">Изведените в доклада седем измерения </w:t>
      </w:r>
      <w:r w:rsidR="003E0B74">
        <w:rPr>
          <w:lang w:val="bg-BG"/>
        </w:rPr>
        <w:t>-</w:t>
      </w:r>
      <w:r>
        <w:t xml:space="preserve"> груповата принадлежност, специализираният език и общностното одобрение, алгоритмичното усилване, символната и вербалната агресия, динамиката на прехода към физическо насилие, профилът на уязвимите групи и механизмите за ранно разпознаване</w:t>
      </w:r>
      <w:r w:rsidR="003E0B74">
        <w:rPr>
          <w:lang w:val="bg-BG"/>
        </w:rPr>
        <w:t>,</w:t>
      </w:r>
      <w:r>
        <w:t xml:space="preserve"> не следва да се разглеждат като независими една от друга категории, а като взаимосвързани елементи на един цялостен процес. Ефективната превенция </w:t>
      </w:r>
      <w:r>
        <w:lastRenderedPageBreak/>
        <w:t>изисква едновременна работа по всички тези направления, доколкото ограничаването само на един елемент от системата обичайно води до преместване на активността към друг канал или платформа, а не до реално прекратяване на процеса на ескалация. Разбирането на тази динамика в нейната цялост е предпоставка за изграждане на ефективни механизми за ранно разпознаване и превенция в рисковите групи, което пряко засяга интересите на националната сигурност в дигиталната епоха.</w:t>
      </w:r>
    </w:p>
    <w:p w14:paraId="01F2587A" w14:textId="77777777" w:rsidR="00A7105F" w:rsidRDefault="00000000">
      <w:pPr>
        <w:spacing w:before="120" w:after="120"/>
      </w:pPr>
      <w:r>
        <w:rPr>
          <w:b/>
          <w:bCs/>
        </w:rPr>
        <w:t>Благодарности и финансиране</w:t>
      </w:r>
    </w:p>
    <w:p w14:paraId="4938DFDD" w14:textId="77777777" w:rsidR="00A7105F" w:rsidRDefault="00000000">
      <w:pPr>
        <w:jc w:val="both"/>
      </w:pPr>
      <w:r>
        <w:t>Докладът не е свързан с външно финансиране по конкретен проект или програма.</w:t>
      </w:r>
    </w:p>
    <w:p w14:paraId="25F10D30" w14:textId="77777777" w:rsidR="00A7105F" w:rsidRDefault="00A7105F"/>
    <w:p w14:paraId="2B93A422" w14:textId="77777777" w:rsidR="00A7105F" w:rsidRDefault="00000000">
      <w:pPr>
        <w:spacing w:before="120" w:after="120"/>
      </w:pPr>
      <w:r>
        <w:rPr>
          <w:b/>
          <w:bCs/>
        </w:rPr>
        <w:t>БЕЛЕЖКИ:</w:t>
      </w:r>
    </w:p>
    <w:p w14:paraId="5A0C80F2" w14:textId="77777777" w:rsidR="00A7105F" w:rsidRDefault="00000000">
      <w:pPr>
        <w:jc w:val="both"/>
      </w:pPr>
      <w:r>
        <w:t xml:space="preserve">[1] ДОНЧЕВА, Валерия. Динамика на груповото поведение. Механизми на внушението, подражанието, страха и паниката. В: Сборник доклади от научна конференция „Актуални проблеми на </w:t>
      </w:r>
      <w:proofErr w:type="gramStart"/>
      <w:r>
        <w:t>сигурността“</w:t>
      </w:r>
      <w:proofErr w:type="gramEnd"/>
      <w:r>
        <w:t xml:space="preserve">, Велико Търново, 7-8 май 2026 г. Том 3, с. 166-174. Велико Търново: Издателски комплекс на НВУ „Васил </w:t>
      </w:r>
      <w:proofErr w:type="gramStart"/>
      <w:r>
        <w:t>Левски“</w:t>
      </w:r>
      <w:proofErr w:type="gramEnd"/>
      <w:r>
        <w:t>, 2026. ISSN 2367-7465.</w:t>
      </w:r>
    </w:p>
    <w:p w14:paraId="2CBBA087" w14:textId="77777777" w:rsidR="00A7105F" w:rsidRDefault="00000000">
      <w:pPr>
        <w:jc w:val="both"/>
      </w:pPr>
      <w:r>
        <w:t>[2] ZIMBARDO, Philip. The Lucifer Effect: Understanding How Good People Turn Evil. New York: Random House, 2007. ISBN 978-1-4000-6411-3.</w:t>
      </w:r>
    </w:p>
    <w:p w14:paraId="350A2200" w14:textId="77777777" w:rsidR="00A7105F" w:rsidRDefault="00000000">
      <w:pPr>
        <w:jc w:val="both"/>
      </w:pPr>
      <w:r>
        <w:t>[3] SUNSTEIN, Cass R. Going to Extremes: How Like Minds Unite and Divide. New York: Oxford University Press, 2009. ISBN 978-0-19-537801-6.</w:t>
      </w:r>
    </w:p>
    <w:p w14:paraId="60C7345D" w14:textId="77777777" w:rsidR="00A7105F" w:rsidRDefault="00000000">
      <w:pPr>
        <w:jc w:val="both"/>
      </w:pPr>
      <w:r>
        <w:t>[4] MARWICK, Alice and Rebecca LEWIS. Media Manipulation and Disinformation Online. Online. New York: Data &amp; Society Research Institute, 2017. Available from: https://datasociety.net/pubs/oh/DataAndSociety_MediaManipulationAndDisinformationOnline.pdf. [viewed 2026-09-13].</w:t>
      </w:r>
    </w:p>
    <w:p w14:paraId="5530AFDF" w14:textId="77777777" w:rsidR="00A7105F" w:rsidRDefault="00000000">
      <w:pPr>
        <w:jc w:val="both"/>
      </w:pPr>
      <w:r>
        <w:t>[5] BERGER, J. M. Extremism. Cambridge, Massachusetts; London: The MIT Press, 2018. ISBN 978-0-262-53587-8.</w:t>
      </w:r>
    </w:p>
    <w:p w14:paraId="47D7E0EB" w14:textId="77777777" w:rsidR="00A7105F" w:rsidRDefault="00000000">
      <w:pPr>
        <w:jc w:val="both"/>
      </w:pPr>
      <w:r>
        <w:t>[6] BANDURA, Albert. Aggression: A Social Learning Analysis. Englewood Cliffs, N.J.: Prentice-Hall, 1973. ISBN 0-13-020743-8.</w:t>
      </w:r>
    </w:p>
    <w:p w14:paraId="3FDC6838" w14:textId="77777777" w:rsidR="00A7105F" w:rsidRDefault="00000000">
      <w:pPr>
        <w:jc w:val="both"/>
      </w:pPr>
      <w:r>
        <w:t xml:space="preserve">[7] ТОНЕВ, Стоян. Налични рискове при събиране на големи бази данни онлайн от потребители. В: Сборник доклади от научна конференция „Актуални проблеми на </w:t>
      </w:r>
      <w:proofErr w:type="gramStart"/>
      <w:r>
        <w:t>сигурността“ –</w:t>
      </w:r>
      <w:proofErr w:type="gramEnd"/>
      <w:r>
        <w:t xml:space="preserve"> 26–27 октомври 2023 г., Велико Търново, ИК на НВУ „Васил Левски”, с. 397-405, 2023. ISSN 2367-7481.</w:t>
      </w:r>
    </w:p>
    <w:p w14:paraId="059705D0" w14:textId="77777777" w:rsidR="00A7105F" w:rsidRDefault="00000000">
      <w:pPr>
        <w:jc w:val="both"/>
      </w:pPr>
      <w:r>
        <w:t xml:space="preserve">[8] ТОНЕВ, Стоян. Възможната сигурност в един глобален свят. В: Сборник доклади от научна конференция „Актуални проблеми на </w:t>
      </w:r>
      <w:proofErr w:type="gramStart"/>
      <w:r>
        <w:t>сигурността“ –</w:t>
      </w:r>
      <w:proofErr w:type="gramEnd"/>
      <w:r>
        <w:t xml:space="preserve"> 27-28 октомври 2022 г., Велико Търново, ИК на НВУ „Васил Левски”, с. 261-269, 2022. ISSN 2367-7473.</w:t>
      </w:r>
    </w:p>
    <w:p w14:paraId="0DC6AB65" w14:textId="77777777" w:rsidR="00A7105F" w:rsidRDefault="00A7105F"/>
    <w:p w14:paraId="19AA0953" w14:textId="77777777" w:rsidR="00A7105F" w:rsidRDefault="00000000">
      <w:pPr>
        <w:spacing w:before="120" w:after="120"/>
      </w:pPr>
      <w:r>
        <w:rPr>
          <w:b/>
          <w:bCs/>
        </w:rPr>
        <w:t>ЛИТЕРАТУРА:</w:t>
      </w:r>
    </w:p>
    <w:p w14:paraId="2B348182" w14:textId="77777777" w:rsidR="00A7105F" w:rsidRDefault="00000000">
      <w:pPr>
        <w:jc w:val="both"/>
      </w:pPr>
      <w:r>
        <w:t xml:space="preserve">1. ДОНЧЕВА, Валерия. Динамика на груповото поведение. Механизми на внушението, подражанието, страха и паниката. В: Сборник доклади от научна конференция „Актуални проблеми на </w:t>
      </w:r>
      <w:proofErr w:type="gramStart"/>
      <w:r>
        <w:t>сигурността“</w:t>
      </w:r>
      <w:proofErr w:type="gramEnd"/>
      <w:r>
        <w:t xml:space="preserve">, Велико </w:t>
      </w:r>
      <w:r>
        <w:lastRenderedPageBreak/>
        <w:t xml:space="preserve">Търново, 7-8 май 2026 г. Том 3, с. 166-174. Велико Търново: Издателски комплекс на НВУ „Васил </w:t>
      </w:r>
      <w:proofErr w:type="gramStart"/>
      <w:r>
        <w:t>Левски“</w:t>
      </w:r>
      <w:proofErr w:type="gramEnd"/>
      <w:r>
        <w:t>, 2026. ISSN 2367-7465.</w:t>
      </w:r>
    </w:p>
    <w:p w14:paraId="18590F3A" w14:textId="77777777" w:rsidR="00A7105F" w:rsidRDefault="00000000">
      <w:pPr>
        <w:jc w:val="both"/>
      </w:pPr>
      <w:r>
        <w:t xml:space="preserve">2. ТОНЕВ, Стоян. Възможната сигурност в един глобален свят. В: Сборник доклади от научна конференция „Актуални проблеми на </w:t>
      </w:r>
      <w:proofErr w:type="gramStart"/>
      <w:r>
        <w:t>сигурността“ –</w:t>
      </w:r>
      <w:proofErr w:type="gramEnd"/>
      <w:r>
        <w:t xml:space="preserve"> 27-28 октомври 2022 г., Велико Търново, ИК на НВУ „Васил Левски”, с. 261-269, 2022. ISSN 2367-7473.</w:t>
      </w:r>
    </w:p>
    <w:p w14:paraId="2BA9E3FC" w14:textId="77777777" w:rsidR="00A7105F" w:rsidRDefault="00000000">
      <w:pPr>
        <w:jc w:val="both"/>
      </w:pPr>
      <w:r>
        <w:t xml:space="preserve">3. ТОНЕВ, Стоян. Налични рискове при събиране на големи бази данни онлайн от потребители. В: Сборник доклади от научна конференция „Актуални проблеми на </w:t>
      </w:r>
      <w:proofErr w:type="gramStart"/>
      <w:r>
        <w:t>сигурността“ –</w:t>
      </w:r>
      <w:proofErr w:type="gramEnd"/>
      <w:r>
        <w:t xml:space="preserve"> 26–27 октомври 2023 г., Велико Търново, ИК на НВУ „Васил Левски”, с. 397-405, 2023. ISSN 2367-7481.</w:t>
      </w:r>
    </w:p>
    <w:p w14:paraId="2F9C1210" w14:textId="77777777" w:rsidR="00A7105F" w:rsidRDefault="00000000">
      <w:pPr>
        <w:jc w:val="both"/>
      </w:pPr>
      <w:r>
        <w:t>4. BANDURA, Albert. Aggression: A Social Learning Analysis. Englewood Cliffs, N.J.: Prentice-Hall, 1973. ISBN 0-13-020743-8.</w:t>
      </w:r>
    </w:p>
    <w:p w14:paraId="116DCFA6" w14:textId="77777777" w:rsidR="00A7105F" w:rsidRDefault="00000000">
      <w:pPr>
        <w:jc w:val="both"/>
      </w:pPr>
      <w:r>
        <w:t>5. BERGER, J. M. Extremism. Cambridge, Massachusetts; London: The MIT Press, 2018. ISBN 978-0-262-53587-8.</w:t>
      </w:r>
    </w:p>
    <w:p w14:paraId="3CC3D2FF" w14:textId="77777777" w:rsidR="00A7105F" w:rsidRDefault="00000000">
      <w:pPr>
        <w:jc w:val="both"/>
      </w:pPr>
      <w:r>
        <w:t>6. MARWICK, Alice and Rebecca LEWIS. Media Manipulation and Disinformation Online. Online. New York: Data &amp; Society Research Institute, 2017. Available from: https://datasociety.net/pubs/oh/DataAndSociety_MediaManipulationAndDisinformationOnline.pdf. [viewed 2026-09-13].</w:t>
      </w:r>
    </w:p>
    <w:p w14:paraId="3F824340" w14:textId="77777777" w:rsidR="00A7105F" w:rsidRDefault="00000000">
      <w:pPr>
        <w:jc w:val="both"/>
      </w:pPr>
      <w:r>
        <w:t>7. SUNSTEIN, Cass R. Going to Extremes: How Like Minds Unite and Divide. New York: Oxford University Press, 2009. ISBN 978-0-19-537801-6.</w:t>
      </w:r>
    </w:p>
    <w:p w14:paraId="035AB416" w14:textId="77777777" w:rsidR="00A7105F" w:rsidRDefault="00000000">
      <w:pPr>
        <w:jc w:val="both"/>
      </w:pPr>
      <w:r>
        <w:t>8. ZIMBARDO, Philip. The Lucifer Effect: Understanding How Good People Turn Evil. New York: Random House, 2007. ISBN 978-1-4000-6411-3.</w:t>
      </w:r>
    </w:p>
    <w:p w14:paraId="49BB6E8F" w14:textId="77777777" w:rsidR="00A7105F" w:rsidRDefault="00A7105F"/>
    <w:p w14:paraId="368D3120" w14:textId="7D9C5CEC" w:rsidR="00A7105F" w:rsidRPr="001B4070" w:rsidRDefault="001B4070">
      <w:pPr>
        <w:rPr>
          <w:lang w:val="bg-BG"/>
        </w:rPr>
      </w:pPr>
      <w:r>
        <w:rPr>
          <w:i/>
          <w:iCs/>
          <w:sz w:val="24"/>
          <w:szCs w:val="24"/>
          <w:lang w:val="bg-BG"/>
        </w:rPr>
        <w:t>Георги Костов Баев</w:t>
      </w:r>
      <w:r w:rsidR="00000000">
        <w:rPr>
          <w:i/>
          <w:iCs/>
          <w:sz w:val="24"/>
          <w:szCs w:val="24"/>
        </w:rPr>
        <w:t xml:space="preserve">, </w:t>
      </w:r>
      <w:r>
        <w:rPr>
          <w:i/>
          <w:iCs/>
          <w:sz w:val="24"/>
          <w:szCs w:val="24"/>
          <w:lang w:val="bg-BG"/>
        </w:rPr>
        <w:t>доц. д-р</w:t>
      </w:r>
    </w:p>
    <w:p w14:paraId="61A275E9" w14:textId="6FFC74ED" w:rsidR="00A7105F" w:rsidRPr="001B4070" w:rsidRDefault="001B4070">
      <w:pPr>
        <w:rPr>
          <w:lang w:val="bg-BG"/>
        </w:rPr>
      </w:pPr>
      <w:r>
        <w:rPr>
          <w:i/>
          <w:iCs/>
          <w:sz w:val="24"/>
          <w:szCs w:val="24"/>
          <w:lang w:val="bg-BG"/>
        </w:rPr>
        <w:t>НВУ „Васил Левски“, катедра „Национална и регионална сигурност“</w:t>
      </w:r>
    </w:p>
    <w:p w14:paraId="30924AF4" w14:textId="1CFF9263" w:rsidR="00A7105F" w:rsidRPr="001B4070" w:rsidRDefault="001B4070">
      <w:r>
        <w:rPr>
          <w:i/>
          <w:iCs/>
          <w:sz w:val="24"/>
          <w:szCs w:val="24"/>
          <w:lang w:val="bg-BG"/>
        </w:rPr>
        <w:t xml:space="preserve">Гр. В. Търново, бул. „България“ 76, </w:t>
      </w:r>
      <w:r>
        <w:rPr>
          <w:i/>
          <w:iCs/>
          <w:sz w:val="24"/>
          <w:szCs w:val="24"/>
        </w:rPr>
        <w:t>gkbaev@nvu.bg</w:t>
      </w:r>
    </w:p>
    <w:sectPr w:rsidR="00A7105F" w:rsidRPr="001B4070">
      <w:pgSz w:w="11906" w:h="16838"/>
      <w:pgMar w:top="1134" w:right="1134" w:bottom="850"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252C6C"/>
    <w:multiLevelType w:val="hybridMultilevel"/>
    <w:tmpl w:val="ECD6972E"/>
    <w:lvl w:ilvl="0" w:tplc="48FC3A54">
      <w:start w:val="1"/>
      <w:numFmt w:val="bullet"/>
      <w:lvlText w:val="●"/>
      <w:lvlJc w:val="left"/>
      <w:pPr>
        <w:ind w:left="720" w:hanging="360"/>
      </w:pPr>
    </w:lvl>
    <w:lvl w:ilvl="1" w:tplc="33E2E048">
      <w:start w:val="1"/>
      <w:numFmt w:val="bullet"/>
      <w:lvlText w:val="○"/>
      <w:lvlJc w:val="left"/>
      <w:pPr>
        <w:ind w:left="1440" w:hanging="360"/>
      </w:pPr>
    </w:lvl>
    <w:lvl w:ilvl="2" w:tplc="C3AC46B8">
      <w:start w:val="1"/>
      <w:numFmt w:val="bullet"/>
      <w:lvlText w:val="■"/>
      <w:lvlJc w:val="left"/>
      <w:pPr>
        <w:ind w:left="2160" w:hanging="360"/>
      </w:pPr>
    </w:lvl>
    <w:lvl w:ilvl="3" w:tplc="958244D4">
      <w:start w:val="1"/>
      <w:numFmt w:val="bullet"/>
      <w:lvlText w:val="●"/>
      <w:lvlJc w:val="left"/>
      <w:pPr>
        <w:ind w:left="2880" w:hanging="360"/>
      </w:pPr>
    </w:lvl>
    <w:lvl w:ilvl="4" w:tplc="0C509538">
      <w:start w:val="1"/>
      <w:numFmt w:val="bullet"/>
      <w:lvlText w:val="○"/>
      <w:lvlJc w:val="left"/>
      <w:pPr>
        <w:ind w:left="3600" w:hanging="360"/>
      </w:pPr>
    </w:lvl>
    <w:lvl w:ilvl="5" w:tplc="2AF20586">
      <w:start w:val="1"/>
      <w:numFmt w:val="bullet"/>
      <w:lvlText w:val="■"/>
      <w:lvlJc w:val="left"/>
      <w:pPr>
        <w:ind w:left="4320" w:hanging="360"/>
      </w:pPr>
    </w:lvl>
    <w:lvl w:ilvl="6" w:tplc="4FE0B7EC">
      <w:start w:val="1"/>
      <w:numFmt w:val="bullet"/>
      <w:lvlText w:val="●"/>
      <w:lvlJc w:val="left"/>
      <w:pPr>
        <w:ind w:left="5040" w:hanging="360"/>
      </w:pPr>
    </w:lvl>
    <w:lvl w:ilvl="7" w:tplc="688064CA">
      <w:start w:val="1"/>
      <w:numFmt w:val="bullet"/>
      <w:lvlText w:val="●"/>
      <w:lvlJc w:val="left"/>
      <w:pPr>
        <w:ind w:left="5760" w:hanging="360"/>
      </w:pPr>
    </w:lvl>
    <w:lvl w:ilvl="8" w:tplc="3718071A">
      <w:start w:val="1"/>
      <w:numFmt w:val="bullet"/>
      <w:lvlText w:val="●"/>
      <w:lvlJc w:val="left"/>
      <w:pPr>
        <w:ind w:left="6480" w:hanging="360"/>
      </w:pPr>
    </w:lvl>
  </w:abstractNum>
  <w:num w:numId="1" w16cid:durableId="18793129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05F"/>
    <w:rsid w:val="001B4070"/>
    <w:rsid w:val="001B587D"/>
    <w:rsid w:val="003E0B74"/>
    <w:rsid w:val="00761161"/>
    <w:rsid w:val="0088202A"/>
    <w:rsid w:val="008B2480"/>
    <w:rsid w:val="00942806"/>
    <w:rsid w:val="00A7105F"/>
    <w:rsid w:val="00B9511D"/>
    <w:rsid w:val="00CD6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FFD09"/>
  <w15:docId w15:val="{165545AE-B8F6-496C-8620-85ACA5A82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под линия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на бележка в края Знак"/>
    <w:link w:val="aa"/>
    <w:uiPriority w:val="99"/>
    <w:semiHidden/>
    <w:unhideWhenUsed/>
    <w:rPr>
      <w:sz w:val="20"/>
      <w:szCs w:val="20"/>
    </w:rPr>
  </w:style>
  <w:style w:type="table" w:styleId="ac">
    <w:name w:val="Table Grid"/>
    <w:basedOn w:val="a1"/>
    <w:uiPriority w:val="39"/>
    <w:rsid w:val="00942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3522</Words>
  <Characters>20081</Characters>
  <Application>Microsoft Office Word</Application>
  <DocSecurity>0</DocSecurity>
  <Lines>167</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Георги Баев</cp:lastModifiedBy>
  <cp:revision>2</cp:revision>
  <dcterms:created xsi:type="dcterms:W3CDTF">2026-09-23T11:51:00Z</dcterms:created>
  <dcterms:modified xsi:type="dcterms:W3CDTF">2026-09-23T11:51:00Z</dcterms:modified>
</cp:coreProperties>
</file>