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E8B" w:rsidRDefault="007B42D8">
      <w:pPr>
        <w:jc w:val="center"/>
      </w:pPr>
      <w:r>
        <w:rPr>
          <w:b/>
          <w:sz w:val="32"/>
          <w:lang w:val="bg-BG"/>
        </w:rPr>
        <w:t>ВЗАИМОДЕЙСТВИЕ И КООРДИНАЦИЯ МЕЖДУ НАЦИОНАЛНИТЕ СЛУЖБИ ЗА ЗАЩИТА НА НАСЕЛЕНИЕТО И СИЛИТЕ НА НАТО ПРИ ЯХБ</w:t>
      </w:r>
      <w:r w:rsidR="003D4A68">
        <w:rPr>
          <w:b/>
          <w:sz w:val="32"/>
          <w:lang w:val="bg-BG"/>
        </w:rPr>
        <w:t>Р</w:t>
      </w:r>
      <w:r>
        <w:rPr>
          <w:b/>
          <w:sz w:val="32"/>
          <w:lang w:val="bg-BG"/>
        </w:rPr>
        <w:t xml:space="preserve"> ОПАСЕН ИНЦИДЕНТ В УСЛОВИЯТА НА ПРОВЕЖДАНЕ НА СЪЮЗНА ОПЕРАЦИЯ В ОТГОВОР НА КРИЗА ПО ЧЛ. 5 ОТ ВАШИНГТОНСКИЯ ДОГОВОР</w:t>
      </w:r>
    </w:p>
    <w:p w:rsidR="00CB2E8B" w:rsidRDefault="007B42D8">
      <w:r>
        <w:rPr>
          <w:sz w:val="16"/>
          <w:lang w:val="bg-BG"/>
        </w:rPr>
        <w:t xml:space="preserve"> </w:t>
      </w:r>
    </w:p>
    <w:p w:rsidR="00CB2E8B" w:rsidRDefault="007B42D8">
      <w:pPr>
        <w:jc w:val="center"/>
      </w:pPr>
      <w:r>
        <w:rPr>
          <w:b/>
          <w:sz w:val="32"/>
          <w:lang w:val="bg-BG"/>
        </w:rPr>
        <w:t>Свилена Арабаджиева, Дамян Бешевлиев</w:t>
      </w:r>
    </w:p>
    <w:p w:rsidR="00CB2E8B" w:rsidRDefault="007B42D8">
      <w:r>
        <w:rPr>
          <w:sz w:val="16"/>
          <w:lang w:val="bg-BG"/>
        </w:rPr>
        <w:t xml:space="preserve"> </w:t>
      </w:r>
    </w:p>
    <w:p w:rsidR="00CB2E8B" w:rsidRDefault="007B42D8">
      <w:pPr>
        <w:jc w:val="center"/>
      </w:pPr>
      <w:r>
        <w:rPr>
          <w:b/>
          <w:sz w:val="32"/>
          <w:lang w:val="bg-BG"/>
        </w:rPr>
        <w:t>INTERACTION AND COORDINATION BETWEEN NATIONAL CIVIL PROTECTION SERVICES AND NATO FORCES IN A CBRN HAZARDOUS INCIDENT DURING AN ALLIED COLLECTIVE-DEFENCE OPERATION UNDER ARTICLE 5 OF THE NORTH ATLANTIC TREATY</w:t>
      </w:r>
    </w:p>
    <w:p w:rsidR="00CB2E8B" w:rsidRDefault="007B42D8">
      <w:r>
        <w:rPr>
          <w:sz w:val="16"/>
          <w:lang w:val="bg-BG"/>
        </w:rPr>
        <w:t xml:space="preserve"> </w:t>
      </w:r>
    </w:p>
    <w:p w:rsidR="00CB2E8B" w:rsidRPr="007B42D8" w:rsidRDefault="007B42D8">
      <w:pPr>
        <w:jc w:val="center"/>
      </w:pPr>
      <w:r>
        <w:rPr>
          <w:b/>
          <w:sz w:val="32"/>
        </w:rPr>
        <w:t xml:space="preserve">Svilena </w:t>
      </w:r>
      <w:proofErr w:type="spellStart"/>
      <w:r>
        <w:rPr>
          <w:b/>
          <w:sz w:val="32"/>
        </w:rPr>
        <w:t>Arabadzhieva</w:t>
      </w:r>
      <w:proofErr w:type="spellEnd"/>
      <w:r>
        <w:rPr>
          <w:b/>
          <w:sz w:val="32"/>
        </w:rPr>
        <w:t xml:space="preserve">, </w:t>
      </w:r>
      <w:proofErr w:type="spellStart"/>
      <w:r>
        <w:rPr>
          <w:b/>
          <w:sz w:val="32"/>
        </w:rPr>
        <w:t>Damyan</w:t>
      </w:r>
      <w:proofErr w:type="spellEnd"/>
      <w:r>
        <w:rPr>
          <w:b/>
          <w:sz w:val="32"/>
        </w:rPr>
        <w:t xml:space="preserve"> </w:t>
      </w:r>
      <w:proofErr w:type="spellStart"/>
      <w:r>
        <w:rPr>
          <w:b/>
          <w:sz w:val="32"/>
        </w:rPr>
        <w:t>Beshevliev</w:t>
      </w:r>
      <w:proofErr w:type="spellEnd"/>
    </w:p>
    <w:p w:rsidR="00CB2E8B" w:rsidRDefault="007B42D8">
      <w:r>
        <w:rPr>
          <w:sz w:val="16"/>
          <w:lang w:val="bg-BG"/>
        </w:rPr>
        <w:t xml:space="preserve"> </w:t>
      </w:r>
    </w:p>
    <w:p w:rsidR="00CB2E8B" w:rsidRDefault="007B42D8">
      <w:pPr>
        <w:ind w:firstLine="567"/>
        <w:jc w:val="both"/>
      </w:pPr>
      <w:r>
        <w:rPr>
          <w:b/>
          <w:i/>
          <w:sz w:val="24"/>
          <w:lang w:val="bg-BG"/>
        </w:rPr>
        <w:t>Резюме:</w:t>
      </w:r>
      <w:r>
        <w:rPr>
          <w:i/>
          <w:sz w:val="24"/>
          <w:lang w:val="bg-BG"/>
        </w:rPr>
        <w:t xml:space="preserve"> Разглежда се взаимодействието между националните служби за защита на населението и силите на НАТО при ЯХБР</w:t>
      </w:r>
      <w:r w:rsidR="003D4A68">
        <w:rPr>
          <w:rStyle w:val="FootnoteReference"/>
          <w:i/>
          <w:sz w:val="24"/>
          <w:lang w:val="bg-BG"/>
        </w:rPr>
        <w:footnoteReference w:id="1"/>
      </w:r>
      <w:r>
        <w:rPr>
          <w:i/>
          <w:sz w:val="24"/>
          <w:lang w:val="bg-BG"/>
        </w:rPr>
        <w:t xml:space="preserve"> инцидент в операция по чл. 5. Чрез нормативен, сравнителен и функционален анализ е предложен интегриран модел за координация, основан на запазване на националните и военните командни вериги, споделена ситуационна осведоменост и измерими показатели за ефективност.</w:t>
      </w:r>
    </w:p>
    <w:p w:rsidR="00CB2E8B" w:rsidRDefault="007B42D8">
      <w:r>
        <w:rPr>
          <w:sz w:val="12"/>
          <w:lang w:val="bg-BG"/>
        </w:rPr>
        <w:t xml:space="preserve"> </w:t>
      </w:r>
    </w:p>
    <w:p w:rsidR="00CB2E8B" w:rsidRDefault="007B42D8">
      <w:pPr>
        <w:ind w:firstLine="567"/>
        <w:jc w:val="both"/>
      </w:pPr>
      <w:r>
        <w:rPr>
          <w:b/>
          <w:i/>
          <w:sz w:val="24"/>
          <w:lang w:val="bg-BG"/>
        </w:rPr>
        <w:t>Ключови думи:</w:t>
      </w:r>
      <w:r>
        <w:rPr>
          <w:i/>
          <w:sz w:val="24"/>
          <w:lang w:val="bg-BG"/>
        </w:rPr>
        <w:t xml:space="preserve"> ЯХБ</w:t>
      </w:r>
      <w:r w:rsidR="003D4A68">
        <w:rPr>
          <w:i/>
          <w:sz w:val="24"/>
          <w:lang w:val="bg-BG"/>
        </w:rPr>
        <w:t>Р</w:t>
      </w:r>
      <w:r>
        <w:rPr>
          <w:i/>
          <w:sz w:val="24"/>
          <w:lang w:val="bg-BG"/>
        </w:rPr>
        <w:t xml:space="preserve"> защита, НАТО, чл. 5, колективна отбрана, защита на населението, ГДПБЗН, гражданско-военно сътрудничество, оперативна съвместимост, ранно предупреждение.</w:t>
      </w:r>
    </w:p>
    <w:p w:rsidR="00CB2E8B" w:rsidRDefault="007B42D8">
      <w:r>
        <w:rPr>
          <w:sz w:val="12"/>
          <w:lang w:val="bg-BG"/>
        </w:rPr>
        <w:t xml:space="preserve"> </w:t>
      </w:r>
    </w:p>
    <w:p w:rsidR="00CB2E8B" w:rsidRDefault="007B42D8">
      <w:pPr>
        <w:ind w:firstLine="567"/>
        <w:jc w:val="both"/>
      </w:pPr>
      <w:r>
        <w:rPr>
          <w:b/>
          <w:i/>
          <w:sz w:val="24"/>
          <w:lang w:val="bg-BG"/>
        </w:rPr>
        <w:t>Abstract:</w:t>
      </w:r>
      <w:r>
        <w:rPr>
          <w:i/>
          <w:sz w:val="24"/>
          <w:lang w:val="bg-BG"/>
        </w:rPr>
        <w:t xml:space="preserve"> The paper examines interaction between national civil-protection services and NATO forces during a CBRN incident in an Article 5 operation. A regulatory, comparative and functional analysis supports an integrated coordination model that preserves national and military chains of command, enables shared situational awareness, and uses measurable indicators of coordination effectiveness.</w:t>
      </w:r>
    </w:p>
    <w:p w:rsidR="00CB2E8B" w:rsidRDefault="007B42D8">
      <w:r>
        <w:rPr>
          <w:sz w:val="12"/>
          <w:lang w:val="bg-BG"/>
        </w:rPr>
        <w:t xml:space="preserve"> </w:t>
      </w:r>
    </w:p>
    <w:p w:rsidR="00CB2E8B" w:rsidRDefault="007B42D8">
      <w:pPr>
        <w:ind w:firstLine="567"/>
        <w:jc w:val="both"/>
      </w:pPr>
      <w:r>
        <w:rPr>
          <w:b/>
          <w:i/>
          <w:sz w:val="24"/>
          <w:lang w:val="bg-BG"/>
        </w:rPr>
        <w:t>Keywords:</w:t>
      </w:r>
      <w:r>
        <w:rPr>
          <w:i/>
          <w:sz w:val="24"/>
          <w:lang w:val="bg-BG"/>
        </w:rPr>
        <w:t xml:space="preserve"> CBRN defence, NATO, Article 5, collective defence, civil protection, civil-military cooperation, interoperability, warning and reporting.</w:t>
      </w:r>
    </w:p>
    <w:p w:rsidR="00CB2E8B" w:rsidRDefault="007B42D8">
      <w:r>
        <w:rPr>
          <w:sz w:val="16"/>
          <w:lang w:val="bg-BG"/>
        </w:rPr>
        <w:t xml:space="preserve"> </w:t>
      </w:r>
    </w:p>
    <w:p w:rsidR="00CB2E8B" w:rsidRPr="007B42D8" w:rsidRDefault="007B42D8" w:rsidP="007B42D8">
      <w:pPr>
        <w:jc w:val="both"/>
        <w:rPr>
          <w:b/>
          <w:lang w:val="bg-BG"/>
        </w:rPr>
      </w:pPr>
      <w:r w:rsidRPr="007B42D8">
        <w:rPr>
          <w:b/>
          <w:lang w:val="bg-BG"/>
        </w:rPr>
        <w:t>1. Въведение</w:t>
      </w:r>
    </w:p>
    <w:p w:rsidR="00CB2E8B" w:rsidRDefault="007B42D8">
      <w:pPr>
        <w:ind w:firstLine="567"/>
        <w:jc w:val="both"/>
      </w:pPr>
      <w:r>
        <w:rPr>
          <w:lang w:val="bg-BG"/>
        </w:rPr>
        <w:t xml:space="preserve">Променената среда на сигурност в Европа поставя защитата на населението и гражданската устойчивост в пряка функционална зависимост от колективната отбрана. Съвременната съюзна операция не може да бъде разглеждана само като действие на военни формирования. Тя се провежда върху територия, в която продължават да функционират органи на държавното управление, здравни и социални системи, транспортна и енергийна инфраструктура, аварийно-спасителни служби, </w:t>
      </w:r>
      <w:r>
        <w:rPr>
          <w:lang w:val="bg-BG"/>
        </w:rPr>
        <w:lastRenderedPageBreak/>
        <w:t>оператори на критична инфраструктура и местни власти. Именно поради това границата между военното осигуряване и гражданската защита се превръща в една от критичните области на общата устойчивост.</w:t>
      </w:r>
    </w:p>
    <w:p w:rsidR="00CB2E8B" w:rsidRDefault="007B42D8">
      <w:pPr>
        <w:ind w:firstLine="567"/>
        <w:jc w:val="both"/>
      </w:pPr>
      <w:r>
        <w:rPr>
          <w:lang w:val="bg-BG"/>
        </w:rPr>
        <w:t xml:space="preserve">Член 5 от Северноатлантическия договор установява принципа, че въоръжено нападение </w:t>
      </w:r>
      <w:r w:rsidR="00200E30">
        <w:rPr>
          <w:lang w:val="bg-BG"/>
        </w:rPr>
        <w:t>срещу една или повече държави</w:t>
      </w:r>
      <w:r w:rsidR="00200E30">
        <w:t>-</w:t>
      </w:r>
      <w:r>
        <w:rPr>
          <w:lang w:val="bg-BG"/>
        </w:rPr>
        <w:t>членки в Европа или Северна Америка се разглежда като нападение срещу всички, като всяка страна оказва необходимото съдействие, включително чрез използване на въоръжена сила. Това не отменя националните правомощия и задължения на засегнатата държава. Член 3 поставя акцент върху поддържането и развитието на индивидуалната и колективната способност на съюзниците да устоят на въоръжено нападение. В съвременната политика на НАТО тази постановка е пряко свързана с националната устойчивост и гражданската готовност [1, 4].</w:t>
      </w:r>
    </w:p>
    <w:p w:rsidR="00CB2E8B" w:rsidRDefault="007B42D8">
      <w:pPr>
        <w:ind w:firstLine="567"/>
        <w:jc w:val="both"/>
      </w:pPr>
      <w:r>
        <w:rPr>
          <w:lang w:val="bg-BG"/>
        </w:rPr>
        <w:t>Особено сложна е ситуацията при възникване на ЯХБ</w:t>
      </w:r>
      <w:r w:rsidR="003D4A68">
        <w:rPr>
          <w:lang w:val="bg-BG"/>
        </w:rPr>
        <w:t>Р</w:t>
      </w:r>
      <w:r>
        <w:rPr>
          <w:lang w:val="bg-BG"/>
        </w:rPr>
        <w:t xml:space="preserve"> опасен инцидент. Той може да произтича от преднамерена употреба на оръжия или опасни материали, от вторични последици от бойни действия върху промишлен или ядрен обект, от повреда на транспортна инфраструктура, от авария в обект с опасни вещества или от комбинация на военни и технологични фактори. От гледна точка на защитата на населението първостепенно значение има опасността за живота и здравето на хората, а от гледна точка на съюзната операция същият инцидент може едновременно да повлияе върху защитата на силите, свободата на маньовър, логистиката, медицинското осигуряване, комуникациите и изпълнението на оперативните задачи.</w:t>
      </w:r>
    </w:p>
    <w:p w:rsidR="007B42D8" w:rsidRDefault="007B42D8" w:rsidP="007B42D8">
      <w:pPr>
        <w:ind w:firstLine="567"/>
        <w:jc w:val="both"/>
        <w:rPr>
          <w:lang w:val="bg-BG"/>
        </w:rPr>
      </w:pPr>
      <w:r>
        <w:rPr>
          <w:lang w:val="bg-BG"/>
        </w:rPr>
        <w:t xml:space="preserve">НАТО определя защитата от химически, биологически, радиологични и ядрени заплахи като интегрална част от своята възпираща и отбранителна позиция. Политиката на Алианса от 2022 г. подчертава, че мащабен </w:t>
      </w:r>
      <w:r w:rsidR="003D4A68">
        <w:rPr>
          <w:lang w:val="bg-BG"/>
        </w:rPr>
        <w:t>ЯХБР</w:t>
      </w:r>
      <w:r>
        <w:rPr>
          <w:lang w:val="bg-BG"/>
        </w:rPr>
        <w:t xml:space="preserve"> инцидент може да има тежки последици за обществото и критичната инфраструктура и да засегне способността на държавата да подпомага военните операции [2].</w:t>
      </w:r>
    </w:p>
    <w:p w:rsidR="00655AF8" w:rsidRDefault="00655AF8" w:rsidP="007B42D8">
      <w:pPr>
        <w:ind w:firstLine="567"/>
        <w:jc w:val="both"/>
      </w:pPr>
    </w:p>
    <w:p w:rsidR="00CB2E8B" w:rsidRDefault="007B42D8" w:rsidP="007B42D8">
      <w:pPr>
        <w:jc w:val="both"/>
      </w:pPr>
      <w:r w:rsidRPr="007B42D8">
        <w:rPr>
          <w:b/>
          <w:bCs/>
          <w:lang w:val="bg-BG"/>
        </w:rPr>
        <w:t>2. Цел, задачи</w:t>
      </w:r>
      <w:r>
        <w:rPr>
          <w:b/>
          <w:color w:val="000000"/>
          <w:lang w:val="bg-BG"/>
        </w:rPr>
        <w:t xml:space="preserve"> и методология на изследването</w:t>
      </w:r>
    </w:p>
    <w:p w:rsidR="00CB2E8B" w:rsidRDefault="007B42D8">
      <w:pPr>
        <w:ind w:firstLine="567"/>
        <w:jc w:val="both"/>
      </w:pPr>
      <w:r>
        <w:rPr>
          <w:lang w:val="bg-BG"/>
        </w:rPr>
        <w:t>Целта на изследването е да бъде разработен концептуален модел за взаимодействие и координация между националните служби за защита на населението и силите на НАТО при ЯХБ</w:t>
      </w:r>
      <w:r w:rsidR="003D4A68">
        <w:rPr>
          <w:lang w:val="bg-BG"/>
        </w:rPr>
        <w:t>Р</w:t>
      </w:r>
      <w:r>
        <w:rPr>
          <w:lang w:val="bg-BG"/>
        </w:rPr>
        <w:t xml:space="preserve"> опасен инцидент, възникнал в условията на съюзна операция по колективна отбрана.</w:t>
      </w:r>
    </w:p>
    <w:p w:rsidR="00CB2E8B" w:rsidRDefault="007B42D8">
      <w:pPr>
        <w:ind w:firstLine="567"/>
        <w:jc w:val="both"/>
      </w:pPr>
      <w:r>
        <w:rPr>
          <w:lang w:val="bg-BG"/>
        </w:rPr>
        <w:t>Задачите са: анализ на основните нормативни и доктринални принципи; определяне на областите, в които гражданските и военните функции се пресичат; идентифициране на рисковете от дублиране, забавяне или противоречие; разработване на функционална архитектура на гражданско-военната координация; формулиране на показатели за оценка на нейната ефективност.</w:t>
      </w:r>
    </w:p>
    <w:p w:rsidR="00CB2E8B" w:rsidRDefault="007B42D8">
      <w:pPr>
        <w:ind w:firstLine="567"/>
        <w:jc w:val="both"/>
      </w:pPr>
      <w:r>
        <w:rPr>
          <w:lang w:val="bg-BG"/>
        </w:rPr>
        <w:t xml:space="preserve">Прилага се системен подход, при който реагирането се разглежда като комплекс от свързани подсистеми: откриване, идентификация, оценка, предупреждение, командване и управление, защита на населението, защита на силите, медицинско осигуряване, логистика, обеззаразяване, </w:t>
      </w:r>
      <w:r>
        <w:rPr>
          <w:lang w:val="bg-BG"/>
        </w:rPr>
        <w:lastRenderedPageBreak/>
        <w:t>комуникация и възстановяване. Използвани са също сравнителен анализ на граждански и военни функции и функционално моделиране на информационните и управленските връзки.</w:t>
      </w:r>
    </w:p>
    <w:p w:rsidR="007B42D8" w:rsidRDefault="007B42D8" w:rsidP="007B42D8">
      <w:pPr>
        <w:ind w:firstLine="567"/>
        <w:jc w:val="both"/>
        <w:rPr>
          <w:lang w:val="bg-BG"/>
        </w:rPr>
      </w:pPr>
      <w:r>
        <w:rPr>
          <w:lang w:val="bg-BG"/>
        </w:rPr>
        <w:t>Основната научна хипотеза е, че най-висока ефективност се достига не чрез организационно сливане на гражданското и военното управление, а чрез предварително изградени механизми за функционална интеграция при запазване на законовите правомощия и командните вериги на всяка система.</w:t>
      </w:r>
    </w:p>
    <w:p w:rsidR="00655AF8" w:rsidRDefault="00655AF8" w:rsidP="007B42D8">
      <w:pPr>
        <w:ind w:firstLine="567"/>
        <w:jc w:val="both"/>
      </w:pPr>
    </w:p>
    <w:p w:rsidR="00CB2E8B" w:rsidRDefault="007B42D8" w:rsidP="007B42D8">
      <w:pPr>
        <w:jc w:val="both"/>
      </w:pPr>
      <w:r>
        <w:rPr>
          <w:b/>
          <w:color w:val="000000"/>
          <w:lang w:val="bg-BG"/>
        </w:rPr>
        <w:t>3. Нормативна и доктринална основа на взаимодействието</w:t>
      </w:r>
    </w:p>
    <w:p w:rsidR="00CB2E8B" w:rsidRDefault="007B42D8">
      <w:pPr>
        <w:ind w:firstLine="567"/>
        <w:jc w:val="both"/>
      </w:pPr>
      <w:r>
        <w:rPr>
          <w:lang w:val="bg-BG"/>
        </w:rPr>
        <w:t>При операция по чл. 5 защитата на територията и населението не е странична хуманитарна дейност, а част от условията, необходими за колективната отбрана. НАТО разглежда гражданската готовност чрез три основни функции: непрекъсваемост на държавното управление, непрекъсваемост на основните услуги за населението и гражданска подкрепа за военните операции [4].</w:t>
      </w:r>
    </w:p>
    <w:p w:rsidR="00CB2E8B" w:rsidRDefault="007B42D8">
      <w:pPr>
        <w:ind w:firstLine="567"/>
        <w:jc w:val="both"/>
      </w:pPr>
      <w:r>
        <w:rPr>
          <w:lang w:val="bg-BG"/>
        </w:rPr>
        <w:t>Тези функции са конкретизирани чрез седем базови изисквания за национална устойчивост: непрекъсваемост на управлението; устойчиво енергоснабдяване; способност за управление на масово движение на хора; устойчиви ресурси от храни и вода; способност за справяне с масови поражения и мащабни здравни кризи; устойчиви граждански комуникации и устойчив транспорт [4]. При ЯХБ</w:t>
      </w:r>
      <w:r w:rsidR="003D4A68">
        <w:rPr>
          <w:lang w:val="bg-BG"/>
        </w:rPr>
        <w:t>Р</w:t>
      </w:r>
      <w:r>
        <w:rPr>
          <w:lang w:val="bg-BG"/>
        </w:rPr>
        <w:t xml:space="preserve"> инцидент практически всички тези области могат да бъдат засегнати едновременно.</w:t>
      </w:r>
    </w:p>
    <w:p w:rsidR="00CB2E8B" w:rsidRDefault="007B42D8">
      <w:pPr>
        <w:ind w:firstLine="567"/>
        <w:jc w:val="both"/>
      </w:pPr>
      <w:r>
        <w:rPr>
          <w:lang w:val="bg-BG"/>
        </w:rPr>
        <w:t xml:space="preserve">Актуалната политика на НАТО за </w:t>
      </w:r>
      <w:r w:rsidR="00642B2D">
        <w:rPr>
          <w:lang w:val="bg-BG"/>
        </w:rPr>
        <w:t>ЯХБР</w:t>
      </w:r>
      <w:r>
        <w:rPr>
          <w:lang w:val="bg-BG"/>
        </w:rPr>
        <w:t xml:space="preserve"> защита поставя националната и колективната устойчивост сред основите на надеждното възпиране и отбраната. Алиансът свързва </w:t>
      </w:r>
      <w:r w:rsidR="00642B2D">
        <w:rPr>
          <w:lang w:val="bg-BG"/>
        </w:rPr>
        <w:t>ЯХБР</w:t>
      </w:r>
      <w:r>
        <w:rPr>
          <w:lang w:val="bg-BG"/>
        </w:rPr>
        <w:t xml:space="preserve"> готовността с непрекъсваемостта на управлението, способността за реагиране при масови поражения и поддържането на инфраструктурата, необходима за военните операции [2]. Специализирана способност на Алианса е Combined Joint CBRN Defence Task Force, включваща CBRN Defence Battalion и CBRN Joint Assessment Team [5].</w:t>
      </w:r>
    </w:p>
    <w:p w:rsidR="00CB2E8B" w:rsidRDefault="007B42D8">
      <w:pPr>
        <w:ind w:firstLine="567"/>
        <w:jc w:val="both"/>
      </w:pPr>
      <w:r>
        <w:rPr>
          <w:lang w:val="bg-BG"/>
        </w:rPr>
        <w:t>За Република България ГД „Пожарна безопасност и защита на населението“ – МВР има централно място при оперативната защита на населението. Като национална специализирана структура тя осъществява дейности по пожарна безопасност и защита при пожари, бедствия и извънредни ситуации, както и сътрудничество с институциите и органите на Европейския съюз, НАТО и други международни организации в областта на пожарната безопасност и защитата на населението, хуманитарната помощ и гражданско-военното аварийно планиране [10–11].</w:t>
      </w:r>
    </w:p>
    <w:p w:rsidR="007B42D8" w:rsidRDefault="007B42D8" w:rsidP="007B42D8">
      <w:pPr>
        <w:ind w:firstLine="567"/>
        <w:jc w:val="both"/>
        <w:rPr>
          <w:lang w:val="bg-BG"/>
        </w:rPr>
      </w:pPr>
      <w:r>
        <w:rPr>
          <w:lang w:val="bg-BG"/>
        </w:rPr>
        <w:t>Нормативната логика е последователна: националните органи продължават да носят отговорност за защитата на населението и при условия на колективна отбрана, докато военните съюзни способности се интегрират чрез координационни механизми и предоставят специфични способности там, където това е необходимо.</w:t>
      </w:r>
    </w:p>
    <w:p w:rsidR="00655AF8" w:rsidRDefault="00655AF8" w:rsidP="007B42D8">
      <w:pPr>
        <w:ind w:firstLine="567"/>
        <w:jc w:val="both"/>
      </w:pPr>
    </w:p>
    <w:p w:rsidR="00CB2E8B" w:rsidRDefault="007B42D8" w:rsidP="007B42D8">
      <w:pPr>
        <w:jc w:val="both"/>
      </w:pPr>
      <w:r>
        <w:rPr>
          <w:b/>
          <w:color w:val="000000"/>
          <w:lang w:val="bg-BG"/>
        </w:rPr>
        <w:lastRenderedPageBreak/>
        <w:t>4. Особености на ЯХБ</w:t>
      </w:r>
      <w:r w:rsidR="003D4A68">
        <w:rPr>
          <w:b/>
          <w:color w:val="000000"/>
          <w:lang w:val="bg-BG"/>
        </w:rPr>
        <w:t>Р</w:t>
      </w:r>
      <w:r>
        <w:rPr>
          <w:b/>
          <w:color w:val="000000"/>
          <w:lang w:val="bg-BG"/>
        </w:rPr>
        <w:t xml:space="preserve"> инцидента в условията на съюзна операция</w:t>
      </w:r>
    </w:p>
    <w:p w:rsidR="00CB2E8B" w:rsidRDefault="007B42D8">
      <w:pPr>
        <w:ind w:firstLine="567"/>
        <w:jc w:val="both"/>
      </w:pPr>
      <w:r>
        <w:rPr>
          <w:lang w:val="bg-BG"/>
        </w:rPr>
        <w:t>ЯХБ</w:t>
      </w:r>
      <w:r w:rsidR="003D4A68">
        <w:rPr>
          <w:lang w:val="bg-BG"/>
        </w:rPr>
        <w:t>Р</w:t>
      </w:r>
      <w:r>
        <w:rPr>
          <w:lang w:val="bg-BG"/>
        </w:rPr>
        <w:t xml:space="preserve"> инцидентът се отличава от повечето други извънредни ситуации по няколко свойства. Опасният фактор често е невидим и неговото наличие, вид и концентрация не могат да бъдат определени надеждно без специализирани средства. Това превръща детекцията, идентификацията, пробовземането и анализа в непосредствен фактор за командните решения.</w:t>
      </w:r>
    </w:p>
    <w:p w:rsidR="00CB2E8B" w:rsidRDefault="007B42D8">
      <w:pPr>
        <w:ind w:firstLine="567"/>
        <w:jc w:val="both"/>
      </w:pPr>
      <w:r>
        <w:rPr>
          <w:lang w:val="bg-BG"/>
        </w:rPr>
        <w:t>Пространственото развитие на последствията е динамично. Разпространението на опасното вещество или радиоактивния материал зависи от метеорологични условия, особености на терена, разрушения на инфраструктурата и вида на източника. Зоната на опасност следователно не е статичен периметър.</w:t>
      </w:r>
    </w:p>
    <w:p w:rsidR="00CB2E8B" w:rsidRDefault="007B42D8">
      <w:pPr>
        <w:ind w:firstLine="567"/>
        <w:jc w:val="both"/>
      </w:pPr>
      <w:r>
        <w:rPr>
          <w:lang w:val="bg-BG"/>
        </w:rPr>
        <w:t>Инцидентът може да засегне едновременно населението и разположени в района военни формирования. Това означава, че две системи могат паралелно да извършват детекция, прогнозиране и определяне на защитни мерки. Необходимите специализирани ресурси са ограничени: средства за детекция и идентификация, защитни облекла, дихателни апарати, оборудване за масова деконтаминация, специализиран транспорт, лаборатории и медицински контрамерки.</w:t>
      </w:r>
    </w:p>
    <w:p w:rsidR="00CB2E8B" w:rsidRDefault="007B42D8">
      <w:pPr>
        <w:ind w:firstLine="567"/>
        <w:jc w:val="both"/>
      </w:pPr>
      <w:r>
        <w:rPr>
          <w:lang w:val="bg-BG"/>
        </w:rPr>
        <w:t xml:space="preserve">Информационната несигурност при такъв инцидент е особено опасна. Погрешен сигнал за наличие на </w:t>
      </w:r>
      <w:r w:rsidR="00642B2D">
        <w:rPr>
          <w:lang w:val="bg-BG"/>
        </w:rPr>
        <w:t>ЯХБР</w:t>
      </w:r>
      <w:r>
        <w:rPr>
          <w:lang w:val="bg-BG"/>
        </w:rPr>
        <w:t xml:space="preserve"> агент може да блокира ключова инфраструктура и да предизвика масова паника, а забавеното предупреждение може да доведе до значително увеличение на експозицията и броя на пострадалите.</w:t>
      </w:r>
    </w:p>
    <w:p w:rsidR="007B42D8" w:rsidRDefault="007B42D8" w:rsidP="007B42D8">
      <w:pPr>
        <w:ind w:firstLine="567"/>
        <w:jc w:val="both"/>
        <w:rPr>
          <w:lang w:val="bg-BG"/>
        </w:rPr>
      </w:pPr>
      <w:r>
        <w:rPr>
          <w:lang w:val="bg-BG"/>
        </w:rPr>
        <w:t>Научната публикация на С. Велев поставя предупреждението и докладването като ключов компонент на ЯХБ</w:t>
      </w:r>
      <w:r w:rsidR="003D4A68">
        <w:rPr>
          <w:lang w:val="bg-BG"/>
        </w:rPr>
        <w:t>Р</w:t>
      </w:r>
      <w:r>
        <w:rPr>
          <w:lang w:val="bg-BG"/>
        </w:rPr>
        <w:t xml:space="preserve"> защитата. Процесът е разгледан като своевременно събиране, оценяване и разпространяване на данни за реално или предполагаемо събитие и за прогнозирани опасни зони, като предупреждението и докладването влияят не само върху защитата на силите, а и върху маньовъра, осигуряването и гражданско-военното сътрудничество [14].</w:t>
      </w:r>
    </w:p>
    <w:p w:rsidR="00655AF8" w:rsidRDefault="00655AF8" w:rsidP="007B42D8">
      <w:pPr>
        <w:ind w:firstLine="567"/>
        <w:jc w:val="both"/>
      </w:pPr>
    </w:p>
    <w:p w:rsidR="00CB2E8B" w:rsidRDefault="007B42D8" w:rsidP="007B42D8">
      <w:pPr>
        <w:jc w:val="both"/>
      </w:pPr>
      <w:r>
        <w:rPr>
          <w:b/>
          <w:color w:val="000000"/>
          <w:lang w:val="bg-BG"/>
        </w:rPr>
        <w:t>5. Разпределение на функциите между националните служби и силите на НАТО</w:t>
      </w:r>
    </w:p>
    <w:p w:rsidR="00CB2E8B" w:rsidRDefault="007B42D8">
      <w:pPr>
        <w:ind w:firstLine="567"/>
        <w:jc w:val="both"/>
      </w:pPr>
      <w:r>
        <w:rPr>
          <w:lang w:val="bg-BG"/>
        </w:rPr>
        <w:t>Една от най-съществените предпоставки за ефективна координация е да не се допуска смесване между понятията командване, оперативно ръководство, координация и подпомагане.</w:t>
      </w:r>
    </w:p>
    <w:p w:rsidR="00CB2E8B" w:rsidRDefault="007B42D8">
      <w:pPr>
        <w:ind w:firstLine="567"/>
        <w:jc w:val="both"/>
      </w:pPr>
      <w:r>
        <w:rPr>
          <w:lang w:val="bg-BG"/>
        </w:rPr>
        <w:t>При инцидент, засягащ населението и територията на Република България, националните власти запазват своите законови правомощия. Националните структури организират предупреждението на населението, евакуацията или укриването, общественото здраве, гражданското аварийно реагиране, действията спрямо операторите на критична инфраструктура и други национални мерки.</w:t>
      </w:r>
    </w:p>
    <w:p w:rsidR="00CB2E8B" w:rsidRDefault="007B42D8">
      <w:pPr>
        <w:ind w:firstLine="567"/>
        <w:jc w:val="both"/>
      </w:pPr>
      <w:r>
        <w:rPr>
          <w:lang w:val="bg-BG"/>
        </w:rPr>
        <w:t xml:space="preserve">Командирът на съюзните сили от своя страна носи отговорност за защитата на подчинените сили и изпълнението на военната мисия. Той не може да прехвърли тази отговорност на националната гражданска </w:t>
      </w:r>
      <w:r>
        <w:rPr>
          <w:lang w:val="bg-BG"/>
        </w:rPr>
        <w:lastRenderedPageBreak/>
        <w:t>структура, както и гражданският ръководител на място не може да поеме военно командване върху съюзни формирования.</w:t>
      </w:r>
    </w:p>
    <w:p w:rsidR="00CB2E8B" w:rsidRDefault="007B42D8" w:rsidP="00655AF8">
      <w:pPr>
        <w:ind w:firstLine="567"/>
        <w:jc w:val="both"/>
        <w:rPr>
          <w:lang w:val="bg-BG"/>
        </w:rPr>
      </w:pPr>
      <w:r>
        <w:rPr>
          <w:lang w:val="bg-BG"/>
        </w:rPr>
        <w:t>Следователно правилният модел е две вертикали на управление, свързани чрез хоризо</w:t>
      </w:r>
      <w:r w:rsidR="00655AF8">
        <w:rPr>
          <w:lang w:val="bg-BG"/>
        </w:rPr>
        <w:t>нтален координационен интерфейс и е представен във ф</w:t>
      </w:r>
      <w:r w:rsidRPr="00655AF8">
        <w:rPr>
          <w:lang w:val="bg-BG"/>
        </w:rPr>
        <w:t>ункционална матрица на отговорностите</w:t>
      </w:r>
      <w:r w:rsidR="00655AF8">
        <w:rPr>
          <w:lang w:val="bg-BG"/>
        </w:rPr>
        <w:t xml:space="preserve"> (таблица 1).</w:t>
      </w:r>
    </w:p>
    <w:p w:rsidR="00655AF8" w:rsidRPr="007B42D8" w:rsidRDefault="00655AF8" w:rsidP="00655AF8">
      <w:pPr>
        <w:ind w:firstLine="567"/>
        <w:jc w:val="both"/>
        <w:rPr>
          <w:b/>
          <w:color w:val="000000"/>
          <w:lang w:val="bg-BG"/>
        </w:rPr>
      </w:pPr>
    </w:p>
    <w:p w:rsidR="00CB2E8B" w:rsidRDefault="007B42D8">
      <w:pPr>
        <w:jc w:val="center"/>
      </w:pPr>
      <w:r>
        <w:rPr>
          <w:b/>
          <w:lang w:val="bg-BG"/>
        </w:rPr>
        <w:t>Таблица 1</w:t>
      </w:r>
      <w:r>
        <w:rPr>
          <w:lang w:val="bg-BG"/>
        </w:rPr>
        <w:t xml:space="preserve"> – Функционална матрица на отговорностите</w:t>
      </w:r>
    </w:p>
    <w:tbl>
      <w:tblPr>
        <w:tblStyle w:val="TableGrid"/>
        <w:tblW w:w="0" w:type="auto"/>
        <w:jc w:val="center"/>
        <w:tblLook w:val="04A0" w:firstRow="1" w:lastRow="0" w:firstColumn="1" w:lastColumn="0" w:noHBand="0" w:noVBand="1"/>
      </w:tblPr>
      <w:tblGrid>
        <w:gridCol w:w="1970"/>
        <w:gridCol w:w="2398"/>
        <w:gridCol w:w="2427"/>
        <w:gridCol w:w="2396"/>
      </w:tblGrid>
      <w:tr w:rsidR="00CB2E8B">
        <w:trPr>
          <w:jc w:val="center"/>
        </w:trPr>
        <w:tc>
          <w:tcPr>
            <w:tcW w:w="1984" w:type="dxa"/>
            <w:tcMar>
              <w:top w:w="60" w:type="dxa"/>
              <w:left w:w="60" w:type="dxa"/>
              <w:bottom w:w="60" w:type="dxa"/>
              <w:right w:w="60" w:type="dxa"/>
            </w:tcMar>
            <w:vAlign w:val="center"/>
          </w:tcPr>
          <w:p w:rsidR="00CB2E8B" w:rsidRDefault="007B42D8">
            <w:pPr>
              <w:jc w:val="center"/>
            </w:pPr>
            <w:r>
              <w:rPr>
                <w:b/>
                <w:sz w:val="20"/>
              </w:rPr>
              <w:t>Функционална област</w:t>
            </w:r>
          </w:p>
        </w:tc>
        <w:tc>
          <w:tcPr>
            <w:tcW w:w="2438" w:type="dxa"/>
            <w:tcMar>
              <w:top w:w="60" w:type="dxa"/>
              <w:left w:w="60" w:type="dxa"/>
              <w:bottom w:w="60" w:type="dxa"/>
              <w:right w:w="60" w:type="dxa"/>
            </w:tcMar>
            <w:vAlign w:val="center"/>
          </w:tcPr>
          <w:p w:rsidR="00CB2E8B" w:rsidRDefault="007B42D8">
            <w:pPr>
              <w:jc w:val="center"/>
            </w:pPr>
            <w:r>
              <w:rPr>
                <w:b/>
                <w:sz w:val="20"/>
              </w:rPr>
              <w:t>Основна национална отговорност</w:t>
            </w:r>
          </w:p>
        </w:tc>
        <w:tc>
          <w:tcPr>
            <w:tcW w:w="2438" w:type="dxa"/>
            <w:tcMar>
              <w:top w:w="60" w:type="dxa"/>
              <w:left w:w="60" w:type="dxa"/>
              <w:bottom w:w="60" w:type="dxa"/>
              <w:right w:w="60" w:type="dxa"/>
            </w:tcMar>
            <w:vAlign w:val="center"/>
          </w:tcPr>
          <w:p w:rsidR="00CB2E8B" w:rsidRDefault="007B42D8">
            <w:pPr>
              <w:jc w:val="center"/>
            </w:pPr>
            <w:r>
              <w:rPr>
                <w:b/>
                <w:sz w:val="20"/>
              </w:rPr>
              <w:t>Възможен принос на съюзните сили</w:t>
            </w:r>
          </w:p>
        </w:tc>
        <w:tc>
          <w:tcPr>
            <w:tcW w:w="2438" w:type="dxa"/>
            <w:tcMar>
              <w:top w:w="60" w:type="dxa"/>
              <w:left w:w="60" w:type="dxa"/>
              <w:bottom w:w="60" w:type="dxa"/>
              <w:right w:w="60" w:type="dxa"/>
            </w:tcMar>
            <w:vAlign w:val="center"/>
          </w:tcPr>
          <w:p w:rsidR="00CB2E8B" w:rsidRDefault="007B42D8">
            <w:pPr>
              <w:jc w:val="center"/>
            </w:pPr>
            <w:r>
              <w:rPr>
                <w:b/>
                <w:sz w:val="20"/>
              </w:rPr>
              <w:t>Област на задължителна координация</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Детекция и мониторинг</w:t>
            </w:r>
          </w:p>
        </w:tc>
        <w:tc>
          <w:tcPr>
            <w:tcW w:w="2438" w:type="dxa"/>
            <w:tcMar>
              <w:top w:w="60" w:type="dxa"/>
              <w:left w:w="60" w:type="dxa"/>
              <w:bottom w:w="60" w:type="dxa"/>
              <w:right w:w="60" w:type="dxa"/>
            </w:tcMar>
            <w:vAlign w:val="center"/>
          </w:tcPr>
          <w:p w:rsidR="00CB2E8B" w:rsidRDefault="007B42D8">
            <w:r>
              <w:rPr>
                <w:sz w:val="20"/>
              </w:rPr>
              <w:t>ГДПБЗН, компетентни национални органи и оператори</w:t>
            </w:r>
          </w:p>
        </w:tc>
        <w:tc>
          <w:tcPr>
            <w:tcW w:w="2438" w:type="dxa"/>
            <w:tcMar>
              <w:top w:w="60" w:type="dxa"/>
              <w:left w:w="60" w:type="dxa"/>
              <w:bottom w:w="60" w:type="dxa"/>
              <w:right w:w="60" w:type="dxa"/>
            </w:tcMar>
            <w:vAlign w:val="center"/>
          </w:tcPr>
          <w:p w:rsidR="00CB2E8B" w:rsidRDefault="007B42D8" w:rsidP="00642B2D">
            <w:proofErr w:type="spellStart"/>
            <w:r>
              <w:rPr>
                <w:sz w:val="20"/>
              </w:rPr>
              <w:t>военни</w:t>
            </w:r>
            <w:proofErr w:type="spellEnd"/>
            <w:r>
              <w:rPr>
                <w:sz w:val="20"/>
              </w:rPr>
              <w:t xml:space="preserve"> </w:t>
            </w:r>
            <w:r w:rsidR="00642B2D">
              <w:rPr>
                <w:sz w:val="20"/>
                <w:lang w:val="bg-BG"/>
              </w:rPr>
              <w:t>ЯХБР</w:t>
            </w:r>
            <w:r>
              <w:rPr>
                <w:sz w:val="20"/>
              </w:rPr>
              <w:t xml:space="preserve"> </w:t>
            </w:r>
            <w:proofErr w:type="spellStart"/>
            <w:r>
              <w:rPr>
                <w:sz w:val="20"/>
              </w:rPr>
              <w:t>сензори</w:t>
            </w:r>
            <w:proofErr w:type="spellEnd"/>
            <w:r>
              <w:rPr>
                <w:sz w:val="20"/>
              </w:rPr>
              <w:t xml:space="preserve"> и </w:t>
            </w:r>
            <w:proofErr w:type="spellStart"/>
            <w:r>
              <w:rPr>
                <w:sz w:val="20"/>
              </w:rPr>
              <w:t>разузнавателни</w:t>
            </w:r>
            <w:proofErr w:type="spellEnd"/>
            <w:r>
              <w:rPr>
                <w:sz w:val="20"/>
              </w:rPr>
              <w:t xml:space="preserve"> </w:t>
            </w:r>
            <w:proofErr w:type="spellStart"/>
            <w:r>
              <w:rPr>
                <w:sz w:val="20"/>
              </w:rPr>
              <w:t>способности</w:t>
            </w:r>
            <w:proofErr w:type="spellEnd"/>
          </w:p>
        </w:tc>
        <w:tc>
          <w:tcPr>
            <w:tcW w:w="2438" w:type="dxa"/>
            <w:tcMar>
              <w:top w:w="60" w:type="dxa"/>
              <w:left w:w="60" w:type="dxa"/>
              <w:bottom w:w="60" w:type="dxa"/>
              <w:right w:w="60" w:type="dxa"/>
            </w:tcMar>
            <w:vAlign w:val="center"/>
          </w:tcPr>
          <w:p w:rsidR="00CB2E8B" w:rsidRDefault="007B42D8">
            <w:r>
              <w:rPr>
                <w:sz w:val="20"/>
              </w:rPr>
              <w:t>обмен и верификация на данни</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Предупреждение на населението</w:t>
            </w:r>
          </w:p>
        </w:tc>
        <w:tc>
          <w:tcPr>
            <w:tcW w:w="2438" w:type="dxa"/>
            <w:tcMar>
              <w:top w:w="60" w:type="dxa"/>
              <w:left w:w="60" w:type="dxa"/>
              <w:bottom w:w="60" w:type="dxa"/>
              <w:right w:w="60" w:type="dxa"/>
            </w:tcMar>
            <w:vAlign w:val="center"/>
          </w:tcPr>
          <w:p w:rsidR="00CB2E8B" w:rsidRDefault="007B42D8">
            <w:r>
              <w:rPr>
                <w:sz w:val="20"/>
              </w:rPr>
              <w:t>националните органи</w:t>
            </w:r>
          </w:p>
        </w:tc>
        <w:tc>
          <w:tcPr>
            <w:tcW w:w="2438" w:type="dxa"/>
            <w:tcMar>
              <w:top w:w="60" w:type="dxa"/>
              <w:left w:w="60" w:type="dxa"/>
              <w:bottom w:w="60" w:type="dxa"/>
              <w:right w:w="60" w:type="dxa"/>
            </w:tcMar>
            <w:vAlign w:val="center"/>
          </w:tcPr>
          <w:p w:rsidR="00CB2E8B" w:rsidRDefault="007B42D8">
            <w:r>
              <w:rPr>
                <w:sz w:val="20"/>
              </w:rPr>
              <w:t>данни от военни наблюдения</w:t>
            </w:r>
          </w:p>
        </w:tc>
        <w:tc>
          <w:tcPr>
            <w:tcW w:w="2438" w:type="dxa"/>
            <w:tcMar>
              <w:top w:w="60" w:type="dxa"/>
              <w:left w:w="60" w:type="dxa"/>
              <w:bottom w:w="60" w:type="dxa"/>
              <w:right w:w="60" w:type="dxa"/>
            </w:tcMar>
            <w:vAlign w:val="center"/>
          </w:tcPr>
          <w:p w:rsidR="00CB2E8B" w:rsidRDefault="007B42D8">
            <w:r>
              <w:rPr>
                <w:sz w:val="20"/>
              </w:rPr>
              <w:t>единна оценка на опасните зони</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Защита на военнослужещите</w:t>
            </w:r>
          </w:p>
        </w:tc>
        <w:tc>
          <w:tcPr>
            <w:tcW w:w="2438" w:type="dxa"/>
            <w:tcMar>
              <w:top w:w="60" w:type="dxa"/>
              <w:left w:w="60" w:type="dxa"/>
              <w:bottom w:w="60" w:type="dxa"/>
              <w:right w:w="60" w:type="dxa"/>
            </w:tcMar>
            <w:vAlign w:val="center"/>
          </w:tcPr>
          <w:p w:rsidR="00CB2E8B" w:rsidRDefault="007B42D8">
            <w:r>
              <w:rPr>
                <w:sz w:val="20"/>
              </w:rPr>
              <w:t>военната командна система</w:t>
            </w:r>
          </w:p>
        </w:tc>
        <w:tc>
          <w:tcPr>
            <w:tcW w:w="2438" w:type="dxa"/>
            <w:tcMar>
              <w:top w:w="60" w:type="dxa"/>
              <w:left w:w="60" w:type="dxa"/>
              <w:bottom w:w="60" w:type="dxa"/>
              <w:right w:w="60" w:type="dxa"/>
            </w:tcMar>
            <w:vAlign w:val="center"/>
          </w:tcPr>
          <w:p w:rsidR="00CB2E8B" w:rsidRDefault="007B42D8">
            <w:r>
              <w:rPr>
                <w:sz w:val="20"/>
              </w:rPr>
              <w:t>основна военна функция</w:t>
            </w:r>
          </w:p>
        </w:tc>
        <w:tc>
          <w:tcPr>
            <w:tcW w:w="2438" w:type="dxa"/>
            <w:tcMar>
              <w:top w:w="60" w:type="dxa"/>
              <w:left w:w="60" w:type="dxa"/>
              <w:bottom w:w="60" w:type="dxa"/>
              <w:right w:w="60" w:type="dxa"/>
            </w:tcMar>
            <w:vAlign w:val="center"/>
          </w:tcPr>
          <w:p w:rsidR="00CB2E8B" w:rsidRDefault="007B42D8">
            <w:r>
              <w:rPr>
                <w:sz w:val="20"/>
              </w:rPr>
              <w:t>недопускане на противоречащи мерки</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Евакуация на населението</w:t>
            </w:r>
          </w:p>
        </w:tc>
        <w:tc>
          <w:tcPr>
            <w:tcW w:w="2438" w:type="dxa"/>
            <w:tcMar>
              <w:top w:w="60" w:type="dxa"/>
              <w:left w:w="60" w:type="dxa"/>
              <w:bottom w:w="60" w:type="dxa"/>
              <w:right w:w="60" w:type="dxa"/>
            </w:tcMar>
            <w:vAlign w:val="center"/>
          </w:tcPr>
          <w:p w:rsidR="00CB2E8B" w:rsidRDefault="007B42D8">
            <w:r>
              <w:rPr>
                <w:sz w:val="20"/>
              </w:rPr>
              <w:t>националните и местните власти</w:t>
            </w:r>
          </w:p>
        </w:tc>
        <w:tc>
          <w:tcPr>
            <w:tcW w:w="2438" w:type="dxa"/>
            <w:tcMar>
              <w:top w:w="60" w:type="dxa"/>
              <w:left w:w="60" w:type="dxa"/>
              <w:bottom w:w="60" w:type="dxa"/>
              <w:right w:w="60" w:type="dxa"/>
            </w:tcMar>
            <w:vAlign w:val="center"/>
          </w:tcPr>
          <w:p w:rsidR="00CB2E8B" w:rsidRDefault="007B42D8">
            <w:r>
              <w:rPr>
                <w:sz w:val="20"/>
              </w:rPr>
              <w:t>транспортна/инженерна подкрепа</w:t>
            </w:r>
          </w:p>
        </w:tc>
        <w:tc>
          <w:tcPr>
            <w:tcW w:w="2438" w:type="dxa"/>
            <w:tcMar>
              <w:top w:w="60" w:type="dxa"/>
              <w:left w:w="60" w:type="dxa"/>
              <w:bottom w:w="60" w:type="dxa"/>
              <w:right w:w="60" w:type="dxa"/>
            </w:tcMar>
            <w:vAlign w:val="center"/>
          </w:tcPr>
          <w:p w:rsidR="00CB2E8B" w:rsidRDefault="007B42D8">
            <w:r>
              <w:rPr>
                <w:sz w:val="20"/>
              </w:rPr>
              <w:t>маршрути и деконфликт с военно придвижване</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Деконтаминация</w:t>
            </w:r>
          </w:p>
        </w:tc>
        <w:tc>
          <w:tcPr>
            <w:tcW w:w="2438" w:type="dxa"/>
            <w:tcMar>
              <w:top w:w="60" w:type="dxa"/>
              <w:left w:w="60" w:type="dxa"/>
              <w:bottom w:w="60" w:type="dxa"/>
              <w:right w:w="60" w:type="dxa"/>
            </w:tcMar>
            <w:vAlign w:val="center"/>
          </w:tcPr>
          <w:p w:rsidR="00CB2E8B" w:rsidRDefault="007B42D8">
            <w:r>
              <w:rPr>
                <w:sz w:val="20"/>
              </w:rPr>
              <w:t>национални специализирани сили</w:t>
            </w:r>
          </w:p>
        </w:tc>
        <w:tc>
          <w:tcPr>
            <w:tcW w:w="2438" w:type="dxa"/>
            <w:tcMar>
              <w:top w:w="60" w:type="dxa"/>
              <w:left w:w="60" w:type="dxa"/>
              <w:bottom w:w="60" w:type="dxa"/>
              <w:right w:w="60" w:type="dxa"/>
            </w:tcMar>
            <w:vAlign w:val="center"/>
          </w:tcPr>
          <w:p w:rsidR="00CB2E8B" w:rsidRDefault="007B42D8" w:rsidP="00642B2D">
            <w:proofErr w:type="spellStart"/>
            <w:r>
              <w:rPr>
                <w:sz w:val="20"/>
              </w:rPr>
              <w:t>специализирани</w:t>
            </w:r>
            <w:proofErr w:type="spellEnd"/>
            <w:r>
              <w:rPr>
                <w:sz w:val="20"/>
              </w:rPr>
              <w:t xml:space="preserve"> </w:t>
            </w:r>
            <w:r w:rsidR="00642B2D">
              <w:rPr>
                <w:sz w:val="20"/>
                <w:lang w:val="bg-BG"/>
              </w:rPr>
              <w:t>ЯХБР</w:t>
            </w:r>
            <w:r>
              <w:rPr>
                <w:sz w:val="20"/>
              </w:rPr>
              <w:t xml:space="preserve"> </w:t>
            </w:r>
            <w:proofErr w:type="spellStart"/>
            <w:r>
              <w:rPr>
                <w:sz w:val="20"/>
              </w:rPr>
              <w:t>формирования</w:t>
            </w:r>
            <w:proofErr w:type="spellEnd"/>
          </w:p>
        </w:tc>
        <w:tc>
          <w:tcPr>
            <w:tcW w:w="2438" w:type="dxa"/>
            <w:tcMar>
              <w:top w:w="60" w:type="dxa"/>
              <w:left w:w="60" w:type="dxa"/>
              <w:bottom w:w="60" w:type="dxa"/>
              <w:right w:w="60" w:type="dxa"/>
            </w:tcMar>
            <w:vAlign w:val="center"/>
          </w:tcPr>
          <w:p w:rsidR="00CB2E8B" w:rsidRDefault="007B42D8">
            <w:r>
              <w:rPr>
                <w:sz w:val="20"/>
              </w:rPr>
              <w:t>приоритети, стандарти и разделяне на потоците</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Медицинска помощ</w:t>
            </w:r>
          </w:p>
        </w:tc>
        <w:tc>
          <w:tcPr>
            <w:tcW w:w="2438" w:type="dxa"/>
            <w:tcMar>
              <w:top w:w="60" w:type="dxa"/>
              <w:left w:w="60" w:type="dxa"/>
              <w:bottom w:w="60" w:type="dxa"/>
              <w:right w:w="60" w:type="dxa"/>
            </w:tcMar>
            <w:vAlign w:val="center"/>
          </w:tcPr>
          <w:p w:rsidR="00CB2E8B" w:rsidRDefault="007B42D8">
            <w:r>
              <w:rPr>
                <w:sz w:val="20"/>
              </w:rPr>
              <w:t>национална здравна система и ЕСС</w:t>
            </w:r>
          </w:p>
        </w:tc>
        <w:tc>
          <w:tcPr>
            <w:tcW w:w="2438" w:type="dxa"/>
            <w:tcMar>
              <w:top w:w="60" w:type="dxa"/>
              <w:left w:w="60" w:type="dxa"/>
              <w:bottom w:w="60" w:type="dxa"/>
              <w:right w:w="60" w:type="dxa"/>
            </w:tcMar>
            <w:vAlign w:val="center"/>
          </w:tcPr>
          <w:p w:rsidR="00CB2E8B" w:rsidRDefault="007B42D8">
            <w:r>
              <w:rPr>
                <w:sz w:val="20"/>
              </w:rPr>
              <w:t>военни медицински способности</w:t>
            </w:r>
          </w:p>
        </w:tc>
        <w:tc>
          <w:tcPr>
            <w:tcW w:w="2438" w:type="dxa"/>
            <w:tcMar>
              <w:top w:w="60" w:type="dxa"/>
              <w:left w:w="60" w:type="dxa"/>
              <w:bottom w:w="60" w:type="dxa"/>
              <w:right w:w="60" w:type="dxa"/>
            </w:tcMar>
            <w:vAlign w:val="center"/>
          </w:tcPr>
          <w:p w:rsidR="00CB2E8B" w:rsidRDefault="007B42D8">
            <w:r>
              <w:rPr>
                <w:sz w:val="20"/>
              </w:rPr>
              <w:t>триаж, капацитет и медицинска евакуация</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Критична инфраструктура</w:t>
            </w:r>
          </w:p>
        </w:tc>
        <w:tc>
          <w:tcPr>
            <w:tcW w:w="2438" w:type="dxa"/>
            <w:tcMar>
              <w:top w:w="60" w:type="dxa"/>
              <w:left w:w="60" w:type="dxa"/>
              <w:bottom w:w="60" w:type="dxa"/>
              <w:right w:w="60" w:type="dxa"/>
            </w:tcMar>
            <w:vAlign w:val="center"/>
          </w:tcPr>
          <w:p w:rsidR="00CB2E8B" w:rsidRDefault="007B42D8">
            <w:r>
              <w:rPr>
                <w:sz w:val="20"/>
              </w:rPr>
              <w:t>национални власти и оператори</w:t>
            </w:r>
          </w:p>
        </w:tc>
        <w:tc>
          <w:tcPr>
            <w:tcW w:w="2438" w:type="dxa"/>
            <w:tcMar>
              <w:top w:w="60" w:type="dxa"/>
              <w:left w:w="60" w:type="dxa"/>
              <w:bottom w:w="60" w:type="dxa"/>
              <w:right w:w="60" w:type="dxa"/>
            </w:tcMar>
            <w:vAlign w:val="center"/>
          </w:tcPr>
          <w:p w:rsidR="00CB2E8B" w:rsidRDefault="007B42D8">
            <w:r>
              <w:rPr>
                <w:sz w:val="20"/>
              </w:rPr>
              <w:t>защита/инженерна подкрепа</w:t>
            </w:r>
          </w:p>
        </w:tc>
        <w:tc>
          <w:tcPr>
            <w:tcW w:w="2438" w:type="dxa"/>
            <w:tcMar>
              <w:top w:w="60" w:type="dxa"/>
              <w:left w:w="60" w:type="dxa"/>
              <w:bottom w:w="60" w:type="dxa"/>
              <w:right w:w="60" w:type="dxa"/>
            </w:tcMar>
            <w:vAlign w:val="center"/>
          </w:tcPr>
          <w:p w:rsidR="00CB2E8B" w:rsidRDefault="007B42D8">
            <w:r>
              <w:rPr>
                <w:sz w:val="20"/>
              </w:rPr>
              <w:t>приоритети за възстановяване</w:t>
            </w:r>
          </w:p>
        </w:tc>
      </w:tr>
      <w:tr w:rsidR="00CB2E8B">
        <w:trPr>
          <w:jc w:val="center"/>
        </w:trPr>
        <w:tc>
          <w:tcPr>
            <w:tcW w:w="1984" w:type="dxa"/>
            <w:tcMar>
              <w:top w:w="60" w:type="dxa"/>
              <w:left w:w="60" w:type="dxa"/>
              <w:bottom w:w="60" w:type="dxa"/>
              <w:right w:w="60" w:type="dxa"/>
            </w:tcMar>
            <w:vAlign w:val="center"/>
          </w:tcPr>
          <w:p w:rsidR="00CB2E8B" w:rsidRDefault="007B42D8">
            <w:r>
              <w:rPr>
                <w:sz w:val="20"/>
              </w:rPr>
              <w:t>Публична информация</w:t>
            </w:r>
          </w:p>
        </w:tc>
        <w:tc>
          <w:tcPr>
            <w:tcW w:w="2438" w:type="dxa"/>
            <w:tcMar>
              <w:top w:w="60" w:type="dxa"/>
              <w:left w:w="60" w:type="dxa"/>
              <w:bottom w:w="60" w:type="dxa"/>
              <w:right w:w="60" w:type="dxa"/>
            </w:tcMar>
            <w:vAlign w:val="center"/>
          </w:tcPr>
          <w:p w:rsidR="00CB2E8B" w:rsidRDefault="007B42D8">
            <w:r>
              <w:rPr>
                <w:sz w:val="20"/>
              </w:rPr>
              <w:t>компетентните национални органи</w:t>
            </w:r>
          </w:p>
        </w:tc>
        <w:tc>
          <w:tcPr>
            <w:tcW w:w="2438" w:type="dxa"/>
            <w:tcMar>
              <w:top w:w="60" w:type="dxa"/>
              <w:left w:w="60" w:type="dxa"/>
              <w:bottom w:w="60" w:type="dxa"/>
              <w:right w:w="60" w:type="dxa"/>
            </w:tcMar>
            <w:vAlign w:val="center"/>
          </w:tcPr>
          <w:p w:rsidR="00CB2E8B" w:rsidRDefault="007B42D8">
            <w:r>
              <w:rPr>
                <w:sz w:val="20"/>
              </w:rPr>
              <w:t>съюзна стратегическа комуникация</w:t>
            </w:r>
          </w:p>
        </w:tc>
        <w:tc>
          <w:tcPr>
            <w:tcW w:w="2438" w:type="dxa"/>
            <w:tcMar>
              <w:top w:w="60" w:type="dxa"/>
              <w:left w:w="60" w:type="dxa"/>
              <w:bottom w:w="60" w:type="dxa"/>
              <w:right w:w="60" w:type="dxa"/>
            </w:tcMar>
            <w:vAlign w:val="center"/>
          </w:tcPr>
          <w:p w:rsidR="00CB2E8B" w:rsidRDefault="007B42D8">
            <w:r>
              <w:rPr>
                <w:sz w:val="20"/>
              </w:rPr>
              <w:t>съгласуване на фактологията</w:t>
            </w:r>
          </w:p>
        </w:tc>
      </w:tr>
    </w:tbl>
    <w:p w:rsidR="007B42D8" w:rsidRDefault="007B42D8" w:rsidP="00655AF8">
      <w:pPr>
        <w:jc w:val="both"/>
      </w:pPr>
    </w:p>
    <w:p w:rsidR="00CB2E8B" w:rsidRPr="007B42D8" w:rsidRDefault="007B42D8" w:rsidP="007B42D8">
      <w:pPr>
        <w:jc w:val="both"/>
        <w:rPr>
          <w:b/>
          <w:color w:val="000000"/>
          <w:lang w:val="bg-BG"/>
        </w:rPr>
      </w:pPr>
      <w:r>
        <w:rPr>
          <w:b/>
          <w:color w:val="000000"/>
          <w:lang w:val="bg-BG"/>
        </w:rPr>
        <w:t>6. Предложен интегриран модел за гражданско-военна координация</w:t>
      </w:r>
    </w:p>
    <w:p w:rsidR="00CB2E8B" w:rsidRDefault="007B42D8">
      <w:pPr>
        <w:ind w:firstLine="567"/>
        <w:jc w:val="both"/>
      </w:pPr>
      <w:r>
        <w:rPr>
          <w:lang w:val="bg-BG"/>
        </w:rPr>
        <w:t>На основата на извършения анализ може да бъде предложен тристепенен модел за координация, който не представлява структура на НАТО, а научна концепция за организиране на взаимодействието.</w:t>
      </w:r>
    </w:p>
    <w:p w:rsidR="00CB2E8B" w:rsidRDefault="007B42D8">
      <w:pPr>
        <w:ind w:firstLine="567"/>
        <w:jc w:val="both"/>
      </w:pPr>
      <w:r>
        <w:rPr>
          <w:lang w:val="bg-BG"/>
        </w:rPr>
        <w:t xml:space="preserve">На стратегическо ниво се съгласуват политическите и националните приоритети, международната помощ, използването на стратегически ресурси и въпросите, които могат да окажат влияние върху операцията като цяло. Основните задачи са поддържане на непрекъсваемостта на държавното управление; определяне на националните приоритети за защита на населението; съгласуване на потребностите на колективната отбрана с гражданската устойчивост; вземане на решения за искане или приемане на международна помощ; управление на стратегическите резерви; съгласуване на комуникацията към населението при особено чувствителни </w:t>
      </w:r>
      <w:r w:rsidR="0007258E">
        <w:rPr>
          <w:lang w:val="bg-BG"/>
        </w:rPr>
        <w:t>ЯХБР</w:t>
      </w:r>
      <w:r>
        <w:rPr>
          <w:lang w:val="bg-BG"/>
        </w:rPr>
        <w:t xml:space="preserve"> събития.</w:t>
      </w:r>
    </w:p>
    <w:p w:rsidR="00CB2E8B" w:rsidRDefault="007B42D8">
      <w:pPr>
        <w:ind w:firstLine="567"/>
        <w:jc w:val="both"/>
      </w:pPr>
      <w:r>
        <w:rPr>
          <w:lang w:val="bg-BG"/>
        </w:rPr>
        <w:t xml:space="preserve">Оперативното ниво е критично за интеграцията. Предлага се при условията на мащабна съюзна операция предварително да бъде предвидена съвместна гражданско-военна </w:t>
      </w:r>
      <w:r w:rsidR="0007258E">
        <w:rPr>
          <w:lang w:val="bg-BG"/>
        </w:rPr>
        <w:t>ЯХБР</w:t>
      </w:r>
      <w:r>
        <w:rPr>
          <w:lang w:val="bg-BG"/>
        </w:rPr>
        <w:t xml:space="preserve"> координационна функция, реализирана чрез офицери/експерти за връзка и съвместна информационна среда. Тя следва да осигурява приемане на информация от национални и военни сензори; сравнение и верификация на данните; изготвяне на </w:t>
      </w:r>
      <w:r>
        <w:rPr>
          <w:lang w:val="bg-BG"/>
        </w:rPr>
        <w:lastRenderedPageBreak/>
        <w:t>съгласувана оценка на опасността; обмен на прогнозни зони; съгласуване на приоритетите за специализираните ресурси; координация на транспортните и евакуационните маршрути; обмен на данни за медицински капацитет; проследяване на деконтаминационните способности; поддържане на регистър на рисковете за критична инфраструктура; подготовка на съгласувана фактическа основа за публичната комуникация.</w:t>
      </w:r>
    </w:p>
    <w:p w:rsidR="00CB2E8B" w:rsidRDefault="007B42D8">
      <w:pPr>
        <w:ind w:firstLine="567"/>
        <w:jc w:val="both"/>
      </w:pPr>
      <w:r>
        <w:rPr>
          <w:lang w:val="bg-BG"/>
        </w:rPr>
        <w:t>Ключов принцип е, че подобна функция не издава заповеди вместо компетентните органи, а осигурява обща информационна основа, на която те вземат съгласувани решения.</w:t>
      </w:r>
    </w:p>
    <w:p w:rsidR="00CB2E8B" w:rsidRDefault="007B42D8">
      <w:pPr>
        <w:ind w:firstLine="567"/>
        <w:jc w:val="both"/>
        <w:rPr>
          <w:lang w:val="bg-BG"/>
        </w:rPr>
      </w:pPr>
      <w:r>
        <w:rPr>
          <w:lang w:val="bg-BG"/>
        </w:rPr>
        <w:t>На тактическо ниво националният ръководител организира действията на съставните части на националната система в съответствие с приложимото законодателство. Когато в зоната действат военни сили, военният командир или определен представител следва да участва в координацията чрез офицер за връзка.</w:t>
      </w:r>
    </w:p>
    <w:p w:rsidR="00655AF8" w:rsidRDefault="00655AF8">
      <w:pPr>
        <w:ind w:firstLine="567"/>
        <w:jc w:val="both"/>
      </w:pPr>
    </w:p>
    <w:p w:rsidR="00CB2E8B" w:rsidRPr="007B42D8" w:rsidRDefault="007B42D8" w:rsidP="007B42D8">
      <w:pPr>
        <w:jc w:val="both"/>
        <w:rPr>
          <w:b/>
          <w:color w:val="000000"/>
          <w:lang w:val="bg-BG"/>
        </w:rPr>
      </w:pPr>
      <w:r>
        <w:rPr>
          <w:b/>
          <w:color w:val="000000"/>
          <w:lang w:val="bg-BG"/>
        </w:rPr>
        <w:t>7. Информационният обмен като ядро на координацията</w:t>
      </w:r>
    </w:p>
    <w:p w:rsidR="00CB2E8B" w:rsidRDefault="007B42D8">
      <w:pPr>
        <w:ind w:firstLine="567"/>
        <w:jc w:val="both"/>
      </w:pPr>
      <w:r>
        <w:rPr>
          <w:lang w:val="bg-BG"/>
        </w:rPr>
        <w:t>Най-същественият елемент на предложения модел е формирането на споделена, но не непременно идентична ситуационна картина. Пълното сливане на информационните системи е нереалистично и в редица случаи нежелателно поради различните нива на класификация, предназначение и достъп. Необходимо е обаче да съществува минимален съвместим набор от информация, който може своевременно да се обменя.</w:t>
      </w:r>
    </w:p>
    <w:p w:rsidR="00CB2E8B" w:rsidRDefault="007B42D8">
      <w:pPr>
        <w:ind w:firstLine="567"/>
        <w:jc w:val="both"/>
      </w:pPr>
      <w:r>
        <w:rPr>
          <w:lang w:val="bg-BG"/>
        </w:rPr>
        <w:t>Минималният информационен пакет следва да включва: идентификация на събитието; характеристика на опасността; пространствена информация; експозиция; предприети мерки; налични и необходими специализирани способности; медицинска информация; прогноза за развитието.</w:t>
      </w:r>
    </w:p>
    <w:p w:rsidR="003D4A68" w:rsidRDefault="007B42D8">
      <w:pPr>
        <w:ind w:firstLine="567"/>
        <w:jc w:val="both"/>
        <w:rPr>
          <w:lang w:val="bg-BG"/>
        </w:rPr>
      </w:pPr>
      <w:r>
        <w:t>В предоставения научен сборник предупреждението и докладването са определени като непосредствено свързани с намаляването на уязвимостта, като данните от детекцията, идентификацията и мониторинга се превръщат в основа за оповестяване и защитни мерки [14]. Оттук може да бъде формулиран информационен цикъл, представен на фиг. 1.</w:t>
      </w:r>
    </w:p>
    <w:p w:rsidR="00CB2E8B" w:rsidRDefault="00655AF8" w:rsidP="00655AF8">
      <w:pPr>
        <w:spacing w:after="120"/>
        <w:jc w:val="center"/>
      </w:pPr>
      <w:r w:rsidRPr="00655AF8">
        <w:rPr>
          <w:noProof/>
          <w:lang w:val="bg-BG" w:eastAsia="bg-BG"/>
        </w:rPr>
        <w:drawing>
          <wp:inline distT="0" distB="0" distL="0" distR="0" wp14:anchorId="087281CA" wp14:editId="4AE554B2">
            <wp:extent cx="5288280" cy="2342225"/>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87697" cy="2341967"/>
                    </a:xfrm>
                    <a:prstGeom prst="rect">
                      <a:avLst/>
                    </a:prstGeom>
                  </pic:spPr>
                </pic:pic>
              </a:graphicData>
            </a:graphic>
          </wp:inline>
        </w:drawing>
      </w:r>
    </w:p>
    <w:p w:rsidR="00C71B29" w:rsidRDefault="005333DC">
      <w:pPr>
        <w:spacing w:after="240"/>
        <w:jc w:val="center"/>
      </w:pPr>
      <w:r>
        <w:rPr>
          <w:sz w:val="22"/>
        </w:rPr>
        <w:t>Фигура 1 – Информационен цикъл при предупреждение и докладване за ЯХБР опасности</w:t>
      </w:r>
    </w:p>
    <w:p w:rsidR="00CB2E8B" w:rsidRPr="007B42D8" w:rsidRDefault="007B42D8" w:rsidP="007B42D8">
      <w:pPr>
        <w:jc w:val="both"/>
        <w:rPr>
          <w:b/>
          <w:color w:val="000000"/>
          <w:lang w:val="bg-BG"/>
        </w:rPr>
      </w:pPr>
      <w:r>
        <w:rPr>
          <w:b/>
          <w:color w:val="000000"/>
          <w:lang w:val="bg-BG"/>
        </w:rPr>
        <w:lastRenderedPageBreak/>
        <w:t>8. Координация на специализираните способности</w:t>
      </w:r>
    </w:p>
    <w:p w:rsidR="00CB2E8B" w:rsidRDefault="007B42D8">
      <w:pPr>
        <w:ind w:firstLine="567"/>
        <w:jc w:val="both"/>
      </w:pPr>
      <w:r>
        <w:rPr>
          <w:lang w:val="bg-BG"/>
        </w:rPr>
        <w:t>Една от най-опасните организационни слабости би била паралелното провеждане на гражданско и военно разузнаване без обмен на резултати. Това може да доведе до ненужно повторно навлизане в опасна зона, различни определения на границите, противоречиви предупреждения, пропускане на участъци и неправилно разпределение на ограничени детектори и лабораторни способности.</w:t>
      </w:r>
    </w:p>
    <w:p w:rsidR="00CB2E8B" w:rsidRDefault="007B42D8">
      <w:pPr>
        <w:ind w:firstLine="567"/>
        <w:jc w:val="both"/>
      </w:pPr>
      <w:r>
        <w:rPr>
          <w:lang w:val="bg-BG"/>
        </w:rPr>
        <w:t>В сборника се подчертава необходимостта ядреното, химическото и биологическото разузнаване, наблюдение и оповестяване да бъдат разглеждани комплексно, като се събира информация както за преднамерена употреба, така и за аварии в ядрени или химически обекти и за биологични агенти [15]. При съюзна операция това следва да бъде разширено до принципа „едно измерване – многократно използване на информацията“, когато нивото на класификация и надеждността позволяват това.</w:t>
      </w:r>
    </w:p>
    <w:p w:rsidR="00CB2E8B" w:rsidRDefault="007B42D8">
      <w:pPr>
        <w:ind w:firstLine="567"/>
        <w:jc w:val="both"/>
      </w:pPr>
      <w:r>
        <w:rPr>
          <w:lang w:val="bg-BG"/>
        </w:rPr>
        <w:t>Мащабният ЯХБ</w:t>
      </w:r>
      <w:r w:rsidR="003D4A68">
        <w:rPr>
          <w:lang w:val="bg-BG"/>
        </w:rPr>
        <w:t>Р</w:t>
      </w:r>
      <w:r>
        <w:rPr>
          <w:lang w:val="bg-BG"/>
        </w:rPr>
        <w:t xml:space="preserve"> инцидент може бързо да надхвърли националния капацитет за деконтаминация. Следва да се разграничат спешна деконтаминация за спасяване на живот, оперативна деконтаминация на екипи и техника, пълна специализирана обработка, деконтаминация на инфраструктура и управление на замърсени отпадъци и води.</w:t>
      </w:r>
    </w:p>
    <w:p w:rsidR="00CB2E8B" w:rsidRDefault="007B42D8">
      <w:pPr>
        <w:ind w:firstLine="567"/>
        <w:jc w:val="both"/>
      </w:pPr>
      <w:r>
        <w:rPr>
          <w:lang w:val="bg-BG"/>
        </w:rPr>
        <w:t>Научният анализ в предоставения сборник посочва към 2023 г. проблеми с оперативната съвместимост и техническите възможности на част от специализираните формирования [16]. Тези констатации не следва автоматично да се приемат като оценка на състоянието през 2026 г., но са показателни за вида на дефицитите, които трябва да бъдат проверявани при планиране.</w:t>
      </w:r>
    </w:p>
    <w:p w:rsidR="00CB2E8B" w:rsidRDefault="007B42D8">
      <w:pPr>
        <w:ind w:firstLine="567"/>
        <w:jc w:val="both"/>
        <w:rPr>
          <w:lang w:val="bg-BG"/>
        </w:rPr>
      </w:pPr>
      <w:r>
        <w:rPr>
          <w:lang w:val="bg-BG"/>
        </w:rPr>
        <w:t>При ЯХБ</w:t>
      </w:r>
      <w:r w:rsidR="003D4A68">
        <w:rPr>
          <w:lang w:val="bg-BG"/>
        </w:rPr>
        <w:t>Р</w:t>
      </w:r>
      <w:r>
        <w:rPr>
          <w:lang w:val="bg-BG"/>
        </w:rPr>
        <w:t xml:space="preserve"> масови поражения медицинската система може да се превърне в критично ограничение. Необходимо е съгласуване между граждански и военни медицински структури относно триаж, деконтаминация преди прием, специфични антидоти и медицински контрамерки, специализиран транспорт, разпределение на пострадалите, лабораторна диагностика, инфекциозен контрол и проследяване на дозата при радиационно въздействие.</w:t>
      </w:r>
    </w:p>
    <w:p w:rsidR="00655AF8" w:rsidRDefault="00655AF8">
      <w:pPr>
        <w:ind w:firstLine="567"/>
        <w:jc w:val="both"/>
      </w:pPr>
    </w:p>
    <w:p w:rsidR="00CB2E8B" w:rsidRPr="007B42D8" w:rsidRDefault="007B42D8" w:rsidP="007B42D8">
      <w:pPr>
        <w:jc w:val="both"/>
        <w:rPr>
          <w:b/>
          <w:color w:val="000000"/>
          <w:lang w:val="bg-BG"/>
        </w:rPr>
      </w:pPr>
      <w:r>
        <w:rPr>
          <w:b/>
          <w:color w:val="000000"/>
          <w:lang w:val="bg-BG"/>
        </w:rPr>
        <w:t>9. Международна помощ и ролята на EADRCC</w:t>
      </w:r>
    </w:p>
    <w:p w:rsidR="00CB2E8B" w:rsidRDefault="007B42D8">
      <w:pPr>
        <w:ind w:firstLine="567"/>
        <w:jc w:val="both"/>
      </w:pPr>
      <w:r>
        <w:rPr>
          <w:lang w:val="bg-BG"/>
        </w:rPr>
        <w:t>При мащабен инцидент потребностите могат да надвишат възможностите както на националната система, така и на разположените съюзни сили. Допълнителен механизъм е Евроатлантическият координационен це</w:t>
      </w:r>
      <w:r w:rsidR="007F264E">
        <w:rPr>
          <w:lang w:val="bg-BG"/>
        </w:rPr>
        <w:t>нтър за реагиране при бедствия -</w:t>
      </w:r>
      <w:r>
        <w:rPr>
          <w:lang w:val="bg-BG"/>
        </w:rPr>
        <w:t xml:space="preserve"> EADRCC, основният механизъм на НАТО за гражданско аварийно реагиране и координация на исканията и предложенията за международна помощ между съюзници и партньори [6].</w:t>
      </w:r>
    </w:p>
    <w:p w:rsidR="00CB2E8B" w:rsidRDefault="007B42D8">
      <w:pPr>
        <w:ind w:firstLine="567"/>
        <w:jc w:val="both"/>
      </w:pPr>
      <w:r>
        <w:rPr>
          <w:lang w:val="bg-BG"/>
        </w:rPr>
        <w:t xml:space="preserve">При радиационна авария взаимодействието следва да отчита международните механизми на МААЕ. GSR Part 7 изисква ясно определена система за аварийно управление, роли и отговорности и координационни механизми при ядрени и радиационни аварии [12]. При </w:t>
      </w:r>
      <w:r>
        <w:rPr>
          <w:lang w:val="bg-BG"/>
        </w:rPr>
        <w:lastRenderedPageBreak/>
        <w:t>доказана или предполагаема употреба на химическо оръжие допълнително значение има Конвенцията за химическите оръжия и механизмът за помощ и защита по чл. X [13].</w:t>
      </w:r>
    </w:p>
    <w:p w:rsidR="00CB2E8B" w:rsidRDefault="007B42D8">
      <w:pPr>
        <w:ind w:firstLine="567"/>
        <w:jc w:val="both"/>
        <w:rPr>
          <w:lang w:val="bg-BG"/>
        </w:rPr>
      </w:pPr>
      <w:r>
        <w:rPr>
          <w:lang w:val="bg-BG"/>
        </w:rPr>
        <w:t>Следователно в реална ситуация може да съществуват няколко паралелни международни канала за помощ, което увеличава значението на единния национален механизъм за координиране на заявките.</w:t>
      </w:r>
    </w:p>
    <w:p w:rsidR="00655AF8" w:rsidRDefault="00655AF8">
      <w:pPr>
        <w:ind w:firstLine="567"/>
        <w:jc w:val="both"/>
      </w:pPr>
    </w:p>
    <w:p w:rsidR="00CB2E8B" w:rsidRPr="007B42D8" w:rsidRDefault="007B42D8" w:rsidP="007B42D8">
      <w:pPr>
        <w:jc w:val="both"/>
        <w:rPr>
          <w:b/>
          <w:color w:val="000000"/>
          <w:lang w:val="bg-BG"/>
        </w:rPr>
      </w:pPr>
      <w:r>
        <w:rPr>
          <w:b/>
          <w:color w:val="000000"/>
          <w:lang w:val="bg-BG"/>
        </w:rPr>
        <w:t>10. Основни проблемни области при взаимодействието</w:t>
      </w:r>
    </w:p>
    <w:p w:rsidR="00CB2E8B" w:rsidRDefault="007B42D8">
      <w:pPr>
        <w:ind w:firstLine="567"/>
        <w:jc w:val="both"/>
      </w:pPr>
      <w:r>
        <w:rPr>
          <w:lang w:val="bg-BG"/>
        </w:rPr>
        <w:t>Най-честата концептуална грешка е предположението, че ефективното взаимодействие изисква един командир да ръководи всички граждански и военни сили. В условията на суверенна държава и многонационална операция това обикновено е нито правно, нито организационно необходимо. Критично е вместо това да има ясно определени точки на взаимодействие, правомощия за връзка и процедури за разрешаване на конфликт между приоритети.</w:t>
      </w:r>
    </w:p>
    <w:p w:rsidR="00CB2E8B" w:rsidRDefault="007B42D8">
      <w:pPr>
        <w:ind w:firstLine="567"/>
        <w:jc w:val="both"/>
      </w:pPr>
      <w:r>
        <w:rPr>
          <w:lang w:val="bg-BG"/>
        </w:rPr>
        <w:t>Военните системи могат да разполагат с информация, която не може да бъде директно предоставена на всички граждански участници. Същевременно гражданските служби се нуждаят от достатъчно данни, за да защитят населението. Решението е предварително определяне на минимален набор от данни за безопасност, които могат да бъдат своевременно споделяни.</w:t>
      </w:r>
    </w:p>
    <w:p w:rsidR="00CB2E8B" w:rsidRDefault="007B42D8">
      <w:pPr>
        <w:ind w:firstLine="567"/>
        <w:jc w:val="both"/>
      </w:pPr>
      <w:r>
        <w:rPr>
          <w:lang w:val="bg-BG"/>
        </w:rPr>
        <w:t>Техническата несъвместимост може да превърне добре планирана операция в последователност от изолирани действия. Затова трябва да се предвидят резервни средства за връзка, съвместни канали или шлюзове, стандартизирани формати на съобщенията и предварително определени контактни точки.</w:t>
      </w:r>
    </w:p>
    <w:p w:rsidR="00CB2E8B" w:rsidRDefault="007B42D8">
      <w:pPr>
        <w:ind w:firstLine="567"/>
        <w:jc w:val="both"/>
      </w:pPr>
      <w:r>
        <w:rPr>
          <w:lang w:val="bg-BG"/>
        </w:rPr>
        <w:t>При операция по чл. 5 едни и същи пътни артерии могат да бъдат необходими за евакуация на населението, движение на спасителни екипи, медицинска евакуация, придвижване на съюзни формирования и логистични доставки. Това изисква предварителна деконфликтация.</w:t>
      </w:r>
    </w:p>
    <w:p w:rsidR="00CB2E8B" w:rsidRDefault="0007258E">
      <w:pPr>
        <w:ind w:firstLine="567"/>
        <w:jc w:val="both"/>
        <w:rPr>
          <w:lang w:val="bg-BG"/>
        </w:rPr>
      </w:pPr>
      <w:r>
        <w:rPr>
          <w:lang w:val="bg-BG"/>
        </w:rPr>
        <w:t>ЯБХР</w:t>
      </w:r>
      <w:r w:rsidR="007B42D8">
        <w:rPr>
          <w:lang w:val="bg-BG"/>
        </w:rPr>
        <w:t xml:space="preserve"> събитието е особено подходящо за използване в информационни операции. Поради това комуникацията трябва да бъде бърза, последователна и базирана на потвърдени факти.</w:t>
      </w:r>
    </w:p>
    <w:p w:rsidR="00655AF8" w:rsidRDefault="00655AF8">
      <w:pPr>
        <w:ind w:firstLine="567"/>
        <w:jc w:val="both"/>
      </w:pPr>
    </w:p>
    <w:p w:rsidR="00CB2E8B" w:rsidRPr="007B42D8" w:rsidRDefault="007B42D8" w:rsidP="007B42D8">
      <w:pPr>
        <w:jc w:val="both"/>
        <w:rPr>
          <w:b/>
          <w:color w:val="000000"/>
          <w:lang w:val="bg-BG"/>
        </w:rPr>
      </w:pPr>
      <w:r>
        <w:rPr>
          <w:b/>
          <w:color w:val="000000"/>
          <w:lang w:val="bg-BG"/>
        </w:rPr>
        <w:t>11. Фазов модел за съвместно реагиране</w:t>
      </w:r>
    </w:p>
    <w:p w:rsidR="00CB2E8B" w:rsidRDefault="007B42D8">
      <w:pPr>
        <w:ind w:firstLine="567"/>
        <w:jc w:val="both"/>
      </w:pPr>
      <w:r>
        <w:rPr>
          <w:lang w:val="bg-BG"/>
        </w:rPr>
        <w:t>Предлага се координацията да бъде организирана в пет взаимносвързани фази: готовност; първоначално реагиране; стабилизиране; продължителни действия; възстановяване и преход.</w:t>
      </w:r>
    </w:p>
    <w:p w:rsidR="00CB2E8B" w:rsidRDefault="007B42D8">
      <w:pPr>
        <w:ind w:firstLine="567"/>
        <w:jc w:val="both"/>
      </w:pPr>
      <w:r>
        <w:rPr>
          <w:lang w:val="bg-BG"/>
        </w:rPr>
        <w:t xml:space="preserve">Във фазата на готовност се определят контактни точки, офицери и експерти за връзка, формати за обмен на </w:t>
      </w:r>
      <w:r w:rsidR="0007258E">
        <w:rPr>
          <w:lang w:val="bg-BG"/>
        </w:rPr>
        <w:t>ЯХБР</w:t>
      </w:r>
      <w:r>
        <w:rPr>
          <w:lang w:val="bg-BG"/>
        </w:rPr>
        <w:t xml:space="preserve"> информация, национални и съюзни способности, резервни комуникации, процедури за лабораторно потвърждение, правила за медицинско взаимодействие, потенциални деконтаминационни площадки, транспортни алтернативи и процедури за международна помощ.</w:t>
      </w:r>
    </w:p>
    <w:p w:rsidR="00CB2E8B" w:rsidRDefault="007B42D8">
      <w:pPr>
        <w:ind w:firstLine="567"/>
        <w:jc w:val="both"/>
      </w:pPr>
      <w:r>
        <w:rPr>
          <w:lang w:val="bg-BG"/>
        </w:rPr>
        <w:t xml:space="preserve">Първоначалното реагиране включва периода от първия сигнал до формиране на първоначална обща оценка. Приоритетите са спасяване на </w:t>
      </w:r>
      <w:r>
        <w:rPr>
          <w:lang w:val="bg-BG"/>
        </w:rPr>
        <w:lastRenderedPageBreak/>
        <w:t>живот, предупреждение, ограничаване на експозицията, защита на реагиращите сили, бърза първоначална идентификация и установяване на координационна връзка между националната и военната система.</w:t>
      </w:r>
    </w:p>
    <w:p w:rsidR="00CB2E8B" w:rsidRDefault="007B42D8">
      <w:pPr>
        <w:ind w:firstLine="567"/>
        <w:jc w:val="both"/>
      </w:pPr>
      <w:r>
        <w:rPr>
          <w:lang w:val="bg-BG"/>
        </w:rPr>
        <w:t>След получаване на по-надеждна информация във фазата на стабилизиране се извършват уточняване на зоните, управление на евакуацията, разгръщане на деконтаминационни способности, разпределяне на медицинските потоци, осигуряване на критични обекти и преразпределение на специализираните ресурси.</w:t>
      </w:r>
    </w:p>
    <w:p w:rsidR="00CB2E8B" w:rsidRDefault="007B42D8">
      <w:pPr>
        <w:ind w:firstLine="567"/>
        <w:jc w:val="both"/>
        <w:rPr>
          <w:lang w:val="bg-BG"/>
        </w:rPr>
      </w:pPr>
      <w:r>
        <w:rPr>
          <w:lang w:val="bg-BG"/>
        </w:rPr>
        <w:t>Продължителните действия включват ротация на персонала, доставка на защитни материали, продължителен мониторинг, възстановяване на транспортни и логистични коридори, управление на отпадъците и информационна подкрепа. Във фазата на възстановяване се определят критерии за освобождаване на територии, възстановяване на обекти, продължително наблюдение, здравно проследяване, анализ на действията и възстановяване на запасите.</w:t>
      </w:r>
    </w:p>
    <w:p w:rsidR="00655AF8" w:rsidRDefault="00655AF8">
      <w:pPr>
        <w:ind w:firstLine="567"/>
        <w:jc w:val="both"/>
      </w:pPr>
    </w:p>
    <w:p w:rsidR="00CB2E8B" w:rsidRPr="007B42D8" w:rsidRDefault="007B42D8" w:rsidP="007B42D8">
      <w:pPr>
        <w:jc w:val="both"/>
        <w:rPr>
          <w:b/>
          <w:color w:val="000000"/>
          <w:lang w:val="bg-BG"/>
        </w:rPr>
      </w:pPr>
      <w:r>
        <w:rPr>
          <w:b/>
          <w:color w:val="000000"/>
          <w:lang w:val="bg-BG"/>
        </w:rPr>
        <w:t>12. Количествена рамка за оценка на ефективността на координацията</w:t>
      </w:r>
    </w:p>
    <w:p w:rsidR="00CB2E8B" w:rsidRDefault="007B42D8">
      <w:pPr>
        <w:ind w:firstLine="567"/>
        <w:jc w:val="both"/>
      </w:pPr>
      <w:r>
        <w:rPr>
          <w:lang w:val="bg-BG"/>
        </w:rPr>
        <w:t xml:space="preserve">За да не остане взаимодействието само организационно понятие, неговата ефективност може да бъде оценявана чрез система от показатели. Предлага се интегрален индекс на гражданско-военната </w:t>
      </w:r>
      <w:r w:rsidR="0007258E">
        <w:rPr>
          <w:lang w:val="bg-BG"/>
        </w:rPr>
        <w:t>ЯХБР</w:t>
      </w:r>
      <w:r>
        <w:rPr>
          <w:lang w:val="bg-BG"/>
        </w:rPr>
        <w:t xml:space="preserve"> координация:</w:t>
      </w:r>
    </w:p>
    <w:p w:rsidR="00CB2E8B" w:rsidRDefault="007B42D8">
      <w:pPr>
        <w:tabs>
          <w:tab w:val="right" w:pos="8504"/>
        </w:tabs>
        <w:spacing w:before="80" w:after="80"/>
        <w:ind w:left="567"/>
      </w:pPr>
      <w:r>
        <w:rPr>
          <w:i/>
          <w:lang w:val="bg-BG"/>
        </w:rPr>
        <w:t>K</w:t>
      </w:r>
      <w:r w:rsidR="0007258E">
        <w:rPr>
          <w:i/>
          <w:vertAlign w:val="subscript"/>
          <w:lang w:val="bg-BG"/>
        </w:rPr>
        <w:t>ГВК-ЯХБР</w:t>
      </w:r>
      <w:r w:rsidRPr="0007258E">
        <w:rPr>
          <w:i/>
          <w:vertAlign w:val="subscript"/>
          <w:lang w:val="bg-BG"/>
        </w:rPr>
        <w:t xml:space="preserve"> </w:t>
      </w:r>
      <w:r w:rsidR="0007258E">
        <w:rPr>
          <w:i/>
          <w:lang w:val="bg-BG"/>
        </w:rPr>
        <w:t>= Σw</w:t>
      </w:r>
      <w:proofErr w:type="spellStart"/>
      <w:r w:rsidR="0007258E">
        <w:rPr>
          <w:i/>
          <w:vertAlign w:val="subscript"/>
        </w:rPr>
        <w:t>i</w:t>
      </w:r>
      <w:proofErr w:type="spellEnd"/>
      <w:r w:rsidR="0007258E">
        <w:rPr>
          <w:i/>
        </w:rPr>
        <w:t>.</w:t>
      </w:r>
      <w:r>
        <w:rPr>
          <w:i/>
          <w:lang w:val="bg-BG"/>
        </w:rPr>
        <w:t>k</w:t>
      </w:r>
      <w:r w:rsidRPr="0007258E">
        <w:rPr>
          <w:i/>
          <w:vertAlign w:val="subscript"/>
          <w:lang w:val="bg-BG"/>
        </w:rPr>
        <w:t>i</w:t>
      </w:r>
      <w:r>
        <w:rPr>
          <w:lang w:val="bg-BG"/>
        </w:rPr>
        <w:tab/>
        <w:t>(1)</w:t>
      </w:r>
    </w:p>
    <w:p w:rsidR="00CB2E8B" w:rsidRDefault="007B42D8">
      <w:pPr>
        <w:ind w:firstLine="567"/>
        <w:jc w:val="both"/>
      </w:pPr>
      <w:r>
        <w:rPr>
          <w:lang w:val="bg-BG"/>
        </w:rPr>
        <w:t>където ki е нормализираната стойност на съответния показател; w</w:t>
      </w:r>
      <w:r w:rsidRPr="0007258E">
        <w:rPr>
          <w:vertAlign w:val="subscript"/>
          <w:lang w:val="bg-BG"/>
        </w:rPr>
        <w:t>i</w:t>
      </w:r>
      <w:r>
        <w:rPr>
          <w:lang w:val="bg-BG"/>
        </w:rPr>
        <w:t xml:space="preserve"> е неговото тегло; Σw</w:t>
      </w:r>
      <w:r w:rsidRPr="0007258E">
        <w:rPr>
          <w:vertAlign w:val="subscript"/>
          <w:lang w:val="bg-BG"/>
        </w:rPr>
        <w:t>i</w:t>
      </w:r>
      <w:r>
        <w:rPr>
          <w:lang w:val="bg-BG"/>
        </w:rPr>
        <w:t xml:space="preserve"> = 1.</w:t>
      </w:r>
    </w:p>
    <w:p w:rsidR="0007258E" w:rsidRDefault="007B42D8">
      <w:pPr>
        <w:ind w:firstLine="567"/>
        <w:jc w:val="both"/>
      </w:pPr>
      <w:r>
        <w:rPr>
          <w:lang w:val="bg-BG"/>
        </w:rPr>
        <w:t xml:space="preserve">Като основни показатели могат да се използват: </w:t>
      </w:r>
    </w:p>
    <w:p w:rsidR="0007258E" w:rsidRDefault="007B42D8">
      <w:pPr>
        <w:ind w:firstLine="567"/>
        <w:jc w:val="both"/>
      </w:pPr>
      <w:r>
        <w:rPr>
          <w:lang w:val="bg-BG"/>
        </w:rPr>
        <w:t>T</w:t>
      </w:r>
      <w:r w:rsidRPr="0007258E">
        <w:rPr>
          <w:vertAlign w:val="subscript"/>
          <w:lang w:val="bg-BG"/>
        </w:rPr>
        <w:t>d</w:t>
      </w:r>
      <w:r>
        <w:rPr>
          <w:lang w:val="bg-BG"/>
        </w:rPr>
        <w:t xml:space="preserve"> </w:t>
      </w:r>
      <w:r w:rsidR="0007258E">
        <w:t>-</w:t>
      </w:r>
      <w:r>
        <w:rPr>
          <w:lang w:val="bg-BG"/>
        </w:rPr>
        <w:t xml:space="preserve"> време от събитието до първоначално откриване; </w:t>
      </w:r>
    </w:p>
    <w:p w:rsidR="0007258E" w:rsidRDefault="007B42D8">
      <w:pPr>
        <w:ind w:firstLine="567"/>
        <w:jc w:val="both"/>
      </w:pPr>
      <w:r>
        <w:rPr>
          <w:lang w:val="bg-BG"/>
        </w:rPr>
        <w:t>T</w:t>
      </w:r>
      <w:r w:rsidRPr="0007258E">
        <w:rPr>
          <w:vertAlign w:val="subscript"/>
          <w:lang w:val="bg-BG"/>
        </w:rPr>
        <w:t>v</w:t>
      </w:r>
      <w:r w:rsidR="0007258E">
        <w:rPr>
          <w:lang w:val="bg-BG"/>
        </w:rPr>
        <w:t xml:space="preserve"> </w:t>
      </w:r>
      <w:r w:rsidR="0007258E">
        <w:t>-</w:t>
      </w:r>
      <w:r>
        <w:rPr>
          <w:lang w:val="bg-BG"/>
        </w:rPr>
        <w:t xml:space="preserve"> време до потвърждение/верификация; </w:t>
      </w:r>
    </w:p>
    <w:p w:rsidR="0007258E" w:rsidRDefault="007B42D8">
      <w:pPr>
        <w:ind w:firstLine="567"/>
        <w:jc w:val="both"/>
      </w:pPr>
      <w:r>
        <w:rPr>
          <w:lang w:val="bg-BG"/>
        </w:rPr>
        <w:t>T</w:t>
      </w:r>
      <w:r w:rsidRPr="0007258E">
        <w:rPr>
          <w:vertAlign w:val="subscript"/>
          <w:lang w:val="bg-BG"/>
        </w:rPr>
        <w:t xml:space="preserve">w </w:t>
      </w:r>
      <w:r w:rsidR="0007258E">
        <w:t>-</w:t>
      </w:r>
      <w:r>
        <w:rPr>
          <w:lang w:val="bg-BG"/>
        </w:rPr>
        <w:t xml:space="preserve"> време до предупрежд</w:t>
      </w:r>
      <w:r w:rsidR="0007258E">
        <w:rPr>
          <w:lang w:val="bg-BG"/>
        </w:rPr>
        <w:t>ение на застрашените структури;</w:t>
      </w:r>
    </w:p>
    <w:p w:rsidR="0007258E" w:rsidRDefault="007B42D8">
      <w:pPr>
        <w:ind w:firstLine="567"/>
        <w:jc w:val="both"/>
      </w:pPr>
      <w:r>
        <w:rPr>
          <w:lang w:val="bg-BG"/>
        </w:rPr>
        <w:t>T</w:t>
      </w:r>
      <w:r w:rsidRPr="0007258E">
        <w:rPr>
          <w:vertAlign w:val="subscript"/>
          <w:lang w:val="bg-BG"/>
        </w:rPr>
        <w:t>p</w:t>
      </w:r>
      <w:r w:rsidR="0007258E">
        <w:rPr>
          <w:lang w:val="bg-BG"/>
        </w:rPr>
        <w:t xml:space="preserve"> </w:t>
      </w:r>
      <w:r w:rsidR="0007258E">
        <w:t>-</w:t>
      </w:r>
      <w:r>
        <w:rPr>
          <w:lang w:val="bg-BG"/>
        </w:rPr>
        <w:t xml:space="preserve"> време до предупреждение на населението;</w:t>
      </w:r>
    </w:p>
    <w:p w:rsidR="0007258E" w:rsidRDefault="007B42D8">
      <w:pPr>
        <w:ind w:firstLine="567"/>
        <w:jc w:val="both"/>
      </w:pPr>
      <w:r>
        <w:rPr>
          <w:lang w:val="bg-BG"/>
        </w:rPr>
        <w:t>T</w:t>
      </w:r>
      <w:r w:rsidRPr="0007258E">
        <w:rPr>
          <w:vertAlign w:val="subscript"/>
          <w:lang w:val="bg-BG"/>
        </w:rPr>
        <w:t>c</w:t>
      </w:r>
      <w:r w:rsidR="0007258E">
        <w:rPr>
          <w:lang w:val="bg-BG"/>
        </w:rPr>
        <w:t xml:space="preserve"> </w:t>
      </w:r>
      <w:r w:rsidR="0007258E">
        <w:t>-</w:t>
      </w:r>
      <w:r>
        <w:rPr>
          <w:lang w:val="bg-BG"/>
        </w:rPr>
        <w:t xml:space="preserve"> време до установяване на гражданско-военна координация; </w:t>
      </w:r>
    </w:p>
    <w:p w:rsidR="0007258E" w:rsidRDefault="007B42D8">
      <w:pPr>
        <w:ind w:firstLine="567"/>
        <w:jc w:val="both"/>
      </w:pPr>
      <w:r>
        <w:rPr>
          <w:lang w:val="bg-BG"/>
        </w:rPr>
        <w:t>I</w:t>
      </w:r>
      <w:r w:rsidRPr="0007258E">
        <w:rPr>
          <w:vertAlign w:val="subscript"/>
          <w:lang w:val="bg-BG"/>
        </w:rPr>
        <w:t>s</w:t>
      </w:r>
      <w:r w:rsidR="0007258E">
        <w:rPr>
          <w:lang w:val="bg-BG"/>
        </w:rPr>
        <w:t xml:space="preserve"> </w:t>
      </w:r>
      <w:r w:rsidR="0007258E">
        <w:t>-</w:t>
      </w:r>
      <w:r>
        <w:rPr>
          <w:lang w:val="bg-BG"/>
        </w:rPr>
        <w:t xml:space="preserve"> дял на критичната информация, своеврем</w:t>
      </w:r>
      <w:r w:rsidR="0007258E">
        <w:rPr>
          <w:lang w:val="bg-BG"/>
        </w:rPr>
        <w:t>енно споделена между системите;</w:t>
      </w:r>
    </w:p>
    <w:p w:rsidR="0007258E" w:rsidRDefault="0007258E">
      <w:pPr>
        <w:ind w:firstLine="567"/>
        <w:jc w:val="both"/>
      </w:pPr>
      <w:r>
        <w:rPr>
          <w:lang w:val="bg-BG"/>
        </w:rPr>
        <w:t>C</w:t>
      </w:r>
      <w:r w:rsidRPr="0007258E">
        <w:rPr>
          <w:vertAlign w:val="subscript"/>
          <w:lang w:val="bg-BG"/>
        </w:rPr>
        <w:t>i</w:t>
      </w:r>
      <w:r>
        <w:rPr>
          <w:lang w:val="bg-BG"/>
        </w:rPr>
        <w:t xml:space="preserve"> </w:t>
      </w:r>
      <w:r>
        <w:t>-</w:t>
      </w:r>
      <w:r w:rsidR="007B42D8">
        <w:rPr>
          <w:lang w:val="bg-BG"/>
        </w:rPr>
        <w:t xml:space="preserve"> степен на комуникационна съвместимост;</w:t>
      </w:r>
    </w:p>
    <w:p w:rsidR="0007258E" w:rsidRDefault="007B42D8">
      <w:pPr>
        <w:ind w:firstLine="567"/>
        <w:jc w:val="both"/>
      </w:pPr>
      <w:r>
        <w:rPr>
          <w:lang w:val="bg-BG"/>
        </w:rPr>
        <w:t>R</w:t>
      </w:r>
      <w:r w:rsidRPr="0007258E">
        <w:rPr>
          <w:vertAlign w:val="subscript"/>
          <w:lang w:val="bg-BG"/>
        </w:rPr>
        <w:t>a</w:t>
      </w:r>
      <w:r>
        <w:rPr>
          <w:lang w:val="bg-BG"/>
        </w:rPr>
        <w:t xml:space="preserve"> </w:t>
      </w:r>
      <w:r w:rsidR="0007258E">
        <w:t>-</w:t>
      </w:r>
      <w:r>
        <w:rPr>
          <w:lang w:val="bg-BG"/>
        </w:rPr>
        <w:t xml:space="preserve"> дял на необходимите специализирани ресурси, налични в определения срок;</w:t>
      </w:r>
    </w:p>
    <w:p w:rsidR="0007258E" w:rsidRDefault="007B42D8">
      <w:pPr>
        <w:ind w:firstLine="567"/>
        <w:jc w:val="both"/>
      </w:pPr>
      <w:r>
        <w:rPr>
          <w:lang w:val="bg-BG"/>
        </w:rPr>
        <w:t>M</w:t>
      </w:r>
      <w:r w:rsidRPr="0007258E">
        <w:rPr>
          <w:vertAlign w:val="subscript"/>
          <w:lang w:val="bg-BG"/>
        </w:rPr>
        <w:t>c</w:t>
      </w:r>
      <w:r w:rsidR="0007258E">
        <w:rPr>
          <w:lang w:val="bg-BG"/>
        </w:rPr>
        <w:t xml:space="preserve"> </w:t>
      </w:r>
      <w:r w:rsidR="0007258E">
        <w:t xml:space="preserve">- </w:t>
      </w:r>
      <w:r>
        <w:rPr>
          <w:lang w:val="bg-BG"/>
        </w:rPr>
        <w:t>наличен медицински капацитет спрямо оценената потребност;</w:t>
      </w:r>
    </w:p>
    <w:p w:rsidR="0007258E" w:rsidRDefault="007B42D8">
      <w:pPr>
        <w:ind w:firstLine="567"/>
        <w:jc w:val="both"/>
      </w:pPr>
      <w:r>
        <w:rPr>
          <w:lang w:val="bg-BG"/>
        </w:rPr>
        <w:t>D</w:t>
      </w:r>
      <w:r w:rsidRPr="0007258E">
        <w:rPr>
          <w:vertAlign w:val="subscript"/>
          <w:lang w:val="bg-BG"/>
        </w:rPr>
        <w:t>c</w:t>
      </w:r>
      <w:r>
        <w:rPr>
          <w:lang w:val="bg-BG"/>
        </w:rPr>
        <w:t xml:space="preserve"> – деконтаминационен капацитет спрямо прогнозирания поток; </w:t>
      </w:r>
    </w:p>
    <w:p w:rsidR="00CB2E8B" w:rsidRDefault="007B42D8">
      <w:pPr>
        <w:ind w:firstLine="567"/>
        <w:jc w:val="both"/>
      </w:pPr>
      <w:r>
        <w:rPr>
          <w:lang w:val="bg-BG"/>
        </w:rPr>
        <w:t>F</w:t>
      </w:r>
      <w:r w:rsidRPr="0007258E">
        <w:rPr>
          <w:vertAlign w:val="subscript"/>
          <w:lang w:val="bg-BG"/>
        </w:rPr>
        <w:t>a</w:t>
      </w:r>
      <w:r>
        <w:rPr>
          <w:lang w:val="bg-BG"/>
        </w:rPr>
        <w:t xml:space="preserve"> – честота на фалшивите аларми или противоречивите оценки.</w:t>
      </w:r>
    </w:p>
    <w:p w:rsidR="00CB2E8B" w:rsidRDefault="007B42D8">
      <w:pPr>
        <w:ind w:firstLine="567"/>
        <w:jc w:val="both"/>
        <w:rPr>
          <w:lang w:val="bg-BG"/>
        </w:rPr>
      </w:pPr>
      <w:r>
        <w:rPr>
          <w:lang w:val="bg-BG"/>
        </w:rPr>
        <w:t xml:space="preserve">Особено важен е </w:t>
      </w:r>
      <w:r w:rsidR="0007258E">
        <w:rPr>
          <w:lang w:val="bg-BG"/>
        </w:rPr>
        <w:t>интервалът между първоначалното откриване и получаването на достатъчно надеждна информация от органа, който трябва да вземе защитно решение</w:t>
      </w:r>
      <w:r w:rsidR="0007258E">
        <w:t xml:space="preserve">. </w:t>
      </w:r>
      <w:r>
        <w:rPr>
          <w:lang w:val="bg-BG"/>
        </w:rPr>
        <w:t xml:space="preserve">При </w:t>
      </w:r>
      <w:r w:rsidR="0007258E">
        <w:rPr>
          <w:lang w:val="bg-BG"/>
        </w:rPr>
        <w:t>ЯХБР</w:t>
      </w:r>
      <w:r>
        <w:rPr>
          <w:lang w:val="bg-BG"/>
        </w:rPr>
        <w:t xml:space="preserve"> инцидент намаляването на този интервал има непосредствено значение за ограничаване на експозицията.</w:t>
      </w:r>
    </w:p>
    <w:p w:rsidR="007F264E" w:rsidRDefault="007F264E">
      <w:pPr>
        <w:ind w:firstLine="567"/>
        <w:jc w:val="both"/>
      </w:pPr>
      <w:bookmarkStart w:id="0" w:name="_GoBack"/>
      <w:bookmarkEnd w:id="0"/>
    </w:p>
    <w:p w:rsidR="00CB2E8B" w:rsidRPr="007B42D8" w:rsidRDefault="007B42D8" w:rsidP="007B42D8">
      <w:pPr>
        <w:jc w:val="both"/>
        <w:rPr>
          <w:b/>
          <w:color w:val="000000"/>
          <w:lang w:val="bg-BG"/>
        </w:rPr>
      </w:pPr>
      <w:r>
        <w:rPr>
          <w:b/>
          <w:color w:val="000000"/>
          <w:lang w:val="bg-BG"/>
        </w:rPr>
        <w:t>13. Предложения за повишаване на оперативната съвместимост</w:t>
      </w:r>
    </w:p>
    <w:p w:rsidR="00CB2E8B" w:rsidRDefault="007B42D8">
      <w:pPr>
        <w:ind w:firstLine="567"/>
        <w:jc w:val="both"/>
      </w:pPr>
      <w:r>
        <w:rPr>
          <w:lang w:val="bg-BG"/>
        </w:rPr>
        <w:lastRenderedPageBreak/>
        <w:t>На основата на направения анализ могат да бъдат формулирани следните практически предложения.</w:t>
      </w:r>
    </w:p>
    <w:p w:rsidR="00CB2E8B" w:rsidRDefault="00EE2598" w:rsidP="00EE2598">
      <w:pPr>
        <w:pStyle w:val="ListParagraph"/>
        <w:numPr>
          <w:ilvl w:val="0"/>
          <w:numId w:val="10"/>
        </w:numPr>
        <w:ind w:left="0" w:firstLine="426"/>
        <w:jc w:val="both"/>
      </w:pPr>
      <w:r>
        <w:rPr>
          <w:lang w:val="bg-BG"/>
        </w:rPr>
        <w:t>Н</w:t>
      </w:r>
      <w:r w:rsidR="007B42D8" w:rsidRPr="00EE2598">
        <w:rPr>
          <w:lang w:val="bg-BG"/>
        </w:rPr>
        <w:t xml:space="preserve">ационалните планове за защита при бедствия и военновременните планове да съдържат ясно дефиниран интерфейс с приемащите или действащите на национална територия съюзни сили за случаите на </w:t>
      </w:r>
      <w:r>
        <w:rPr>
          <w:lang w:val="bg-BG"/>
        </w:rPr>
        <w:t>ЯБХР</w:t>
      </w:r>
      <w:r w:rsidR="007B42D8" w:rsidRPr="00EE2598">
        <w:rPr>
          <w:lang w:val="bg-BG"/>
        </w:rPr>
        <w:t xml:space="preserve"> инциденти.</w:t>
      </w:r>
    </w:p>
    <w:p w:rsidR="00CB2E8B" w:rsidRPr="00EE2598" w:rsidRDefault="00EE2598" w:rsidP="00EE2598">
      <w:pPr>
        <w:pStyle w:val="ListParagraph"/>
        <w:numPr>
          <w:ilvl w:val="0"/>
          <w:numId w:val="10"/>
        </w:numPr>
        <w:ind w:left="0" w:firstLine="426"/>
        <w:jc w:val="both"/>
        <w:rPr>
          <w:lang w:val="bg-BG"/>
        </w:rPr>
      </w:pPr>
      <w:r>
        <w:rPr>
          <w:lang w:val="bg-BG"/>
        </w:rPr>
        <w:t>Да</w:t>
      </w:r>
      <w:r w:rsidR="007B42D8" w:rsidRPr="00EE2598">
        <w:rPr>
          <w:lang w:val="bg-BG"/>
        </w:rPr>
        <w:t xml:space="preserve"> </w:t>
      </w:r>
      <w:r>
        <w:rPr>
          <w:lang w:val="bg-BG"/>
        </w:rPr>
        <w:t>с</w:t>
      </w:r>
      <w:r w:rsidR="007B42D8" w:rsidRPr="00EE2598">
        <w:rPr>
          <w:lang w:val="bg-BG"/>
        </w:rPr>
        <w:t>е създа</w:t>
      </w:r>
      <w:r>
        <w:rPr>
          <w:lang w:val="bg-BG"/>
        </w:rPr>
        <w:t>де</w:t>
      </w:r>
      <w:r w:rsidR="007B42D8" w:rsidRPr="00EE2598">
        <w:rPr>
          <w:lang w:val="bg-BG"/>
        </w:rPr>
        <w:t xml:space="preserve"> и регулярно </w:t>
      </w:r>
      <w:r>
        <w:rPr>
          <w:lang w:val="bg-BG"/>
        </w:rPr>
        <w:t xml:space="preserve">да се </w:t>
      </w:r>
      <w:r w:rsidR="007B42D8" w:rsidRPr="00EE2598">
        <w:rPr>
          <w:lang w:val="bg-BG"/>
        </w:rPr>
        <w:t xml:space="preserve">актуализира национален каталог на </w:t>
      </w:r>
      <w:r>
        <w:rPr>
          <w:lang w:val="bg-BG"/>
        </w:rPr>
        <w:t>ЯХБР</w:t>
      </w:r>
      <w:r w:rsidR="007B42D8" w:rsidRPr="00EE2598">
        <w:rPr>
          <w:lang w:val="bg-BG"/>
        </w:rPr>
        <w:t xml:space="preserve"> способностите, които могат да бъдат използ</w:t>
      </w:r>
      <w:r>
        <w:rPr>
          <w:lang w:val="bg-BG"/>
        </w:rPr>
        <w:t>вани в гражданско-военна среда -</w:t>
      </w:r>
      <w:r w:rsidR="007B42D8" w:rsidRPr="00EE2598">
        <w:rPr>
          <w:lang w:val="bg-BG"/>
        </w:rPr>
        <w:t xml:space="preserve"> детекция, лаборатории, деконтаминация, медицински способности, защитно оборудване и транспорт.</w:t>
      </w:r>
    </w:p>
    <w:p w:rsidR="00CB2E8B" w:rsidRPr="00EE2598" w:rsidRDefault="00EE2598" w:rsidP="00EE2598">
      <w:pPr>
        <w:pStyle w:val="ListParagraph"/>
        <w:numPr>
          <w:ilvl w:val="0"/>
          <w:numId w:val="10"/>
        </w:numPr>
        <w:ind w:left="0" w:firstLine="426"/>
        <w:jc w:val="both"/>
        <w:rPr>
          <w:lang w:val="bg-BG"/>
        </w:rPr>
      </w:pPr>
      <w:r>
        <w:rPr>
          <w:lang w:val="bg-BG"/>
        </w:rPr>
        <w:t>Д</w:t>
      </w:r>
      <w:r w:rsidR="007B42D8" w:rsidRPr="00EE2598">
        <w:rPr>
          <w:lang w:val="bg-BG"/>
        </w:rPr>
        <w:t>а се разработи минимален съвместим информационен пакет за ЯХБР инцидент, който да може да бъде обменян между националните органи и съответната военна структура без забавяне поради различните информационни режими.</w:t>
      </w:r>
    </w:p>
    <w:p w:rsidR="00CB2E8B" w:rsidRPr="00EE2598" w:rsidRDefault="00EE2598" w:rsidP="00EE2598">
      <w:pPr>
        <w:pStyle w:val="ListParagraph"/>
        <w:numPr>
          <w:ilvl w:val="0"/>
          <w:numId w:val="10"/>
        </w:numPr>
        <w:ind w:left="0" w:firstLine="426"/>
        <w:jc w:val="both"/>
        <w:rPr>
          <w:lang w:val="bg-BG"/>
        </w:rPr>
      </w:pPr>
      <w:r>
        <w:rPr>
          <w:lang w:val="bg-BG"/>
        </w:rPr>
        <w:t>Г</w:t>
      </w:r>
      <w:r w:rsidR="007B42D8" w:rsidRPr="00EE2598">
        <w:rPr>
          <w:lang w:val="bg-BG"/>
        </w:rPr>
        <w:t xml:space="preserve">ражданско-военните </w:t>
      </w:r>
      <w:r>
        <w:rPr>
          <w:lang w:val="bg-BG"/>
        </w:rPr>
        <w:t>ЯХБР</w:t>
      </w:r>
      <w:r w:rsidR="007B42D8" w:rsidRPr="00EE2598">
        <w:rPr>
          <w:lang w:val="bg-BG"/>
        </w:rPr>
        <w:t xml:space="preserve"> сценарии следва да бъдат постоянно включени в национални и съюзни учения. Реална оперативна съвместимост не може да бъде доказана само чрез наличие на нормативни документи.</w:t>
      </w:r>
    </w:p>
    <w:p w:rsidR="00EE2598" w:rsidRPr="00EE2598" w:rsidRDefault="00EE2598" w:rsidP="00EE2598">
      <w:pPr>
        <w:pStyle w:val="ListParagraph"/>
        <w:numPr>
          <w:ilvl w:val="0"/>
          <w:numId w:val="10"/>
        </w:numPr>
        <w:ind w:left="0" w:firstLine="426"/>
        <w:jc w:val="both"/>
        <w:rPr>
          <w:lang w:val="bg-BG"/>
        </w:rPr>
      </w:pPr>
      <w:r>
        <w:rPr>
          <w:lang w:val="bg-BG"/>
        </w:rPr>
        <w:t>Д</w:t>
      </w:r>
      <w:r w:rsidR="007B42D8" w:rsidRPr="00EE2598">
        <w:rPr>
          <w:lang w:val="bg-BG"/>
        </w:rPr>
        <w:t xml:space="preserve">а се упражнява сценарий, при който военната операция и защитата на населението едновременно изискват едни и същи ограничени ресурси. </w:t>
      </w:r>
    </w:p>
    <w:p w:rsidR="00EE2598" w:rsidRDefault="00EE2598" w:rsidP="00EE2598">
      <w:pPr>
        <w:pStyle w:val="ListParagraph"/>
        <w:numPr>
          <w:ilvl w:val="0"/>
          <w:numId w:val="10"/>
        </w:numPr>
        <w:ind w:left="0" w:firstLine="426"/>
        <w:jc w:val="both"/>
        <w:rPr>
          <w:lang w:val="bg-BG"/>
        </w:rPr>
      </w:pPr>
      <w:r>
        <w:rPr>
          <w:lang w:val="bg-BG"/>
        </w:rPr>
        <w:t>Д</w:t>
      </w:r>
      <w:r w:rsidR="007B42D8" w:rsidRPr="00EE2598">
        <w:rPr>
          <w:lang w:val="bg-BG"/>
        </w:rPr>
        <w:t>а се упражнява отказ на основните комуникационни системи.</w:t>
      </w:r>
    </w:p>
    <w:p w:rsidR="00EE2598" w:rsidRDefault="00EE2598" w:rsidP="00EE2598">
      <w:pPr>
        <w:pStyle w:val="ListParagraph"/>
        <w:numPr>
          <w:ilvl w:val="0"/>
          <w:numId w:val="10"/>
        </w:numPr>
        <w:ind w:left="0" w:firstLine="426"/>
        <w:jc w:val="both"/>
        <w:rPr>
          <w:lang w:val="bg-BG"/>
        </w:rPr>
      </w:pPr>
      <w:r>
        <w:rPr>
          <w:lang w:val="bg-BG"/>
        </w:rPr>
        <w:t>Д</w:t>
      </w:r>
      <w:r w:rsidR="007B42D8" w:rsidRPr="00EE2598">
        <w:rPr>
          <w:lang w:val="bg-BG"/>
        </w:rPr>
        <w:t xml:space="preserve">а се определят </w:t>
      </w:r>
      <w:r w:rsidRPr="00EE2598">
        <w:rPr>
          <w:lang w:val="bg-BG"/>
        </w:rPr>
        <w:t xml:space="preserve">предварително </w:t>
      </w:r>
      <w:r w:rsidR="007B42D8" w:rsidRPr="00EE2598">
        <w:rPr>
          <w:lang w:val="bg-BG"/>
        </w:rPr>
        <w:t xml:space="preserve">процедури за съгласуване на публичната информация. </w:t>
      </w:r>
    </w:p>
    <w:p w:rsidR="00CB2E8B" w:rsidRPr="00EE2598" w:rsidRDefault="00EE2598" w:rsidP="00EE2598">
      <w:pPr>
        <w:pStyle w:val="ListParagraph"/>
        <w:numPr>
          <w:ilvl w:val="0"/>
          <w:numId w:val="10"/>
        </w:numPr>
        <w:ind w:left="0" w:firstLine="426"/>
        <w:jc w:val="both"/>
        <w:rPr>
          <w:lang w:val="bg-BG"/>
        </w:rPr>
      </w:pPr>
      <w:r>
        <w:rPr>
          <w:lang w:val="bg-BG"/>
        </w:rPr>
        <w:t>П</w:t>
      </w:r>
      <w:r w:rsidR="007B42D8" w:rsidRPr="00EE2598">
        <w:rPr>
          <w:lang w:val="bg-BG"/>
        </w:rPr>
        <w:t>ри планирането следва да бъдат включени операторите на критична инфраструктура.</w:t>
      </w:r>
    </w:p>
    <w:p w:rsidR="00CB2E8B" w:rsidRDefault="00EE2598" w:rsidP="00EE2598">
      <w:pPr>
        <w:pStyle w:val="ListParagraph"/>
        <w:numPr>
          <w:ilvl w:val="0"/>
          <w:numId w:val="10"/>
        </w:numPr>
        <w:ind w:left="0" w:firstLine="426"/>
        <w:jc w:val="both"/>
        <w:rPr>
          <w:lang w:val="bg-BG"/>
        </w:rPr>
      </w:pPr>
      <w:r>
        <w:rPr>
          <w:lang w:val="bg-BG"/>
        </w:rPr>
        <w:t>С</w:t>
      </w:r>
      <w:r w:rsidR="007B42D8" w:rsidRPr="00EE2598">
        <w:rPr>
          <w:lang w:val="bg-BG"/>
        </w:rPr>
        <w:t xml:space="preserve">лед всяко </w:t>
      </w:r>
      <w:r>
        <w:rPr>
          <w:lang w:val="bg-BG"/>
        </w:rPr>
        <w:t xml:space="preserve">полево </w:t>
      </w:r>
      <w:r w:rsidR="007B42D8" w:rsidRPr="00EE2598">
        <w:rPr>
          <w:lang w:val="bg-BG"/>
        </w:rPr>
        <w:t>учение да се измерват времевите и информационните показатели.</w:t>
      </w:r>
    </w:p>
    <w:p w:rsidR="00655AF8" w:rsidRPr="00EE2598" w:rsidRDefault="00655AF8" w:rsidP="00EE2598">
      <w:pPr>
        <w:pStyle w:val="ListParagraph"/>
        <w:numPr>
          <w:ilvl w:val="0"/>
          <w:numId w:val="10"/>
        </w:numPr>
        <w:ind w:left="0" w:firstLine="426"/>
        <w:jc w:val="both"/>
        <w:rPr>
          <w:lang w:val="bg-BG"/>
        </w:rPr>
      </w:pPr>
    </w:p>
    <w:p w:rsidR="00CB2E8B" w:rsidRPr="007B42D8" w:rsidRDefault="007B42D8" w:rsidP="007B42D8">
      <w:pPr>
        <w:jc w:val="both"/>
        <w:rPr>
          <w:b/>
          <w:color w:val="000000"/>
          <w:lang w:val="bg-BG"/>
        </w:rPr>
      </w:pPr>
      <w:r>
        <w:rPr>
          <w:b/>
          <w:color w:val="000000"/>
          <w:lang w:val="bg-BG"/>
        </w:rPr>
        <w:t>Заключение</w:t>
      </w:r>
    </w:p>
    <w:p w:rsidR="00CB2E8B" w:rsidRDefault="007B42D8">
      <w:pPr>
        <w:ind w:firstLine="567"/>
        <w:jc w:val="both"/>
      </w:pPr>
      <w:r>
        <w:rPr>
          <w:lang w:val="bg-BG"/>
        </w:rPr>
        <w:t>ЯХБ</w:t>
      </w:r>
      <w:r w:rsidR="003D4A68">
        <w:rPr>
          <w:lang w:val="bg-BG"/>
        </w:rPr>
        <w:t>Р</w:t>
      </w:r>
      <w:r>
        <w:rPr>
          <w:lang w:val="bg-BG"/>
        </w:rPr>
        <w:t xml:space="preserve"> опасният инцидент, възникнал в условията на съюзна операция по колективна отбрана, представлява едно от най-сложните възможни изпитания за гражданско-военното взаимодействие. Той съчетава дефицит на време, висока неопределеност, опасност за населението и силите, ограничен брой специализирани ресурси и потенциално стратегическо отражение върху провежданата операция.</w:t>
      </w:r>
    </w:p>
    <w:p w:rsidR="00CB2E8B" w:rsidRDefault="007B42D8">
      <w:pPr>
        <w:ind w:firstLine="567"/>
        <w:jc w:val="both"/>
      </w:pPr>
      <w:r>
        <w:rPr>
          <w:lang w:val="bg-BG"/>
        </w:rPr>
        <w:t>Изследването показва, че ефективният модел не трябва да се основава на подчиняване на едната система на другата. Националните органи трябва да запазят правомощията си по защита на населението, а съюзното военно командване – отговорността за защитата и използването на подчинените сили. Интеграцията следва да се постигне чрез устойчив координационен интерфейс, обща ситуационна осведоменост и предварително разработени процедури за обмен на информация и използване на ресурсите.</w:t>
      </w:r>
    </w:p>
    <w:p w:rsidR="00CB2E8B" w:rsidRDefault="007B42D8">
      <w:pPr>
        <w:ind w:firstLine="567"/>
        <w:jc w:val="both"/>
      </w:pPr>
      <w:r>
        <w:rPr>
          <w:lang w:val="bg-BG"/>
        </w:rPr>
        <w:t xml:space="preserve">Като най-критични се определят детекцията и верификацията на </w:t>
      </w:r>
      <w:r w:rsidR="00EE2598">
        <w:rPr>
          <w:lang w:val="bg-BG"/>
        </w:rPr>
        <w:t>ЯХБР</w:t>
      </w:r>
      <w:r>
        <w:rPr>
          <w:lang w:val="bg-BG"/>
        </w:rPr>
        <w:t xml:space="preserve"> събитието, ранното предупреждение и докладването, оперативната съвместимост на комуникациите, управлението на специализираните </w:t>
      </w:r>
      <w:r>
        <w:rPr>
          <w:lang w:val="bg-BG"/>
        </w:rPr>
        <w:lastRenderedPageBreak/>
        <w:t>способности, медицинската координация, деконфликтацията на транспортните потоци и публичната комуникация.</w:t>
      </w:r>
    </w:p>
    <w:p w:rsidR="00CB2E8B" w:rsidRDefault="007B42D8">
      <w:pPr>
        <w:ind w:firstLine="567"/>
        <w:jc w:val="both"/>
      </w:pPr>
      <w:r>
        <w:rPr>
          <w:lang w:val="bg-BG"/>
        </w:rPr>
        <w:t xml:space="preserve">Научната новост на предложения подход се състои в разглеждането на гражданско-военната </w:t>
      </w:r>
      <w:r w:rsidR="00EE2598">
        <w:rPr>
          <w:lang w:val="bg-BG"/>
        </w:rPr>
        <w:t>ЯХБР</w:t>
      </w:r>
      <w:r>
        <w:rPr>
          <w:lang w:val="bg-BG"/>
        </w:rPr>
        <w:t xml:space="preserve"> координация като самостоятелна измерима система, а не само като организационна дейност. Предложените времеви и функционални показатели позволяват ефективността ѝ да бъде оценявана при учения и подготовка.</w:t>
      </w:r>
    </w:p>
    <w:p w:rsidR="00CB2E8B" w:rsidRDefault="007B42D8">
      <w:pPr>
        <w:ind w:firstLine="567"/>
        <w:jc w:val="both"/>
        <w:rPr>
          <w:lang w:val="bg-BG"/>
        </w:rPr>
      </w:pPr>
      <w:r>
        <w:rPr>
          <w:lang w:val="bg-BG"/>
        </w:rPr>
        <w:t>В условията на чл. 5 устойчивостта на националната система за защита на населението и способността на НАТО да изпълнява колективната отбрана не са конкуриращи се цели. Те са взаимно зависими компоненти на една и съща система за национална и съюзна сигурност.</w:t>
      </w:r>
    </w:p>
    <w:p w:rsidR="008A2B60" w:rsidRDefault="008A2B60">
      <w:pPr>
        <w:ind w:firstLine="567"/>
        <w:jc w:val="both"/>
      </w:pPr>
    </w:p>
    <w:p w:rsidR="00CB2E8B" w:rsidRPr="007B42D8" w:rsidRDefault="007B42D8" w:rsidP="007B42D8">
      <w:pPr>
        <w:jc w:val="both"/>
        <w:rPr>
          <w:b/>
          <w:color w:val="000000"/>
          <w:lang w:val="bg-BG"/>
        </w:rPr>
      </w:pPr>
      <w:r>
        <w:rPr>
          <w:b/>
          <w:color w:val="000000"/>
          <w:lang w:val="bg-BG"/>
        </w:rPr>
        <w:t>ЛИТЕРАТУРА:</w:t>
      </w:r>
    </w:p>
    <w:p w:rsidR="00CB2E8B" w:rsidRPr="00EE2598" w:rsidRDefault="007B42D8">
      <w:pPr>
        <w:ind w:firstLine="567"/>
        <w:jc w:val="both"/>
        <w:rPr>
          <w:szCs w:val="28"/>
        </w:rPr>
      </w:pPr>
      <w:r>
        <w:t xml:space="preserve">1. NORTH ATLANTIC TREATY ORGANIZATION. </w:t>
      </w:r>
      <w:r>
        <w:rPr>
          <w:i/>
        </w:rPr>
        <w:t>The North Atlantic Treaty.</w:t>
      </w:r>
      <w:r>
        <w:t xml:space="preserve"> Online. Washington D.C., 4 April 1949. Available from: https://www.nato.int/docu/basi</w:t>
      </w:r>
      <w:r w:rsidR="00642B2D">
        <w:t>ctxt/treaty.htm. [</w:t>
      </w:r>
      <w:proofErr w:type="gramStart"/>
      <w:r w:rsidR="00642B2D">
        <w:t>viewed</w:t>
      </w:r>
      <w:proofErr w:type="gramEnd"/>
      <w:r w:rsidR="00642B2D">
        <w:t xml:space="preserve"> 2026-0</w:t>
      </w:r>
      <w:r w:rsidR="00642B2D">
        <w:rPr>
          <w:lang w:val="bg-BG"/>
        </w:rPr>
        <w:t>8</w:t>
      </w:r>
      <w:r>
        <w:t>-12].</w:t>
      </w:r>
    </w:p>
    <w:p w:rsidR="00CB2E8B" w:rsidRPr="00EE2598" w:rsidRDefault="007B42D8">
      <w:pPr>
        <w:ind w:firstLine="567"/>
        <w:jc w:val="both"/>
        <w:rPr>
          <w:szCs w:val="28"/>
        </w:rPr>
      </w:pPr>
      <w:r>
        <w:t xml:space="preserve">2. NATO. </w:t>
      </w:r>
      <w:r>
        <w:rPr>
          <w:i/>
        </w:rPr>
        <w:t>NATO’s Chemical, Biological, Radiological and Nuclear (CBRN) Defence Policy.</w:t>
      </w:r>
      <w:r>
        <w:t xml:space="preserve"> Online. 14 June 2022. Available from: https://www.nato.int/en/about-us/official-texts-and-resources/official-texts/2022/06/14/natos-chemical-biological-radiological-and-nuclear-cbrn</w:t>
      </w:r>
      <w:r w:rsidR="00642B2D">
        <w:t>-defence-policy. [</w:t>
      </w:r>
      <w:proofErr w:type="gramStart"/>
      <w:r w:rsidR="00642B2D">
        <w:t>viewed</w:t>
      </w:r>
      <w:proofErr w:type="gramEnd"/>
      <w:r w:rsidR="00642B2D">
        <w:t xml:space="preserve"> 2026-0</w:t>
      </w:r>
      <w:r w:rsidR="00642B2D">
        <w:rPr>
          <w:lang w:val="bg-BG"/>
        </w:rPr>
        <w:t>8</w:t>
      </w:r>
      <w:r>
        <w:t>-12].</w:t>
      </w:r>
    </w:p>
    <w:p w:rsidR="00CB2E8B" w:rsidRPr="00EE2598" w:rsidRDefault="007B42D8">
      <w:pPr>
        <w:ind w:firstLine="567"/>
        <w:jc w:val="both"/>
        <w:rPr>
          <w:szCs w:val="28"/>
        </w:rPr>
      </w:pPr>
      <w:r>
        <w:t xml:space="preserve">3. NATO. </w:t>
      </w:r>
      <w:r>
        <w:rPr>
          <w:i/>
        </w:rPr>
        <w:t>NATO 2022 Strategic Concept.</w:t>
      </w:r>
      <w:r>
        <w:t xml:space="preserve"> Online. Madrid, 29 June 2022. Available from: https://www.nato.int/en/about-us/official-texts-and-resources/strategic-concepts/nato-2022-strategic-concept. [viewed 2026-09-12].</w:t>
      </w:r>
    </w:p>
    <w:p w:rsidR="00CB2E8B" w:rsidRPr="00EE2598" w:rsidRDefault="007B42D8">
      <w:pPr>
        <w:ind w:firstLine="567"/>
        <w:jc w:val="both"/>
        <w:rPr>
          <w:szCs w:val="28"/>
        </w:rPr>
      </w:pPr>
      <w:r>
        <w:t xml:space="preserve">4. NATO. </w:t>
      </w:r>
      <w:r>
        <w:rPr>
          <w:i/>
        </w:rPr>
        <w:t>Resilience, Civil Preparedness and Article 3.</w:t>
      </w:r>
      <w:r>
        <w:t xml:space="preserve"> Online. Available from: https://www.nato.int/en/what-we-do/deterrence-and-defence/resilience-civil-preparednes</w:t>
      </w:r>
      <w:r w:rsidR="00642B2D">
        <w:t>s-and-article-3. [</w:t>
      </w:r>
      <w:proofErr w:type="gramStart"/>
      <w:r w:rsidR="00642B2D">
        <w:t>viewed</w:t>
      </w:r>
      <w:proofErr w:type="gramEnd"/>
      <w:r w:rsidR="00642B2D">
        <w:t xml:space="preserve"> 2026-0</w:t>
      </w:r>
      <w:r w:rsidR="00642B2D">
        <w:rPr>
          <w:lang w:val="bg-BG"/>
        </w:rPr>
        <w:t>8</w:t>
      </w:r>
      <w:r>
        <w:t>-12].</w:t>
      </w:r>
    </w:p>
    <w:p w:rsidR="00CB2E8B" w:rsidRPr="00EE2598" w:rsidRDefault="007B42D8">
      <w:pPr>
        <w:ind w:firstLine="567"/>
        <w:jc w:val="both"/>
        <w:rPr>
          <w:szCs w:val="28"/>
        </w:rPr>
      </w:pPr>
      <w:r>
        <w:t xml:space="preserve">5. NATO. </w:t>
      </w:r>
      <w:r>
        <w:rPr>
          <w:i/>
        </w:rPr>
        <w:t>Combined Joint Chemical, Biological, Radiological and Nuclear (CBRN) Defence Task Force.</w:t>
      </w:r>
      <w:r>
        <w:t xml:space="preserve"> Online. Available from: https://www.nato.int/en/what-we-do/deterrence-and-defence/combined-joint-chemical-biological-radiological-and-nuclear-cbrn-def</w:t>
      </w:r>
      <w:r w:rsidR="00642B2D">
        <w:t>ence-task-force. [</w:t>
      </w:r>
      <w:proofErr w:type="gramStart"/>
      <w:r w:rsidR="00642B2D">
        <w:t>viewed</w:t>
      </w:r>
      <w:proofErr w:type="gramEnd"/>
      <w:r w:rsidR="00642B2D">
        <w:t xml:space="preserve"> 2026-0</w:t>
      </w:r>
      <w:r w:rsidR="00642B2D">
        <w:rPr>
          <w:lang w:val="bg-BG"/>
        </w:rPr>
        <w:t>8</w:t>
      </w:r>
      <w:r w:rsidR="00642B2D">
        <w:t>-1</w:t>
      </w:r>
      <w:r w:rsidR="00642B2D">
        <w:rPr>
          <w:lang w:val="bg-BG"/>
        </w:rPr>
        <w:t>7</w:t>
      </w:r>
      <w:r>
        <w:t>].</w:t>
      </w:r>
    </w:p>
    <w:p w:rsidR="00CB2E8B" w:rsidRPr="00EE2598" w:rsidRDefault="007B42D8">
      <w:pPr>
        <w:ind w:firstLine="567"/>
        <w:jc w:val="both"/>
        <w:rPr>
          <w:szCs w:val="28"/>
        </w:rPr>
      </w:pPr>
      <w:r>
        <w:t xml:space="preserve">6. NATO. </w:t>
      </w:r>
      <w:r>
        <w:rPr>
          <w:i/>
        </w:rPr>
        <w:t>Euro-Atlantic Disaster Response Coordination Centre (EADRCC).</w:t>
      </w:r>
      <w:r>
        <w:t xml:space="preserve"> Online. Available from: https://www.nato.int/en/about-us/organization/nato-structure/euro-atlantic-disaster-response-coordination-centre--eadrc</w:t>
      </w:r>
      <w:r w:rsidR="00642B2D">
        <w:t>c-/about-eadrcc. [</w:t>
      </w:r>
      <w:proofErr w:type="gramStart"/>
      <w:r w:rsidR="00642B2D">
        <w:t>viewed</w:t>
      </w:r>
      <w:proofErr w:type="gramEnd"/>
      <w:r w:rsidR="00642B2D">
        <w:t xml:space="preserve"> 2026-0</w:t>
      </w:r>
      <w:r w:rsidR="00642B2D">
        <w:rPr>
          <w:lang w:val="bg-BG"/>
        </w:rPr>
        <w:t>8</w:t>
      </w:r>
      <w:r>
        <w:t>-1</w:t>
      </w:r>
      <w:r w:rsidR="00642B2D">
        <w:rPr>
          <w:lang w:val="bg-BG"/>
        </w:rPr>
        <w:t>3</w:t>
      </w:r>
      <w:r>
        <w:t>].</w:t>
      </w:r>
    </w:p>
    <w:p w:rsidR="00CB2E8B" w:rsidRPr="00EE2598" w:rsidRDefault="007B42D8">
      <w:pPr>
        <w:ind w:firstLine="567"/>
        <w:jc w:val="both"/>
        <w:rPr>
          <w:szCs w:val="28"/>
        </w:rPr>
      </w:pPr>
      <w:r>
        <w:t xml:space="preserve">7. NATO. </w:t>
      </w:r>
      <w:r>
        <w:rPr>
          <w:i/>
        </w:rPr>
        <w:t>Crisis Management.</w:t>
      </w:r>
      <w:r>
        <w:t xml:space="preserve"> Online. Available from: https://www.nato.int/en/what-we-do/introduction-to-nato/cr</w:t>
      </w:r>
      <w:r w:rsidR="00642B2D">
        <w:t>isis-management. [</w:t>
      </w:r>
      <w:proofErr w:type="gramStart"/>
      <w:r w:rsidR="00642B2D">
        <w:t>viewed</w:t>
      </w:r>
      <w:proofErr w:type="gramEnd"/>
      <w:r w:rsidR="00642B2D">
        <w:t xml:space="preserve"> 2026-0</w:t>
      </w:r>
      <w:r w:rsidR="00642B2D">
        <w:rPr>
          <w:lang w:val="bg-BG"/>
        </w:rPr>
        <w:t>8</w:t>
      </w:r>
      <w:r>
        <w:t>-12].</w:t>
      </w:r>
    </w:p>
    <w:p w:rsidR="00CB2E8B" w:rsidRPr="00EE2598" w:rsidRDefault="007B42D8">
      <w:pPr>
        <w:ind w:firstLine="567"/>
        <w:jc w:val="both"/>
        <w:rPr>
          <w:szCs w:val="28"/>
        </w:rPr>
      </w:pPr>
      <w:r>
        <w:t xml:space="preserve">8. NATO. </w:t>
      </w:r>
      <w:r>
        <w:rPr>
          <w:i/>
        </w:rPr>
        <w:t>NATO’s Comprehensive, Strategic-Level Policy for Preventing the Proliferation of Weapons of Mass Destruction (WMD) and Defending against Chemical, Biological, Radiological and Nuclear (CBRN) Threats.</w:t>
      </w:r>
      <w:r>
        <w:t xml:space="preserve"> Online. 1 September 2009. Available from: https://www.nato.int/en/about-us/official-texts-and-resources/official-texts/2009/09/01/natos-comprehensive-strategic-level-policy-for-preventing-the-proliferation-of-weapons-of-mass-destruction-wmd-and-defending-a</w:t>
      </w:r>
      <w:r w:rsidR="00642B2D">
        <w:t>gainst-chemical. [</w:t>
      </w:r>
      <w:proofErr w:type="gramStart"/>
      <w:r w:rsidR="00642B2D">
        <w:t>viewed</w:t>
      </w:r>
      <w:proofErr w:type="gramEnd"/>
      <w:r w:rsidR="00642B2D">
        <w:t xml:space="preserve"> 2026-0</w:t>
      </w:r>
      <w:r w:rsidR="00642B2D">
        <w:rPr>
          <w:lang w:val="bg-BG"/>
        </w:rPr>
        <w:t>8</w:t>
      </w:r>
      <w:r>
        <w:t>-12].</w:t>
      </w:r>
    </w:p>
    <w:p w:rsidR="00CB2E8B" w:rsidRPr="00EE2598" w:rsidRDefault="007B42D8">
      <w:pPr>
        <w:ind w:firstLine="567"/>
        <w:jc w:val="both"/>
        <w:rPr>
          <w:szCs w:val="28"/>
        </w:rPr>
      </w:pPr>
      <w:r>
        <w:lastRenderedPageBreak/>
        <w:t xml:space="preserve">9. NATO. </w:t>
      </w:r>
      <w:r>
        <w:rPr>
          <w:i/>
        </w:rPr>
        <w:t>Warsaw Summit Communiqué.</w:t>
      </w:r>
      <w:r>
        <w:t xml:space="preserve"> Online. Warsaw, 9 July 2016. Available from: https://www.nato.int/en/about-us/official-texts-and-resources/official-texts/2016/07/09/warsaw-summit-communique. [</w:t>
      </w:r>
      <w:proofErr w:type="gramStart"/>
      <w:r>
        <w:t>viewed</w:t>
      </w:r>
      <w:proofErr w:type="gramEnd"/>
      <w:r>
        <w:t xml:space="preserve"> 2026</w:t>
      </w:r>
      <w:r w:rsidR="00642B2D">
        <w:t>-0</w:t>
      </w:r>
      <w:r w:rsidR="00642B2D">
        <w:rPr>
          <w:lang w:val="bg-BG"/>
        </w:rPr>
        <w:t>8</w:t>
      </w:r>
      <w:r w:rsidR="00642B2D">
        <w:t>-1</w:t>
      </w:r>
      <w:r w:rsidR="00642B2D">
        <w:rPr>
          <w:lang w:val="bg-BG"/>
        </w:rPr>
        <w:t>6</w:t>
      </w:r>
      <w:r>
        <w:t>].</w:t>
      </w:r>
    </w:p>
    <w:p w:rsidR="00CB2E8B" w:rsidRPr="00EE2598" w:rsidRDefault="007B42D8">
      <w:pPr>
        <w:ind w:firstLine="567"/>
        <w:jc w:val="both"/>
        <w:rPr>
          <w:szCs w:val="28"/>
        </w:rPr>
      </w:pPr>
      <w:r>
        <w:t xml:space="preserve">10. </w:t>
      </w:r>
      <w:r>
        <w:rPr>
          <w:i/>
        </w:rPr>
        <w:t>Закон за защита при бедствия.</w:t>
      </w:r>
      <w:r>
        <w:t xml:space="preserve"> Обн. ДВ, бр. 102/2006 г., изм. и доп. ДВ, бр. 60/2020 г.</w:t>
      </w:r>
    </w:p>
    <w:p w:rsidR="00CB2E8B" w:rsidRPr="00EE2598" w:rsidRDefault="007B42D8">
      <w:pPr>
        <w:ind w:firstLine="567"/>
        <w:jc w:val="both"/>
        <w:rPr>
          <w:szCs w:val="28"/>
        </w:rPr>
      </w:pPr>
      <w:r>
        <w:t xml:space="preserve">11. </w:t>
      </w:r>
      <w:r>
        <w:rPr>
          <w:i/>
        </w:rPr>
        <w:t>Правилник за устройството и дейността на Министерството на вътрешните работи.</w:t>
      </w:r>
      <w:r>
        <w:t xml:space="preserve"> Обн. ДВ, бр. 60/2014 г., изм. ДВ, бр. 76/2026 г.</w:t>
      </w:r>
    </w:p>
    <w:p w:rsidR="00CB2E8B" w:rsidRPr="00EE2598" w:rsidRDefault="007B42D8">
      <w:pPr>
        <w:ind w:firstLine="567"/>
        <w:jc w:val="both"/>
        <w:rPr>
          <w:szCs w:val="28"/>
        </w:rPr>
      </w:pPr>
      <w:r>
        <w:t xml:space="preserve">12. INTERNATIONAL ATOMIC ENERGY AGENCY. </w:t>
      </w:r>
      <w:r>
        <w:rPr>
          <w:i/>
        </w:rPr>
        <w:t>Preparedness and Response for a Nuclear or Radiological Emergency.</w:t>
      </w:r>
      <w:r>
        <w:t xml:space="preserve"> Online. IAEA Safety Standards Series No. GSR Part 7. Vienna: IAEA, 2015. Available from: https</w:t>
      </w:r>
      <w:proofErr w:type="gramStart"/>
      <w:r>
        <w:t>:/</w:t>
      </w:r>
      <w:proofErr w:type="gramEnd"/>
      <w:r>
        <w:t>/nucleus.iaea.org/sites/nss-oui/Published%20Collections/m_0fce2a40-ac12-4db9-ad3b-e4bfc93f678e/m_0fce2a40-ac12-4db9-ad3b-e4bfc93f</w:t>
      </w:r>
      <w:r w:rsidR="00642B2D">
        <w:t>678e__59_0.Html. [viewed 2026-0</w:t>
      </w:r>
      <w:r w:rsidR="00642B2D">
        <w:rPr>
          <w:lang w:val="bg-BG"/>
        </w:rPr>
        <w:t>8</w:t>
      </w:r>
      <w:r>
        <w:t>-12].</w:t>
      </w:r>
    </w:p>
    <w:p w:rsidR="00CB2E8B" w:rsidRPr="00EE2598" w:rsidRDefault="007B42D8">
      <w:pPr>
        <w:ind w:firstLine="567"/>
        <w:jc w:val="both"/>
        <w:rPr>
          <w:szCs w:val="28"/>
        </w:rPr>
      </w:pPr>
      <w:r>
        <w:t xml:space="preserve">13. ORGANISATION FOR THE PROHIBITION OF CHEMICAL WEAPONS. </w:t>
      </w:r>
      <w:r>
        <w:rPr>
          <w:i/>
        </w:rPr>
        <w:t>Chemical Weapons Convention – Article X: Assistance and Protection against Chemical Weapons.</w:t>
      </w:r>
      <w:r>
        <w:t xml:space="preserve"> Online. Available from: https://www.opcw.org/chemical-weapons-convention/articles/article-x-assistance-and-protection-against-c</w:t>
      </w:r>
      <w:r w:rsidR="00642B2D">
        <w:t>hemical-weapons. [</w:t>
      </w:r>
      <w:proofErr w:type="gramStart"/>
      <w:r w:rsidR="00642B2D">
        <w:t>viewed</w:t>
      </w:r>
      <w:proofErr w:type="gramEnd"/>
      <w:r w:rsidR="00642B2D">
        <w:t xml:space="preserve"> 2026-0</w:t>
      </w:r>
      <w:r w:rsidR="00642B2D">
        <w:rPr>
          <w:lang w:val="bg-BG"/>
        </w:rPr>
        <w:t>8</w:t>
      </w:r>
      <w:r w:rsidR="00642B2D">
        <w:t>-</w:t>
      </w:r>
      <w:r w:rsidR="00642B2D">
        <w:rPr>
          <w:lang w:val="bg-BG"/>
        </w:rPr>
        <w:t>2</w:t>
      </w:r>
      <w:r>
        <w:t>2].</w:t>
      </w:r>
    </w:p>
    <w:p w:rsidR="00CB2E8B" w:rsidRPr="00EE2598" w:rsidRDefault="007B42D8">
      <w:pPr>
        <w:ind w:firstLine="567"/>
        <w:jc w:val="both"/>
        <w:rPr>
          <w:szCs w:val="28"/>
        </w:rPr>
      </w:pPr>
      <w:r>
        <w:t xml:space="preserve">14. ВЕЛЕВ, С. </w:t>
      </w:r>
      <w:r>
        <w:rPr>
          <w:i/>
        </w:rPr>
        <w:t>Предупреждението и докладването за ядрени, химически, биологически и радиационни опасности в контекста на съвместните функции.</w:t>
      </w:r>
      <w:r>
        <w:t xml:space="preserve"> Online. „Близкият Космос – обща цел“, 2023. Available from: https://doi.org/10.34660/INF.2</w:t>
      </w:r>
      <w:r w:rsidR="00642B2D">
        <w:t>023.53.99.019. [</w:t>
      </w:r>
      <w:proofErr w:type="gramStart"/>
      <w:r w:rsidR="00642B2D">
        <w:t>viewed</w:t>
      </w:r>
      <w:proofErr w:type="gramEnd"/>
      <w:r w:rsidR="00642B2D">
        <w:t xml:space="preserve"> 2026-09-</w:t>
      </w:r>
      <w:r w:rsidR="00642B2D">
        <w:rPr>
          <w:lang w:val="bg-BG"/>
        </w:rPr>
        <w:t>05</w:t>
      </w:r>
      <w:r>
        <w:t>].</w:t>
      </w:r>
    </w:p>
    <w:p w:rsidR="00CB2E8B" w:rsidRPr="00EE2598" w:rsidRDefault="007B42D8">
      <w:pPr>
        <w:ind w:firstLine="567"/>
        <w:jc w:val="both"/>
        <w:rPr>
          <w:szCs w:val="28"/>
        </w:rPr>
      </w:pPr>
      <w:r>
        <w:t xml:space="preserve">15. ПАВЛОВ, М. </w:t>
      </w:r>
      <w:r>
        <w:rPr>
          <w:i/>
        </w:rPr>
        <w:t>Оптимизиране възможностите за ядрено, химическо и биологическо разузнаване и наблюдение на подразделенията ЯХБЗ и Е.</w:t>
      </w:r>
      <w:r>
        <w:t xml:space="preserve"> Online. „Близкият Космос – обща цел“, 2023. Available from: https://doi.org/10.34660/INF.2</w:t>
      </w:r>
      <w:r w:rsidR="00642B2D">
        <w:t>023.70.34.022. [</w:t>
      </w:r>
      <w:proofErr w:type="gramStart"/>
      <w:r w:rsidR="00642B2D">
        <w:t>viewed</w:t>
      </w:r>
      <w:proofErr w:type="gramEnd"/>
      <w:r w:rsidR="00642B2D">
        <w:t xml:space="preserve"> 2026-09-</w:t>
      </w:r>
      <w:r w:rsidR="00642B2D">
        <w:rPr>
          <w:lang w:val="bg-BG"/>
        </w:rPr>
        <w:t>05</w:t>
      </w:r>
      <w:r>
        <w:t>].</w:t>
      </w:r>
    </w:p>
    <w:p w:rsidR="00CB2E8B" w:rsidRPr="00EE2598" w:rsidRDefault="007B42D8">
      <w:pPr>
        <w:ind w:firstLine="567"/>
        <w:jc w:val="both"/>
        <w:rPr>
          <w:szCs w:val="28"/>
        </w:rPr>
      </w:pPr>
      <w:r>
        <w:t xml:space="preserve">16. НИКОЛОВ, Н. </w:t>
      </w:r>
      <w:r>
        <w:rPr>
          <w:i/>
        </w:rPr>
        <w:t>Анализ на състоянието на средствата и веществата за обеззаразяване в Българската армия в периода 2017–2023.</w:t>
      </w:r>
      <w:r>
        <w:t xml:space="preserve"> Online. „Близкият Космос – обща цел“, 2023. Available from: https://doi.org/10.34660/INF.20</w:t>
      </w:r>
      <w:r w:rsidR="00642B2D">
        <w:t>23.64.67.021. [</w:t>
      </w:r>
      <w:proofErr w:type="gramStart"/>
      <w:r w:rsidR="00642B2D">
        <w:t>viewed</w:t>
      </w:r>
      <w:proofErr w:type="gramEnd"/>
      <w:r w:rsidR="00642B2D">
        <w:t xml:space="preserve"> 2026-09-</w:t>
      </w:r>
      <w:r w:rsidR="00642B2D">
        <w:rPr>
          <w:lang w:val="bg-BG"/>
        </w:rPr>
        <w:t>05</w:t>
      </w:r>
      <w:r>
        <w:t>].</w:t>
      </w:r>
    </w:p>
    <w:p w:rsidR="00CB2E8B" w:rsidRPr="00EE2598" w:rsidRDefault="007B42D8">
      <w:pPr>
        <w:ind w:firstLine="567"/>
        <w:jc w:val="both"/>
        <w:rPr>
          <w:szCs w:val="28"/>
        </w:rPr>
      </w:pPr>
      <w:r>
        <w:t xml:space="preserve">17. НЕДЕВСКИ, Д. Г. </w:t>
      </w:r>
      <w:r>
        <w:rPr>
          <w:i/>
        </w:rPr>
        <w:t>Ядрена, химическа и биологична защита на формированията в съвременните операции.</w:t>
      </w:r>
      <w:r>
        <w:t xml:space="preserve"> София: Военна академия „Г. С. Раковски“, 2020. ISBN 978-619-7478-47-1.</w:t>
      </w:r>
    </w:p>
    <w:p w:rsidR="00CB2E8B" w:rsidRPr="00EE2598" w:rsidRDefault="007B42D8">
      <w:pPr>
        <w:ind w:firstLine="567"/>
        <w:jc w:val="both"/>
        <w:rPr>
          <w:szCs w:val="28"/>
        </w:rPr>
      </w:pPr>
      <w:r>
        <w:t xml:space="preserve">18. </w:t>
      </w:r>
      <w:r>
        <w:rPr>
          <w:i/>
        </w:rPr>
        <w:t>Справочник за прогнозиране и оценка на ядрената, химическата и биологическата обстановка. Опростени процедури.</w:t>
      </w:r>
      <w:r>
        <w:t xml:space="preserve"> София: Военно издателство, 2022.</w:t>
      </w:r>
    </w:p>
    <w:p w:rsidR="00CB2E8B" w:rsidRPr="00EE2598" w:rsidRDefault="007B42D8">
      <w:pPr>
        <w:rPr>
          <w:i/>
        </w:rPr>
      </w:pPr>
      <w:r w:rsidRPr="00EE2598">
        <w:rPr>
          <w:i/>
          <w:sz w:val="16"/>
          <w:lang w:val="bg-BG"/>
        </w:rPr>
        <w:t xml:space="preserve"> </w:t>
      </w:r>
    </w:p>
    <w:p w:rsidR="00CB2E8B" w:rsidRPr="00EE2598" w:rsidRDefault="005E3E23">
      <w:pPr>
        <w:rPr>
          <w:i/>
        </w:rPr>
      </w:pPr>
      <w:r w:rsidRPr="00EE2598">
        <w:rPr>
          <w:i/>
          <w:sz w:val="24"/>
          <w:lang w:val="bg-BG"/>
        </w:rPr>
        <w:t>Свилена Севдалинова Арабаджиева</w:t>
      </w:r>
    </w:p>
    <w:p w:rsidR="00CB2E8B" w:rsidRPr="00EE2598" w:rsidRDefault="005E3E23">
      <w:pPr>
        <w:rPr>
          <w:i/>
        </w:rPr>
      </w:pPr>
      <w:r w:rsidRPr="00EE2598">
        <w:rPr>
          <w:i/>
          <w:sz w:val="24"/>
          <w:lang w:val="bg-BG"/>
        </w:rPr>
        <w:t>Академия на МВР</w:t>
      </w:r>
    </w:p>
    <w:p w:rsidR="00CB2E8B" w:rsidRPr="00EE2598" w:rsidRDefault="005E3E23">
      <w:pPr>
        <w:rPr>
          <w:i/>
          <w:sz w:val="24"/>
        </w:rPr>
      </w:pPr>
      <w:r w:rsidRPr="00EE2598">
        <w:rPr>
          <w:i/>
          <w:sz w:val="24"/>
          <w:lang w:val="bg-BG"/>
        </w:rPr>
        <w:t xml:space="preserve">гр. София, ул. „Пиротска“ № 171, +35929821026, </w:t>
      </w:r>
      <w:hyperlink r:id="rId10" w:history="1">
        <w:r w:rsidRPr="00EE2598">
          <w:rPr>
            <w:rStyle w:val="Hyperlink"/>
            <w:i/>
            <w:color w:val="auto"/>
            <w:sz w:val="24"/>
            <w:u w:val="none"/>
          </w:rPr>
          <w:t>ssarab@mail.bg</w:t>
        </w:r>
      </w:hyperlink>
    </w:p>
    <w:p w:rsidR="005E3E23" w:rsidRPr="00EE2598" w:rsidRDefault="005E3E23">
      <w:pPr>
        <w:rPr>
          <w:i/>
          <w:sz w:val="24"/>
        </w:rPr>
      </w:pPr>
    </w:p>
    <w:p w:rsidR="005E3E23" w:rsidRPr="00EE2598" w:rsidRDefault="005E3E23">
      <w:pPr>
        <w:rPr>
          <w:i/>
          <w:sz w:val="24"/>
          <w:lang w:val="bg-BG"/>
        </w:rPr>
      </w:pPr>
      <w:r w:rsidRPr="00EE2598">
        <w:rPr>
          <w:i/>
          <w:sz w:val="24"/>
          <w:lang w:val="bg-BG"/>
        </w:rPr>
        <w:t>Дамян Славчев Бешевлиев</w:t>
      </w:r>
    </w:p>
    <w:p w:rsidR="005E3E23" w:rsidRPr="00EE2598" w:rsidRDefault="005E3E23">
      <w:pPr>
        <w:rPr>
          <w:i/>
          <w:sz w:val="24"/>
          <w:lang w:val="bg-BG"/>
        </w:rPr>
      </w:pPr>
      <w:r w:rsidRPr="00EE2598">
        <w:rPr>
          <w:i/>
          <w:sz w:val="24"/>
          <w:lang w:val="bg-BG"/>
        </w:rPr>
        <w:t>Национален военен университет „Васил Левски“</w:t>
      </w:r>
    </w:p>
    <w:p w:rsidR="005E3E23" w:rsidRPr="00EE2598" w:rsidRDefault="005E3E23">
      <w:pPr>
        <w:rPr>
          <w:i/>
          <w:sz w:val="24"/>
        </w:rPr>
      </w:pPr>
      <w:r w:rsidRPr="00EE2598">
        <w:rPr>
          <w:i/>
          <w:sz w:val="24"/>
          <w:lang w:val="bg-BG"/>
        </w:rPr>
        <w:t>гр. Велико Търново, бул. „България“ № 76, +35962618822</w:t>
      </w:r>
      <w:r w:rsidRPr="00EE2598">
        <w:rPr>
          <w:i/>
          <w:sz w:val="24"/>
        </w:rPr>
        <w:t xml:space="preserve">, </w:t>
      </w:r>
      <w:hyperlink r:id="rId11" w:history="1">
        <w:r w:rsidRPr="00EE2598">
          <w:rPr>
            <w:rStyle w:val="Hyperlink"/>
            <w:i/>
            <w:color w:val="auto"/>
            <w:sz w:val="24"/>
            <w:u w:val="none"/>
          </w:rPr>
          <w:t>dsbeshevliev@nvu.bg</w:t>
        </w:r>
      </w:hyperlink>
      <w:r w:rsidRPr="00EE2598">
        <w:rPr>
          <w:i/>
          <w:sz w:val="24"/>
        </w:rPr>
        <w:t xml:space="preserve"> </w:t>
      </w:r>
    </w:p>
    <w:sectPr w:rsidR="005E3E23" w:rsidRPr="00EE2598" w:rsidSect="00034616">
      <w:pgSz w:w="11906" w:h="16838"/>
      <w:pgMar w:top="1134" w:right="1134" w:bottom="850" w:left="1701"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ABE" w:rsidRDefault="007A5ABE" w:rsidP="003D4A68">
      <w:r>
        <w:separator/>
      </w:r>
    </w:p>
  </w:endnote>
  <w:endnote w:type="continuationSeparator" w:id="0">
    <w:p w:rsidR="007A5ABE" w:rsidRDefault="007A5ABE" w:rsidP="003D4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ABE" w:rsidRDefault="007A5ABE" w:rsidP="003D4A68">
      <w:r>
        <w:separator/>
      </w:r>
    </w:p>
  </w:footnote>
  <w:footnote w:type="continuationSeparator" w:id="0">
    <w:p w:rsidR="007A5ABE" w:rsidRDefault="007A5ABE" w:rsidP="003D4A68">
      <w:r>
        <w:continuationSeparator/>
      </w:r>
    </w:p>
  </w:footnote>
  <w:footnote w:id="1">
    <w:p w:rsidR="003D4A68" w:rsidRPr="003D4A68" w:rsidRDefault="003D4A68">
      <w:pPr>
        <w:pStyle w:val="FootnoteText"/>
        <w:rPr>
          <w:lang w:val="bg-BG"/>
        </w:rPr>
      </w:pPr>
      <w:r>
        <w:rPr>
          <w:rStyle w:val="FootnoteReference"/>
        </w:rPr>
        <w:footnoteRef/>
      </w:r>
      <w:r>
        <w:t xml:space="preserve"> </w:t>
      </w:r>
      <w:r>
        <w:rPr>
          <w:lang w:val="bg-BG"/>
        </w:rPr>
        <w:t xml:space="preserve">ЯХБР - </w:t>
      </w:r>
      <w:proofErr w:type="spellStart"/>
      <w:r w:rsidRPr="003D4A68">
        <w:t>ядрен</w:t>
      </w:r>
      <w:proofErr w:type="spellEnd"/>
      <w:r w:rsidRPr="003D4A68">
        <w:t xml:space="preserve">, </w:t>
      </w:r>
      <w:proofErr w:type="spellStart"/>
      <w:r w:rsidRPr="003D4A68">
        <w:t>химичен</w:t>
      </w:r>
      <w:proofErr w:type="spellEnd"/>
      <w:r w:rsidRPr="003D4A68">
        <w:t xml:space="preserve">, </w:t>
      </w:r>
      <w:proofErr w:type="spellStart"/>
      <w:r w:rsidRPr="003D4A68">
        <w:t>биологичен</w:t>
      </w:r>
      <w:proofErr w:type="spellEnd"/>
      <w:r w:rsidRPr="003D4A68">
        <w:t xml:space="preserve"> </w:t>
      </w:r>
      <w:proofErr w:type="spellStart"/>
      <w:r w:rsidRPr="003D4A68">
        <w:t>или</w:t>
      </w:r>
      <w:proofErr w:type="spellEnd"/>
      <w:r w:rsidRPr="003D4A68">
        <w:t xml:space="preserve"> </w:t>
      </w:r>
      <w:proofErr w:type="spellStart"/>
      <w:r w:rsidRPr="003D4A68">
        <w:t>радиологичен</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29A552D"/>
    <w:multiLevelType w:val="hybridMultilevel"/>
    <w:tmpl w:val="645817AC"/>
    <w:lvl w:ilvl="0" w:tplc="F2C29C66">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258E"/>
    <w:rsid w:val="0015074B"/>
    <w:rsid w:val="00200E30"/>
    <w:rsid w:val="0029639D"/>
    <w:rsid w:val="00326F90"/>
    <w:rsid w:val="003D4A68"/>
    <w:rsid w:val="005333DC"/>
    <w:rsid w:val="005E3E23"/>
    <w:rsid w:val="006074FE"/>
    <w:rsid w:val="00642B2D"/>
    <w:rsid w:val="00655AF8"/>
    <w:rsid w:val="007A5ABE"/>
    <w:rsid w:val="007B42D8"/>
    <w:rsid w:val="007F264E"/>
    <w:rsid w:val="00885DA5"/>
    <w:rsid w:val="008A2B60"/>
    <w:rsid w:val="00AA1D8D"/>
    <w:rsid w:val="00B47730"/>
    <w:rsid w:val="00C17730"/>
    <w:rsid w:val="00C71B29"/>
    <w:rsid w:val="00CB0664"/>
    <w:rsid w:val="00CB2E8B"/>
    <w:rsid w:val="00EE2598"/>
    <w:rsid w:val="00F92D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000000"/>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E3E23"/>
    <w:rPr>
      <w:color w:val="0000FF" w:themeColor="hyperlink"/>
      <w:u w:val="single"/>
    </w:rPr>
  </w:style>
  <w:style w:type="paragraph" w:styleId="FootnoteText">
    <w:name w:val="footnote text"/>
    <w:basedOn w:val="Normal"/>
    <w:link w:val="FootnoteTextChar"/>
    <w:uiPriority w:val="99"/>
    <w:semiHidden/>
    <w:unhideWhenUsed/>
    <w:rsid w:val="003D4A68"/>
    <w:rPr>
      <w:sz w:val="20"/>
      <w:szCs w:val="20"/>
    </w:rPr>
  </w:style>
  <w:style w:type="character" w:customStyle="1" w:styleId="FootnoteTextChar">
    <w:name w:val="Footnote Text Char"/>
    <w:basedOn w:val="DefaultParagraphFont"/>
    <w:link w:val="FootnoteText"/>
    <w:uiPriority w:val="99"/>
    <w:semiHidden/>
    <w:rsid w:val="003D4A68"/>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3D4A68"/>
    <w:rPr>
      <w:vertAlign w:val="superscript"/>
    </w:rPr>
  </w:style>
  <w:style w:type="paragraph" w:styleId="BalloonText">
    <w:name w:val="Balloon Text"/>
    <w:basedOn w:val="Normal"/>
    <w:link w:val="BalloonTextChar"/>
    <w:uiPriority w:val="99"/>
    <w:semiHidden/>
    <w:unhideWhenUsed/>
    <w:rsid w:val="00655AF8"/>
    <w:rPr>
      <w:rFonts w:ascii="Tahoma" w:hAnsi="Tahoma" w:cs="Tahoma"/>
      <w:sz w:val="16"/>
      <w:szCs w:val="16"/>
    </w:rPr>
  </w:style>
  <w:style w:type="character" w:customStyle="1" w:styleId="BalloonTextChar">
    <w:name w:val="Balloon Text Char"/>
    <w:basedOn w:val="DefaultParagraphFont"/>
    <w:link w:val="BalloonText"/>
    <w:uiPriority w:val="99"/>
    <w:semiHidden/>
    <w:rsid w:val="00655AF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000000"/>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E3E23"/>
    <w:rPr>
      <w:color w:val="0000FF" w:themeColor="hyperlink"/>
      <w:u w:val="single"/>
    </w:rPr>
  </w:style>
  <w:style w:type="paragraph" w:styleId="FootnoteText">
    <w:name w:val="footnote text"/>
    <w:basedOn w:val="Normal"/>
    <w:link w:val="FootnoteTextChar"/>
    <w:uiPriority w:val="99"/>
    <w:semiHidden/>
    <w:unhideWhenUsed/>
    <w:rsid w:val="003D4A68"/>
    <w:rPr>
      <w:sz w:val="20"/>
      <w:szCs w:val="20"/>
    </w:rPr>
  </w:style>
  <w:style w:type="character" w:customStyle="1" w:styleId="FootnoteTextChar">
    <w:name w:val="Footnote Text Char"/>
    <w:basedOn w:val="DefaultParagraphFont"/>
    <w:link w:val="FootnoteText"/>
    <w:uiPriority w:val="99"/>
    <w:semiHidden/>
    <w:rsid w:val="003D4A68"/>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3D4A68"/>
    <w:rPr>
      <w:vertAlign w:val="superscript"/>
    </w:rPr>
  </w:style>
  <w:style w:type="paragraph" w:styleId="BalloonText">
    <w:name w:val="Balloon Text"/>
    <w:basedOn w:val="Normal"/>
    <w:link w:val="BalloonTextChar"/>
    <w:uiPriority w:val="99"/>
    <w:semiHidden/>
    <w:unhideWhenUsed/>
    <w:rsid w:val="00655AF8"/>
    <w:rPr>
      <w:rFonts w:ascii="Tahoma" w:hAnsi="Tahoma" w:cs="Tahoma"/>
      <w:sz w:val="16"/>
      <w:szCs w:val="16"/>
    </w:rPr>
  </w:style>
  <w:style w:type="character" w:customStyle="1" w:styleId="BalloonTextChar">
    <w:name w:val="Balloon Text Char"/>
    <w:basedOn w:val="DefaultParagraphFont"/>
    <w:link w:val="BalloonText"/>
    <w:uiPriority w:val="99"/>
    <w:semiHidden/>
    <w:rsid w:val="00655AF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sbeshevliev@nvu.bg" TargetMode="External"/><Relationship Id="rId5" Type="http://schemas.openxmlformats.org/officeDocument/2006/relationships/settings" Target="settings.xml"/><Relationship Id="rId10" Type="http://schemas.openxmlformats.org/officeDocument/2006/relationships/hyperlink" Target="mailto:ssarab@mail.bg"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E24A0-4BA1-448B-BAB1-3D7B91BCF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12</Pages>
  <Words>4493</Words>
  <Characters>25611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ВЗАИМОДЕЙСТВИЕ И КООРДИНАЦИЯ МЕЖДУ НАЦИОНАЛНИТЕ СЛУЖБИ ЗА ЗАЩИТА НА НАСЕЛЕНИЕТО И СИЛИТЕ НА НАТО ПРИ ЯХБ ОПАСЕН ИНЦИДЕНТ В УСЛОВИЯТА НА ПРОВЕЖДАНЕ НА СЪЮЗНА ОПЕРАЦИЯ В ОТГОВОР НА КРИЗА ПО ЧЛ. 5 ОТ ВАШИНГТОНСКИЯ ДОГОВОР</vt:lpstr>
    </vt:vector>
  </TitlesOfParts>
  <Manager/>
  <Company/>
  <LinksUpToDate>false</LinksUpToDate>
  <CharactersWithSpaces>30044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ВЗАИМОДЕЙСТВИЕ И КООРДИНАЦИЯ МЕЖДУ НАЦИОНАЛНИТЕ СЛУЖБИ ЗА ЗАЩИТА НА НАСЕЛЕНИЕТО И СИЛИТЕ НА НАТО ПРИ ЯХБ ОПАСЕН ИНЦИДЕНТ В УСЛОВИЯТА НА ПРОВЕЖДАНЕ НА СЪЮЗНА ОПЕРАЦИЯ В ОТГОВОР НА КРИЗА ПО ЧЛ. 5 ОТ ВАШИНГТОНСКИЯ ДОГОВОР</dc:title>
  <dc:subject>Научен доклад, оформен по NMU Conference Template BG</dc:subject>
  <dc:creator/>
  <cp:keywords/>
  <dc:description>generated by python-docx</dc:description>
  <cp:lastModifiedBy>Svilena</cp:lastModifiedBy>
  <cp:revision>10</cp:revision>
  <dcterms:created xsi:type="dcterms:W3CDTF">2013-12-23T23:15:00Z</dcterms:created>
  <dcterms:modified xsi:type="dcterms:W3CDTF">2026-09-12T08:34:00Z</dcterms:modified>
  <cp:category/>
</cp:coreProperties>
</file>