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E7E26" w14:textId="48486EE6" w:rsidR="008D1109" w:rsidRPr="00471759" w:rsidRDefault="00AA0E84" w:rsidP="00471759">
      <w:pPr>
        <w:jc w:val="center"/>
        <w:rPr>
          <w:b/>
          <w:bCs/>
          <w:sz w:val="32"/>
          <w:szCs w:val="32"/>
        </w:rPr>
      </w:pPr>
      <w:r w:rsidRPr="00AA0E84">
        <w:rPr>
          <w:b/>
          <w:bCs/>
          <w:sz w:val="32"/>
          <w:szCs w:val="32"/>
        </w:rPr>
        <w:t>ДОКТРИНАТА ,,СИНЯ РОДИНА" И БЪДЕЩЕТО НА ЕГЕЙСКИТЕ ОСТРОВИ</w:t>
      </w:r>
    </w:p>
    <w:p w14:paraId="2E7EBC72" w14:textId="77777777" w:rsidR="003B4BBC" w:rsidRDefault="003B4BBC" w:rsidP="00E019C5">
      <w:pPr>
        <w:jc w:val="center"/>
        <w:rPr>
          <w:szCs w:val="28"/>
        </w:rPr>
      </w:pPr>
    </w:p>
    <w:p w14:paraId="0D80780B" w14:textId="1F6076AC" w:rsidR="008D1109" w:rsidRDefault="00AA0E84" w:rsidP="00E019C5">
      <w:pPr>
        <w:jc w:val="center"/>
        <w:rPr>
          <w:b/>
          <w:bCs/>
          <w:sz w:val="32"/>
          <w:szCs w:val="32"/>
        </w:rPr>
      </w:pPr>
      <w:r w:rsidRPr="00A020B6">
        <w:rPr>
          <w:b/>
          <w:bCs/>
          <w:sz w:val="32"/>
          <w:szCs w:val="32"/>
        </w:rPr>
        <w:t>Николай Донков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291CB32" w14:textId="53826DB5" w:rsidR="003B4BBC" w:rsidRPr="006B025F" w:rsidRDefault="00103263" w:rsidP="00471759">
      <w:pPr>
        <w:jc w:val="center"/>
        <w:rPr>
          <w:b/>
          <w:bCs/>
          <w:sz w:val="32"/>
          <w:szCs w:val="32"/>
        </w:rPr>
      </w:pPr>
      <w:r w:rsidRPr="00A020B6">
        <w:rPr>
          <w:b/>
          <w:bCs/>
          <w:sz w:val="32"/>
          <w:szCs w:val="32"/>
        </w:rPr>
        <w:t>THE BLUE HOMELAND DOCTRINE AND THE FUTURE OF THE AEGEAN ISLANDS</w:t>
      </w:r>
    </w:p>
    <w:p w14:paraId="22751C3F" w14:textId="2A3FBF33" w:rsidR="008D1109" w:rsidRDefault="008D1109" w:rsidP="00E019C5">
      <w:pPr>
        <w:jc w:val="center"/>
        <w:rPr>
          <w:szCs w:val="28"/>
          <w:lang w:val="en-US"/>
        </w:rPr>
      </w:pPr>
    </w:p>
    <w:p w14:paraId="0539B7B2" w14:textId="657E60FD" w:rsidR="003B4BBC" w:rsidRPr="0010060B" w:rsidRDefault="00103263" w:rsidP="003B4BBC">
      <w:pPr>
        <w:spacing w:before="100" w:beforeAutospacing="1" w:after="100" w:afterAutospacing="1"/>
        <w:contextualSpacing/>
        <w:jc w:val="center"/>
        <w:rPr>
          <w:szCs w:val="28"/>
        </w:rPr>
      </w:pPr>
      <w:r w:rsidRPr="00103263">
        <w:rPr>
          <w:b/>
          <w:bCs/>
          <w:sz w:val="32"/>
          <w:szCs w:val="32"/>
          <w:lang w:val="en-US"/>
        </w:rPr>
        <w:t>Nikolay Donkov</w:t>
      </w:r>
      <w:r w:rsidR="003B4BBC">
        <w:rPr>
          <w:b/>
          <w:bCs/>
          <w:sz w:val="32"/>
          <w:szCs w:val="32"/>
          <w:lang w:val="en-US"/>
        </w:rPr>
        <w:t xml:space="preserve"> </w:t>
      </w:r>
    </w:p>
    <w:p w14:paraId="1072AA97" w14:textId="1A070D58" w:rsidR="00274819" w:rsidRDefault="00274819" w:rsidP="00E019C5">
      <w:pPr>
        <w:jc w:val="center"/>
        <w:rPr>
          <w:szCs w:val="28"/>
          <w:lang w:val="en-US"/>
        </w:rPr>
      </w:pPr>
    </w:p>
    <w:p w14:paraId="1B979C13" w14:textId="7B7B4175" w:rsidR="00274819" w:rsidRPr="00213595" w:rsidRDefault="003B4BBC" w:rsidP="003004BD">
      <w:pPr>
        <w:ind w:firstLine="567"/>
        <w:jc w:val="both"/>
        <w:rPr>
          <w:i/>
          <w:iCs/>
          <w:sz w:val="24"/>
          <w:lang w:val="en-US"/>
        </w:rPr>
      </w:pPr>
      <w:r w:rsidRPr="0010060B">
        <w:rPr>
          <w:b/>
          <w:bCs/>
          <w:i/>
          <w:iCs/>
          <w:sz w:val="24"/>
        </w:rPr>
        <w:t>Резюме:</w:t>
      </w:r>
      <w:r w:rsidRPr="0010060B">
        <w:rPr>
          <w:i/>
          <w:iCs/>
          <w:sz w:val="24"/>
        </w:rPr>
        <w:t xml:space="preserve"> </w:t>
      </w:r>
      <w:r w:rsidR="00103263" w:rsidRPr="00103263">
        <w:rPr>
          <w:i/>
          <w:iCs/>
          <w:sz w:val="24"/>
        </w:rPr>
        <w:t>Докладът разглежда турската геополитическа доктрина „Синя Родина“ и отражението ѝ върху бъдещето на егейските острови. Анализират се историческите предпоставки и международноправните аспекти на гръцко-турските спорове за морските граници, териториалните води и демилитаризацията. Очертани са възможни сценарии за развитие на отношенията между Турция и Гърция и последиците им за регионалната сигурност.</w:t>
      </w:r>
    </w:p>
    <w:p w14:paraId="29DBD415" w14:textId="71640005" w:rsidR="00274819" w:rsidRDefault="00274819" w:rsidP="003004BD">
      <w:pPr>
        <w:ind w:firstLine="567"/>
        <w:jc w:val="both"/>
        <w:rPr>
          <w:szCs w:val="28"/>
        </w:rPr>
      </w:pPr>
    </w:p>
    <w:p w14:paraId="2461AA37" w14:textId="33B698D3" w:rsidR="00274819" w:rsidRPr="00103263" w:rsidRDefault="00274819" w:rsidP="003004BD">
      <w:pPr>
        <w:ind w:firstLine="567"/>
        <w:jc w:val="both"/>
        <w:rPr>
          <w:i/>
          <w:iCs/>
          <w:sz w:val="24"/>
        </w:rPr>
      </w:pPr>
      <w:r>
        <w:rPr>
          <w:b/>
          <w:bCs/>
          <w:i/>
          <w:iCs/>
          <w:sz w:val="24"/>
        </w:rPr>
        <w:t>Ключови думи:</w:t>
      </w:r>
      <w:r>
        <w:rPr>
          <w:i/>
          <w:iCs/>
          <w:sz w:val="24"/>
        </w:rPr>
        <w:t xml:space="preserve"> </w:t>
      </w:r>
      <w:r w:rsidR="00103263">
        <w:rPr>
          <w:i/>
          <w:iCs/>
          <w:sz w:val="24"/>
        </w:rPr>
        <w:t>доктрина</w:t>
      </w:r>
      <w:r w:rsidR="00991316">
        <w:rPr>
          <w:i/>
          <w:iCs/>
          <w:sz w:val="24"/>
        </w:rPr>
        <w:t xml:space="preserve"> „Синя родина“</w:t>
      </w:r>
      <w:r w:rsidR="00103263">
        <w:rPr>
          <w:i/>
          <w:iCs/>
          <w:sz w:val="24"/>
        </w:rPr>
        <w:t>, егейски острови, бъдеще</w:t>
      </w:r>
    </w:p>
    <w:p w14:paraId="14068DE0" w14:textId="5A7D97ED" w:rsidR="00274819" w:rsidRDefault="00274819" w:rsidP="003004BD">
      <w:pPr>
        <w:ind w:firstLine="567"/>
        <w:jc w:val="both"/>
        <w:rPr>
          <w:szCs w:val="28"/>
        </w:rPr>
      </w:pPr>
    </w:p>
    <w:p w14:paraId="1F3A38DD" w14:textId="15DC8BCF" w:rsidR="00274819" w:rsidRPr="00471759" w:rsidRDefault="003B4BBC" w:rsidP="003004BD">
      <w:pPr>
        <w:ind w:firstLine="567"/>
        <w:jc w:val="both"/>
        <w:rPr>
          <w:i/>
          <w:iCs/>
          <w:sz w:val="24"/>
        </w:rPr>
      </w:pPr>
      <w:r w:rsidRPr="003B4BBC">
        <w:rPr>
          <w:b/>
          <w:bCs/>
          <w:i/>
          <w:iCs/>
          <w:sz w:val="24"/>
          <w:lang w:val="en-US"/>
        </w:rPr>
        <w:t xml:space="preserve">Abstract: </w:t>
      </w:r>
      <w:r w:rsidR="0072391F" w:rsidRPr="0072391F">
        <w:rPr>
          <w:bCs/>
          <w:i/>
          <w:iCs/>
          <w:sz w:val="24"/>
          <w:lang w:val="en-US"/>
        </w:rPr>
        <w:t xml:space="preserve">This report examines </w:t>
      </w:r>
      <w:r w:rsidR="00991316" w:rsidRPr="00991316">
        <w:rPr>
          <w:bCs/>
          <w:i/>
          <w:iCs/>
          <w:sz w:val="24"/>
          <w:lang w:val="en-US"/>
        </w:rPr>
        <w:t>Türkiye’s geopolitical Blue Homeland doctrine and its implications for the future of the Aegean islands. It analyses the historical background and international legal dimensions of Greek-Turkish disputes over maritime boundaries, territorial waters and demilitarisation. It also outlines possible scenarios for relations between Türkiye and Greece and their consequences for regional security and stability</w:t>
      </w:r>
      <w:r w:rsidR="0072391F" w:rsidRPr="0072391F">
        <w:rPr>
          <w:bCs/>
          <w:i/>
          <w:iCs/>
          <w:sz w:val="24"/>
          <w:lang w:val="en-US"/>
        </w:rPr>
        <w:t>.</w:t>
      </w:r>
    </w:p>
    <w:p w14:paraId="42E0ACE4" w14:textId="405591FA" w:rsidR="00274819" w:rsidRPr="00274819" w:rsidRDefault="00274819" w:rsidP="003004BD">
      <w:pPr>
        <w:ind w:firstLine="567"/>
        <w:jc w:val="both"/>
        <w:rPr>
          <w:szCs w:val="28"/>
          <w:lang w:val="en-US"/>
        </w:rPr>
      </w:pPr>
    </w:p>
    <w:p w14:paraId="023C3CE7" w14:textId="15998021" w:rsidR="00274819" w:rsidRPr="00920591" w:rsidRDefault="00274819" w:rsidP="00920591">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920591" w:rsidRPr="00920591">
        <w:rPr>
          <w:i/>
          <w:iCs/>
          <w:sz w:val="24"/>
        </w:rPr>
        <w:t>Blue Homeland doctrine</w:t>
      </w:r>
      <w:r w:rsidR="00920591">
        <w:rPr>
          <w:i/>
          <w:iCs/>
          <w:sz w:val="24"/>
        </w:rPr>
        <w:t>, А</w:t>
      </w:r>
      <w:r w:rsidR="00920591" w:rsidRPr="00920591">
        <w:rPr>
          <w:i/>
          <w:iCs/>
          <w:sz w:val="24"/>
        </w:rPr>
        <w:t>egean islands</w:t>
      </w:r>
      <w:r w:rsidR="00920591">
        <w:rPr>
          <w:i/>
          <w:iCs/>
          <w:sz w:val="24"/>
        </w:rPr>
        <w:t xml:space="preserve">, </w:t>
      </w:r>
      <w:r w:rsidR="00920591">
        <w:rPr>
          <w:i/>
          <w:iCs/>
          <w:sz w:val="24"/>
          <w:lang w:val="en-US"/>
        </w:rPr>
        <w:t>future</w:t>
      </w:r>
    </w:p>
    <w:p w14:paraId="3842EC14" w14:textId="77777777" w:rsidR="0072391F" w:rsidRPr="009605D7" w:rsidRDefault="0072391F" w:rsidP="0072391F">
      <w:pPr>
        <w:ind w:firstLine="567"/>
        <w:jc w:val="both"/>
        <w:rPr>
          <w:szCs w:val="28"/>
          <w:lang w:val="ru-RU"/>
        </w:rPr>
      </w:pPr>
    </w:p>
    <w:p w14:paraId="1C801EAB" w14:textId="77777777" w:rsidR="00A86955" w:rsidRPr="004C7433" w:rsidRDefault="00A86955" w:rsidP="003004BD">
      <w:pPr>
        <w:ind w:firstLine="567"/>
        <w:rPr>
          <w:szCs w:val="28"/>
        </w:rPr>
      </w:pPr>
    </w:p>
    <w:p w14:paraId="2F1B9C8B" w14:textId="77777777" w:rsidR="00D45D68" w:rsidRPr="00D45D68" w:rsidRDefault="00D45D68" w:rsidP="0072391F">
      <w:pPr>
        <w:ind w:firstLine="567"/>
        <w:jc w:val="both"/>
        <w:rPr>
          <w:b/>
          <w:bCs/>
          <w:szCs w:val="28"/>
        </w:rPr>
      </w:pPr>
      <w:r w:rsidRPr="00D45D68">
        <w:rPr>
          <w:b/>
          <w:bCs/>
          <w:szCs w:val="28"/>
        </w:rPr>
        <w:t>Въведение</w:t>
      </w:r>
    </w:p>
    <w:p w14:paraId="16A6CDC4" w14:textId="77777777" w:rsidR="00920591" w:rsidRPr="00920591" w:rsidRDefault="00920591" w:rsidP="00920591">
      <w:pPr>
        <w:pStyle w:val="af1"/>
        <w:ind w:firstLine="546"/>
        <w:contextualSpacing/>
        <w:jc w:val="both"/>
        <w:rPr>
          <w:sz w:val="28"/>
          <w:szCs w:val="28"/>
        </w:rPr>
      </w:pPr>
      <w:r w:rsidRPr="00920591">
        <w:rPr>
          <w:sz w:val="28"/>
          <w:szCs w:val="28"/>
        </w:rPr>
        <w:t>Егейско море представлява едно от най-сложните геополитически пространства в Източното Средиземноморие. Неговата специфична география, характеризираща се с множество острови и с непосредствена близост между гръцките островни територии и турското крайбрежие, поражда противоречия относно разпределението на морските пространства и упражняването на суверенни права. Официалните позиции на Гърция и Турция показват, че двете държави се различават не само по предлаганите решения, но и по определянето на самия предмет на спора. Атина приема, че основният правен въпрос е делимитацията на континенталния шелф и изключителната икономическа зона, докато Анкара разглежда като взаимносвързани проблеми териториалните води, континенталния шелф, въздушното пространство, полетно-информационния район, демилитаризацията и суверенитета над определени острови, островчета и скали [1, 2].</w:t>
      </w:r>
    </w:p>
    <w:p w14:paraId="18309486" w14:textId="77777777" w:rsidR="00920591" w:rsidRPr="00920591" w:rsidRDefault="00920591" w:rsidP="00920591">
      <w:pPr>
        <w:pStyle w:val="af1"/>
        <w:ind w:firstLine="546"/>
        <w:contextualSpacing/>
        <w:jc w:val="both"/>
        <w:rPr>
          <w:sz w:val="28"/>
          <w:szCs w:val="28"/>
        </w:rPr>
      </w:pPr>
      <w:r w:rsidRPr="00920591">
        <w:rPr>
          <w:sz w:val="28"/>
          <w:szCs w:val="28"/>
        </w:rPr>
        <w:t xml:space="preserve">В тази среда се развива доктрината „Синя Родина“ (Mavi Vatan), формулирана в турските военноморски и стратегически среди през 2006 г. </w:t>
      </w:r>
      <w:r w:rsidRPr="00920591">
        <w:rPr>
          <w:sz w:val="28"/>
          <w:szCs w:val="28"/>
        </w:rPr>
        <w:lastRenderedPageBreak/>
        <w:t>Постепенно тя се превръща от професионална концепция за морска мощ във влиятелна политическа рамка, която свързва сигурността и международното влияние на Турция със защитата на заявените от нея права и интереси в Черно, Егейско и Средиземно море [3, 4]. Нейното значение за егейските острови произтича не от възможността едностранно да промени техния договорно установен статут, а от влиянието ѝ върху турската позиция относно морските зони, демилитаризацията, военноморското присъствие и регионалния баланс на силите.</w:t>
      </w:r>
    </w:p>
    <w:p w14:paraId="1ABE94A0" w14:textId="77777777" w:rsidR="00920591" w:rsidRPr="00920591" w:rsidRDefault="00920591" w:rsidP="00920591">
      <w:pPr>
        <w:pStyle w:val="af1"/>
        <w:ind w:firstLine="546"/>
        <w:contextualSpacing/>
        <w:jc w:val="both"/>
        <w:rPr>
          <w:sz w:val="28"/>
          <w:szCs w:val="28"/>
        </w:rPr>
      </w:pPr>
      <w:r w:rsidRPr="00920591">
        <w:rPr>
          <w:sz w:val="28"/>
          <w:szCs w:val="28"/>
        </w:rPr>
        <w:t>Обект на настоящото изследване са гръцко-турските отношения в Егейско море, а негов предмет е въздействието на доктрината „Синя Родина“ върху правната, политическата и стратегическата среда около егейските острови. Целта на доклада е да установи по какъв начин доктрината променя характера на съществуващите противоречия и кои са възможните сценарии за бъдещото развитие на островния въпрос.</w:t>
      </w:r>
    </w:p>
    <w:p w14:paraId="6647E40C" w14:textId="77777777" w:rsidR="00920591" w:rsidRDefault="00920591" w:rsidP="00920591">
      <w:pPr>
        <w:pStyle w:val="af1"/>
        <w:ind w:firstLine="546"/>
        <w:contextualSpacing/>
        <w:jc w:val="both"/>
        <w:rPr>
          <w:sz w:val="28"/>
          <w:szCs w:val="28"/>
        </w:rPr>
      </w:pPr>
      <w:r w:rsidRPr="00920591">
        <w:rPr>
          <w:sz w:val="28"/>
          <w:szCs w:val="28"/>
        </w:rPr>
        <w:t>За постигането на тази цел се поставят няколко основни задачи:</w:t>
      </w:r>
    </w:p>
    <w:p w14:paraId="2F198F5F" w14:textId="77777777" w:rsidR="00920591" w:rsidRDefault="00920591" w:rsidP="00920591">
      <w:pPr>
        <w:pStyle w:val="af1"/>
        <w:numPr>
          <w:ilvl w:val="0"/>
          <w:numId w:val="4"/>
        </w:numPr>
        <w:contextualSpacing/>
        <w:jc w:val="both"/>
        <w:rPr>
          <w:sz w:val="28"/>
          <w:szCs w:val="28"/>
        </w:rPr>
      </w:pPr>
      <w:r>
        <w:rPr>
          <w:sz w:val="28"/>
          <w:szCs w:val="28"/>
        </w:rPr>
        <w:t>Д</w:t>
      </w:r>
      <w:r w:rsidRPr="00920591">
        <w:rPr>
          <w:sz w:val="28"/>
          <w:szCs w:val="28"/>
        </w:rPr>
        <w:t xml:space="preserve">а се проследят възникването и развитието на доктрината; </w:t>
      </w:r>
    </w:p>
    <w:p w14:paraId="3E061969" w14:textId="77777777" w:rsidR="00920591" w:rsidRDefault="00920591" w:rsidP="00920591">
      <w:pPr>
        <w:pStyle w:val="af1"/>
        <w:numPr>
          <w:ilvl w:val="0"/>
          <w:numId w:val="4"/>
        </w:numPr>
        <w:contextualSpacing/>
        <w:jc w:val="both"/>
        <w:rPr>
          <w:sz w:val="28"/>
          <w:szCs w:val="28"/>
        </w:rPr>
      </w:pPr>
      <w:r>
        <w:rPr>
          <w:sz w:val="28"/>
          <w:szCs w:val="28"/>
        </w:rPr>
        <w:t>Д</w:t>
      </w:r>
      <w:r w:rsidRPr="00920591">
        <w:rPr>
          <w:sz w:val="28"/>
          <w:szCs w:val="28"/>
        </w:rPr>
        <w:t xml:space="preserve">а се представи договорната и международноправната рамка на егейските спорове; </w:t>
      </w:r>
    </w:p>
    <w:p w14:paraId="4F7D8F7B" w14:textId="77777777" w:rsidR="00920591" w:rsidRDefault="00920591" w:rsidP="00920591">
      <w:pPr>
        <w:pStyle w:val="af1"/>
        <w:numPr>
          <w:ilvl w:val="0"/>
          <w:numId w:val="4"/>
        </w:numPr>
        <w:contextualSpacing/>
        <w:jc w:val="both"/>
        <w:rPr>
          <w:sz w:val="28"/>
          <w:szCs w:val="28"/>
        </w:rPr>
      </w:pPr>
      <w:r>
        <w:rPr>
          <w:sz w:val="28"/>
          <w:szCs w:val="28"/>
        </w:rPr>
        <w:t>Д</w:t>
      </w:r>
      <w:r w:rsidRPr="00920591">
        <w:rPr>
          <w:sz w:val="28"/>
          <w:szCs w:val="28"/>
        </w:rPr>
        <w:t xml:space="preserve">а се сравнят официалните позиции на Гърция и Турция; да се оцени отражението на доктрината върху сигурността и морските права; </w:t>
      </w:r>
    </w:p>
    <w:p w14:paraId="3A18BE87" w14:textId="77777777" w:rsidR="00920591" w:rsidRDefault="00920591" w:rsidP="00920591">
      <w:pPr>
        <w:pStyle w:val="af1"/>
        <w:numPr>
          <w:ilvl w:val="0"/>
          <w:numId w:val="4"/>
        </w:numPr>
        <w:contextualSpacing/>
        <w:jc w:val="both"/>
        <w:rPr>
          <w:sz w:val="28"/>
          <w:szCs w:val="28"/>
        </w:rPr>
      </w:pPr>
      <w:r>
        <w:rPr>
          <w:sz w:val="28"/>
          <w:szCs w:val="28"/>
        </w:rPr>
        <w:t>Д</w:t>
      </w:r>
      <w:r w:rsidRPr="00920591">
        <w:rPr>
          <w:sz w:val="28"/>
          <w:szCs w:val="28"/>
        </w:rPr>
        <w:t xml:space="preserve">а се формулират вероятни сценарии за развитие. </w:t>
      </w:r>
    </w:p>
    <w:p w14:paraId="1C587D97" w14:textId="70BBAFDE" w:rsidR="00920591" w:rsidRPr="00920591" w:rsidRDefault="00920591" w:rsidP="00920591">
      <w:pPr>
        <w:pStyle w:val="af1"/>
        <w:ind w:firstLine="546"/>
        <w:contextualSpacing/>
        <w:jc w:val="both"/>
        <w:rPr>
          <w:sz w:val="28"/>
          <w:szCs w:val="28"/>
        </w:rPr>
      </w:pPr>
      <w:r w:rsidRPr="00920591">
        <w:rPr>
          <w:sz w:val="28"/>
          <w:szCs w:val="28"/>
        </w:rPr>
        <w:t>Изследването използва исторически, сравнителен и нормативно</w:t>
      </w:r>
      <w:r>
        <w:rPr>
          <w:sz w:val="28"/>
          <w:szCs w:val="28"/>
        </w:rPr>
        <w:t>-</w:t>
      </w:r>
      <w:r w:rsidRPr="00920591">
        <w:rPr>
          <w:sz w:val="28"/>
          <w:szCs w:val="28"/>
        </w:rPr>
        <w:t>правен анализ, допълнен от сценар</w:t>
      </w:r>
      <w:r>
        <w:rPr>
          <w:sz w:val="28"/>
          <w:szCs w:val="28"/>
        </w:rPr>
        <w:t>и</w:t>
      </w:r>
      <w:r w:rsidRPr="00920591">
        <w:rPr>
          <w:sz w:val="28"/>
          <w:szCs w:val="28"/>
        </w:rPr>
        <w:t>ен подход. Един от основните нормативни ориентири е Конвенцията на ООН по морско право, която урежда териториалното море, континенталния шелф, изключителната икономическа зона и режима на островите [5].</w:t>
      </w:r>
    </w:p>
    <w:p w14:paraId="36E76A18" w14:textId="7705A88A" w:rsidR="003B4BBC" w:rsidRDefault="00920591" w:rsidP="00920591">
      <w:pPr>
        <w:pStyle w:val="af1"/>
        <w:spacing w:before="0" w:beforeAutospacing="0" w:after="0" w:afterAutospacing="0"/>
        <w:ind w:firstLine="546"/>
        <w:contextualSpacing/>
        <w:jc w:val="both"/>
        <w:rPr>
          <w:sz w:val="28"/>
          <w:szCs w:val="28"/>
        </w:rPr>
      </w:pPr>
      <w:r w:rsidRPr="00920591">
        <w:rPr>
          <w:sz w:val="28"/>
          <w:szCs w:val="28"/>
        </w:rPr>
        <w:t xml:space="preserve">Работната </w:t>
      </w:r>
      <w:r w:rsidR="00F45CCC">
        <w:rPr>
          <w:sz w:val="28"/>
          <w:szCs w:val="28"/>
        </w:rPr>
        <w:t xml:space="preserve">хипотеза </w:t>
      </w:r>
      <w:r w:rsidRPr="00920591">
        <w:rPr>
          <w:sz w:val="28"/>
          <w:szCs w:val="28"/>
        </w:rPr>
        <w:t xml:space="preserve">теза </w:t>
      </w:r>
      <w:r w:rsidR="008E6E78">
        <w:rPr>
          <w:sz w:val="28"/>
          <w:szCs w:val="28"/>
        </w:rPr>
        <w:t xml:space="preserve">на настоящото изследване </w:t>
      </w:r>
      <w:r w:rsidRPr="00920591">
        <w:rPr>
          <w:sz w:val="28"/>
          <w:szCs w:val="28"/>
        </w:rPr>
        <w:t xml:space="preserve">е, че </w:t>
      </w:r>
      <w:r w:rsidR="00F45CCC">
        <w:rPr>
          <w:sz w:val="28"/>
          <w:szCs w:val="28"/>
        </w:rPr>
        <w:t xml:space="preserve">Доктрината </w:t>
      </w:r>
      <w:r w:rsidRPr="00920591">
        <w:rPr>
          <w:sz w:val="28"/>
          <w:szCs w:val="28"/>
        </w:rPr>
        <w:t>„Синя Родина“ не променя сама по себе си суверенитета над егейските острови, но засилва споровете за морските пространства и регионалната сигурност. Поради това най-вероятното им бъдеще е свързано със запазване на гръцкия суверенитет при продължаваща стратегическа конкуренция, чието управление ще зависи от възпирането, двустранния диалог и механизмите за мирно разрешаване на спорове.</w:t>
      </w:r>
    </w:p>
    <w:p w14:paraId="494EA7E4" w14:textId="77777777" w:rsidR="00192717" w:rsidRDefault="00192717" w:rsidP="00192717">
      <w:pPr>
        <w:ind w:firstLine="567"/>
        <w:jc w:val="both"/>
        <w:rPr>
          <w:szCs w:val="28"/>
        </w:rPr>
      </w:pPr>
    </w:p>
    <w:p w14:paraId="08027757" w14:textId="7A4FADCE" w:rsidR="004C7433" w:rsidRPr="00F45CCC" w:rsidRDefault="00F45CCC" w:rsidP="00F45CCC">
      <w:pPr>
        <w:pStyle w:val="a3"/>
        <w:numPr>
          <w:ilvl w:val="0"/>
          <w:numId w:val="5"/>
        </w:numPr>
        <w:jc w:val="both"/>
        <w:rPr>
          <w:rStyle w:val="af2"/>
          <w:rFonts w:eastAsiaTheme="majorEastAsia"/>
          <w:szCs w:val="28"/>
        </w:rPr>
      </w:pPr>
      <w:r w:rsidRPr="00F45CCC">
        <w:rPr>
          <w:rStyle w:val="af2"/>
          <w:rFonts w:eastAsiaTheme="majorEastAsia"/>
          <w:szCs w:val="28"/>
        </w:rPr>
        <w:t>Възникване и развитие на доктрината „Синя родина“</w:t>
      </w:r>
      <w:r w:rsidR="007E0E0A" w:rsidRPr="00F45CCC">
        <w:rPr>
          <w:rStyle w:val="af2"/>
          <w:rFonts w:eastAsiaTheme="majorEastAsia"/>
          <w:szCs w:val="28"/>
        </w:rPr>
        <w:t>.</w:t>
      </w:r>
    </w:p>
    <w:p w14:paraId="7E616AEB" w14:textId="77DF85E3" w:rsidR="00F45CCC" w:rsidRPr="00F45CCC" w:rsidRDefault="00F45CCC" w:rsidP="00F45CCC">
      <w:pPr>
        <w:pStyle w:val="a3"/>
        <w:ind w:left="927"/>
        <w:jc w:val="both"/>
        <w:rPr>
          <w:rStyle w:val="af2"/>
          <w:rFonts w:eastAsiaTheme="majorEastAsia"/>
          <w:szCs w:val="28"/>
        </w:rPr>
      </w:pPr>
      <w:r>
        <w:rPr>
          <w:rStyle w:val="af2"/>
          <w:rFonts w:eastAsiaTheme="majorEastAsia"/>
          <w:szCs w:val="28"/>
        </w:rPr>
        <w:t>1.1.</w:t>
      </w:r>
      <w:r w:rsidRPr="00F45CCC">
        <w:t xml:space="preserve"> </w:t>
      </w:r>
      <w:r w:rsidRPr="00F45CCC">
        <w:rPr>
          <w:rStyle w:val="af2"/>
          <w:rFonts w:eastAsiaTheme="majorEastAsia"/>
          <w:szCs w:val="28"/>
        </w:rPr>
        <w:t>Произход на концепцията</w:t>
      </w:r>
      <w:r>
        <w:rPr>
          <w:rStyle w:val="af2"/>
          <w:rFonts w:eastAsiaTheme="majorEastAsia"/>
          <w:szCs w:val="28"/>
        </w:rPr>
        <w:t>.</w:t>
      </w:r>
    </w:p>
    <w:p w14:paraId="300E0385"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 xml:space="preserve">Произходът на доктрината „Синя Родина“ трябва да се търси в турските военноморски и стратегически среди от средата на първото десетилетие на XXI век. Концепцията не възниква първоначално като официална политика на Партията на справедливостта и развитието, а като израз на опасенията на част от турския военноморски елит, че развитието на международноправните режими в Егейско море и Източното Средиземноморие може да ограничи достъпа на Турция до значителни морски пространства. Сред факторите, които оказват влияние върху това мислене, са присъединяването на Република Кипър към Европейския съюз, сключването на споразумения за морска делимитация в региона и т.нар. </w:t>
      </w:r>
      <w:r w:rsidRPr="00F45CCC">
        <w:rPr>
          <w:rStyle w:val="af2"/>
          <w:rFonts w:eastAsiaTheme="majorEastAsia"/>
          <w:b w:val="0"/>
          <w:szCs w:val="28"/>
        </w:rPr>
        <w:lastRenderedPageBreak/>
        <w:t>„карта от Севиля“. Макар тази карта да е академична разработка, а не официален документ на Европейския съюз, в Турция тя е възприета като визуален израз на неблагоприятно разпределение на морските зони [6].</w:t>
      </w:r>
    </w:p>
    <w:p w14:paraId="24A9C800"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Понятието Mavi Vatan е въведено през 2006 г. от турския контраадмирал Джем Гюрдениз по време на симпозиум, организиран от командването на турските военноморски сили. С него Гюрдениз обозначава морските пространства, които според неговата концепция трябва да бъдат разглеждани като продължение на националната територия и като основа на турската морска мощ. Неговият основен принос е геополитически: той свързва контрола върху морските пространства със суверенитета, националната сигурност, икономическото развитие и стратегическата самостоятелност на Турция.</w:t>
      </w:r>
    </w:p>
    <w:p w14:paraId="206A6D29"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Джихат Яйджъ допълва концепцията с правни, картографски и оперативни аргументи. От 2009 г. той разработва въпроса за границите на турските морски зони и защитава възможността за обща морска граница между Турция и Либия. В научна публикация от 2011 г. Яйджъ анализира ролята на Либия при делимитацията в Източното Средиземноморие и поддържа тезата, че между двете държави може да бъде сключено споразумение за определяне на морските им юрисдикции. Чрез тези изследвания концепцията придобива по-конкретни географски очертания и се свързва с практически външнополитически предложения.</w:t>
      </w:r>
    </w:p>
    <w:p w14:paraId="2DEA8A79"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Ролите на Гюрдениз и Яйджъ следователно са взаимно допълващи се. Първият формулира понятието и неговата геополитическа логика, а вторият развива правната и картографската му аргументация. Поради това „Синя Родина“ следва да се разглежда не като произведение на един автор, а като резултат от по-широко направление в турската военноморска стратегическа мисъл. Постепенно терминът преминава от професионалните военни среди в политическия и обществения речник на Турция [6].</w:t>
      </w:r>
    </w:p>
    <w:p w14:paraId="615BA6F1" w14:textId="19CF0FDD" w:rsidR="00B7407F" w:rsidRPr="004C7433" w:rsidRDefault="00F45CCC" w:rsidP="00F45CCC">
      <w:pPr>
        <w:ind w:firstLine="567"/>
        <w:jc w:val="both"/>
        <w:rPr>
          <w:b/>
          <w:szCs w:val="28"/>
        </w:rPr>
      </w:pPr>
      <w:r w:rsidRPr="00F45CCC">
        <w:rPr>
          <w:rStyle w:val="af2"/>
          <w:rFonts w:eastAsiaTheme="majorEastAsia"/>
          <w:b w:val="0"/>
          <w:szCs w:val="28"/>
        </w:rPr>
        <w:t>Важен момент в това развитие е проведеното през 2019 г. военноморско учение „Mavi Vatan“, обхванало едновременно Черно, Егейско и Средиземно море. То придава институционална и публична видимост на концепцията и демонстрира връзката между нейните геополитически постановки и способностите на турските военноморски сили [7]. Провеждането на учението обаче не означава автоматично, че „Синя Родина“ е кодифицирана като единен и юридически задължителен държавен документ. По-точно е тя да бъде определена като влиятелна стратегическа рамка, постепенно възприета и приспособена към целите на турската външна политика.</w:t>
      </w:r>
    </w:p>
    <w:p w14:paraId="54979163" w14:textId="77777777" w:rsidR="00085D68" w:rsidRDefault="00085D68" w:rsidP="00870BC5">
      <w:pPr>
        <w:ind w:firstLine="567"/>
        <w:jc w:val="both"/>
        <w:rPr>
          <w:b/>
          <w:bCs/>
          <w:szCs w:val="28"/>
        </w:rPr>
      </w:pPr>
    </w:p>
    <w:p w14:paraId="0F458A97" w14:textId="12FDD095" w:rsidR="004C7433" w:rsidRPr="004C7433" w:rsidRDefault="00F45CCC" w:rsidP="004C7433">
      <w:pPr>
        <w:ind w:firstLine="567"/>
        <w:jc w:val="both"/>
        <w:rPr>
          <w:rStyle w:val="af2"/>
          <w:rFonts w:eastAsiaTheme="majorEastAsia"/>
          <w:szCs w:val="28"/>
        </w:rPr>
      </w:pPr>
      <w:r>
        <w:rPr>
          <w:b/>
          <w:bCs/>
          <w:szCs w:val="28"/>
        </w:rPr>
        <w:t>1.2.</w:t>
      </w:r>
      <w:r w:rsidR="00870BC5" w:rsidRPr="00870BC5">
        <w:rPr>
          <w:b/>
          <w:bCs/>
          <w:szCs w:val="28"/>
        </w:rPr>
        <w:t xml:space="preserve"> </w:t>
      </w:r>
      <w:r w:rsidRPr="00F45CCC">
        <w:rPr>
          <w:rStyle w:val="af2"/>
          <w:rFonts w:eastAsiaTheme="majorEastAsia"/>
          <w:szCs w:val="28"/>
        </w:rPr>
        <w:t>Основни принципи на доктрината</w:t>
      </w:r>
      <w:r w:rsidR="004C7433">
        <w:rPr>
          <w:rStyle w:val="af2"/>
          <w:rFonts w:eastAsiaTheme="majorEastAsia"/>
          <w:szCs w:val="28"/>
        </w:rPr>
        <w:t>.</w:t>
      </w:r>
    </w:p>
    <w:p w14:paraId="669C27DA"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 xml:space="preserve">Доктрината „Синя Родина“ не е систематизирана в един официален нормативен или стратегически документ. Нейните основни принципи се извеждат от публикациите на турски военноморски офицери, официалните позиции на Анкара и практическите действия на турската държава. В основата ѝ стои разбирането, че морските пространства около Турция представляват естествено продължение на националната територия и са </w:t>
      </w:r>
      <w:r w:rsidRPr="00F45CCC">
        <w:rPr>
          <w:rStyle w:val="af2"/>
          <w:rFonts w:eastAsiaTheme="majorEastAsia"/>
          <w:b w:val="0"/>
          <w:szCs w:val="28"/>
        </w:rPr>
        <w:lastRenderedPageBreak/>
        <w:t>съществен елемент от суверенитета, сигурността и икономическото развитие на страната.</w:t>
      </w:r>
    </w:p>
    <w:p w14:paraId="0FB1C039"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Първият принцип е свързан с определянето на широка морска зона на турски интереси. Привържениците на доктрината обозначават като „Синя Родина“ пространство с приблизителна площ от 462 000 km² в Черно, Егейско и Средиземно море. Това число обаче не трябва да се възприема като площ на безспорно призната турска морска юрисдикция. В Черно море то включва вече разграничени турски морски зони, докато значителна част от очертанията в Егейско море и Източното Средиземноморие се припокриват с претенции на Гърция и Република Кипър.[8]</w:t>
      </w:r>
    </w:p>
    <w:p w14:paraId="3127FF02"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Вторият принцип е изискването морското разграничаване да се основава на справедливост, дължина на бреговата линия и отчитане на географските особености. Според турската позиция Егейско море е общо море между двете крайбрежни държави и придобиването на нови морски пространства следва да става по взаимно съгласие и при запазване на определен баланс между техните права и интереси.[9] В този контекст авторите на доктрината оспорват предоставянето на пълен ефект при разграничаването на някои гръцки острови, разположени непосредствено до турското крайбрежие. Те не отричат непременно гръцкия суверенитет върху островите, а възможността им да създават обширни континентален шелф и изключителна икономическа зона за сметка на турското крайбрежие.</w:t>
      </w:r>
    </w:p>
    <w:p w14:paraId="666EC152"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Тази позиция не представлява безспорно правило на международното право. Член 121 от Конвенцията на ООН по морско право предвижда, че островите по принцип могат да имат териториално море, прилежаща зона, изключителна икономическа зона и континентален шелф, като изключението се отнася до скалите, които не могат да поддържат човешко обитаване или собствен икономически живот. Същевременно членове 74 и 83 постановяват, че разграничаването между държави с насрещни или съседни брегове трябва да бъде извършено чрез споразумение с цел постигане на справедливо решение.[10] Следователно същността на спора е не само дали островите пораждат морски права, а какъв конкретен ефект следва да им бъде предоставен при разграничаването.</w:t>
      </w:r>
    </w:p>
    <w:p w14:paraId="41FB5F93" w14:textId="77777777" w:rsidR="00F45CCC" w:rsidRPr="00F45CCC" w:rsidRDefault="00F45CCC" w:rsidP="00F45CCC">
      <w:pPr>
        <w:ind w:firstLine="567"/>
        <w:jc w:val="both"/>
        <w:rPr>
          <w:rStyle w:val="af2"/>
          <w:rFonts w:eastAsiaTheme="majorEastAsia"/>
          <w:b w:val="0"/>
          <w:szCs w:val="28"/>
        </w:rPr>
      </w:pPr>
      <w:r w:rsidRPr="00F45CCC">
        <w:rPr>
          <w:rStyle w:val="af2"/>
          <w:rFonts w:eastAsiaTheme="majorEastAsia"/>
          <w:b w:val="0"/>
          <w:szCs w:val="28"/>
        </w:rPr>
        <w:t>Третият принцип е свързан с поддържането на активна военноморска мощ. В рамките на доктрината флотът се разглежда като основно средство за защита на заявените морски интереси, за постоянно присъствие в спорните райони и за възпиране на действия, които Анкара определя като едностранни. Поради това „Синя Родина“ е свързана с модернизацията на турските военноморски сили, развитието на националната корабостроителна програма MİLGEM и провеждането на мащабни учения в трите морета около Турция.[11]</w:t>
      </w:r>
    </w:p>
    <w:p w14:paraId="3290E9AA" w14:textId="6788FD20" w:rsidR="005008ED" w:rsidRPr="004C7433" w:rsidRDefault="00F45CCC" w:rsidP="00F45CCC">
      <w:pPr>
        <w:ind w:firstLine="567"/>
        <w:jc w:val="both"/>
        <w:rPr>
          <w:b/>
          <w:szCs w:val="28"/>
          <w:lang w:val="en-US"/>
        </w:rPr>
      </w:pPr>
      <w:r w:rsidRPr="00F45CCC">
        <w:rPr>
          <w:rStyle w:val="af2"/>
          <w:rFonts w:eastAsiaTheme="majorEastAsia"/>
          <w:b w:val="0"/>
          <w:szCs w:val="28"/>
        </w:rPr>
        <w:t xml:space="preserve">Към териториалното и военното измерение се добавят икономически и геополитически цели: достъп до енергийни ресурси, участие в контрола върху морските комуникации и предотвратяване на регионална изолация. Особено значение придобиват Кипър и морската връзка с Либия, разглеждани като ключови за турското присъствие в Източното Средиземноморие.[12] Така „Синя Родина“ съчетава правни аргументи, </w:t>
      </w:r>
      <w:r w:rsidRPr="00F45CCC">
        <w:rPr>
          <w:rStyle w:val="af2"/>
          <w:rFonts w:eastAsiaTheme="majorEastAsia"/>
          <w:b w:val="0"/>
          <w:szCs w:val="28"/>
        </w:rPr>
        <w:lastRenderedPageBreak/>
        <w:t>геополитическа визия, икономически интереси и инструменти на военноморската сила, без сама по себе си да променя международноправния статут на спорните морски пространства.</w:t>
      </w:r>
    </w:p>
    <w:p w14:paraId="3653319F" w14:textId="77777777" w:rsidR="004C7433" w:rsidRDefault="004C7433" w:rsidP="004C7433">
      <w:pPr>
        <w:pStyle w:val="2"/>
        <w:spacing w:before="0" w:after="0"/>
        <w:ind w:firstLine="567"/>
        <w:jc w:val="both"/>
        <w:rPr>
          <w:sz w:val="28"/>
          <w:szCs w:val="28"/>
        </w:rPr>
      </w:pPr>
    </w:p>
    <w:p w14:paraId="7103EEFF" w14:textId="61F27DA6" w:rsidR="00402B6C" w:rsidRPr="00402B6C" w:rsidRDefault="00F45CCC" w:rsidP="00402B6C">
      <w:pPr>
        <w:ind w:firstLine="567"/>
        <w:jc w:val="both"/>
        <w:rPr>
          <w:b/>
          <w:szCs w:val="28"/>
        </w:rPr>
      </w:pPr>
      <w:r>
        <w:rPr>
          <w:b/>
          <w:szCs w:val="28"/>
        </w:rPr>
        <w:t>1.3.</w:t>
      </w:r>
      <w:r w:rsidR="00402B6C" w:rsidRPr="00402B6C">
        <w:rPr>
          <w:b/>
          <w:szCs w:val="28"/>
        </w:rPr>
        <w:t xml:space="preserve"> </w:t>
      </w:r>
      <w:r w:rsidRPr="00A020B6">
        <w:rPr>
          <w:rStyle w:val="af2"/>
          <w:color w:val="000000"/>
        </w:rPr>
        <w:t>Превръщане на концепцията в инструмент на държавната политика</w:t>
      </w:r>
      <w:r w:rsidR="00402B6C">
        <w:rPr>
          <w:b/>
          <w:szCs w:val="28"/>
        </w:rPr>
        <w:t>.</w:t>
      </w:r>
    </w:p>
    <w:p w14:paraId="2C2613B9" w14:textId="77777777" w:rsidR="00F45CCC" w:rsidRPr="00F45CCC" w:rsidRDefault="00F45CCC" w:rsidP="00F45CCC">
      <w:pPr>
        <w:ind w:firstLine="567"/>
        <w:jc w:val="both"/>
        <w:rPr>
          <w:szCs w:val="28"/>
        </w:rPr>
      </w:pPr>
      <w:r w:rsidRPr="00F45CCC">
        <w:rPr>
          <w:szCs w:val="28"/>
        </w:rPr>
        <w:t>Преминаването на „Синя Родина“ от военноморска концепция към разпознаваем елемент на турската държавна политика става особено видимо през 2019 г. Между 27 февруари и 8 март турските въоръжени сили провеждат учението „Mavi Vatan-2019“ едновременно в Черно, Егейско и Средиземно море. В него участват 103 военни кораба, както и авиационни и сухопътни формирования.[13] Използването на наименованието на доктрината за мащабно официално учение не ѝ придава самостоятелен правен статут, но я включва трайно в езика на турската отбрана и я свързва с демонстрацията на военноморска мощ.</w:t>
      </w:r>
    </w:p>
    <w:p w14:paraId="4BCF582E" w14:textId="77777777" w:rsidR="00F45CCC" w:rsidRPr="00F45CCC" w:rsidRDefault="00F45CCC" w:rsidP="00F45CCC">
      <w:pPr>
        <w:ind w:firstLine="567"/>
        <w:jc w:val="both"/>
        <w:rPr>
          <w:szCs w:val="28"/>
        </w:rPr>
      </w:pPr>
      <w:r w:rsidRPr="00F45CCC">
        <w:rPr>
          <w:szCs w:val="28"/>
        </w:rPr>
        <w:t>Възприемането на концепцията от управлението на президента Реджеп Тайип Ердоган е резултат както от регионалната обстановка, така и от вътрешнополитически фактори. След 2016 г. сближаването между управляващата Партия на справедливостта и развитието, националистическите политически среди и част от военния елит създава благоприятни условия за включването на „Синя Родина“ в официалната реторика. Това приемане обаче е по-скоро прагматично и избирателно, отколкото израз на пълно идеологическо съгласие между политическото ръководство и създателите на концепцията.[14] Поради тази причина „Синя Родина“ следва да се разглежда като стратегическа рамка, а не като единен и юридически обвързващ държавен документ.</w:t>
      </w:r>
    </w:p>
    <w:p w14:paraId="6C76AA7C" w14:textId="77777777" w:rsidR="00F45CCC" w:rsidRPr="00F45CCC" w:rsidRDefault="00F45CCC" w:rsidP="00F45CCC">
      <w:pPr>
        <w:ind w:firstLine="567"/>
        <w:jc w:val="both"/>
        <w:rPr>
          <w:szCs w:val="28"/>
        </w:rPr>
      </w:pPr>
      <w:r w:rsidRPr="00F45CCC">
        <w:rPr>
          <w:szCs w:val="28"/>
        </w:rPr>
        <w:t>Най-ясният пример за практическо приложение на нейните постановки е Меморандумът за разграничаване на морските юрисдикции, подписан между Турция и либийското Правителство на националното съгласие на 27 ноември 2019 г. Документът очертава морска граница между турското и либийското крайбрежие и прилага виждането на Анкара за преимуществено значение на континенталните брегове. При определянето на линията не е предоставен ефектът, който Гърция претендира за острови като Крит, Родос, Карпатос и Касос. Меморандумът е регистриран в Секретариата на ООН под № 56119, но регистрацията представлява публикуване по реда на член 102 от Устава на ООН и сама по себе си не разрешава спора относно неговата противопоставимост на трети държави.[15]</w:t>
      </w:r>
    </w:p>
    <w:p w14:paraId="1F7745B8" w14:textId="77777777" w:rsidR="00F45CCC" w:rsidRPr="00F45CCC" w:rsidRDefault="00F45CCC" w:rsidP="00F45CCC">
      <w:pPr>
        <w:ind w:firstLine="567"/>
        <w:jc w:val="both"/>
        <w:rPr>
          <w:szCs w:val="28"/>
        </w:rPr>
      </w:pPr>
      <w:r w:rsidRPr="00F45CCC">
        <w:rPr>
          <w:szCs w:val="28"/>
        </w:rPr>
        <w:t>Позициите относно споразумението остават противоположни. Турция го представя като справедливо разграничаване между две държави с насрещни брегове и като средство срещу ограничаването на достъпа ѝ до Източното Средиземноморие. Европейският съвет, подкрепяйки Гърция и Република Кипър, заявява през декември 2019 г., че меморандумът засяга суверенните права на трети държави, не съответства на морското право и не може да поражда правни последици за тях.[16] Това е политическа и правна позиция на Европейския съюз, а не решение на международен съд.</w:t>
      </w:r>
    </w:p>
    <w:p w14:paraId="06E25F2A" w14:textId="03F10A4C" w:rsidR="00C40CDF" w:rsidRDefault="00F45CCC" w:rsidP="00F45CCC">
      <w:pPr>
        <w:ind w:firstLine="567"/>
        <w:jc w:val="both"/>
        <w:rPr>
          <w:szCs w:val="28"/>
        </w:rPr>
      </w:pPr>
      <w:r w:rsidRPr="00F45CCC">
        <w:rPr>
          <w:szCs w:val="28"/>
        </w:rPr>
        <w:lastRenderedPageBreak/>
        <w:t>Практическото измерение на доктрината се проявява и чрез изпращането на турски проучвателни кораби в оспорвани морски райони, придружаването им от военноморски сили и ускореното развитие на национални отбранителни способности. По този начин Анкара съчетава дипломатически аргументи, правни претенции и демонстрация на сила, за да подобри позициите си при евентуални преговори.[17] Следователно „Синя Родина“ не е само карта на желани морски граници, а комплексен инструмент за стратегическо влияние, възпиране и защита на възприеманите турски интереси.</w:t>
      </w:r>
    </w:p>
    <w:p w14:paraId="5124BDCE" w14:textId="09926A85" w:rsidR="00F45CCC" w:rsidRDefault="00F45CCC" w:rsidP="00F45CCC">
      <w:pPr>
        <w:ind w:firstLine="567"/>
        <w:jc w:val="both"/>
        <w:rPr>
          <w:szCs w:val="28"/>
        </w:rPr>
      </w:pPr>
    </w:p>
    <w:p w14:paraId="510D2C42" w14:textId="02452C9A" w:rsidR="00F45CCC" w:rsidRPr="00F45CCC" w:rsidRDefault="00F45CCC" w:rsidP="00F45CCC">
      <w:pPr>
        <w:pStyle w:val="a3"/>
        <w:numPr>
          <w:ilvl w:val="0"/>
          <w:numId w:val="5"/>
        </w:numPr>
        <w:jc w:val="both"/>
        <w:rPr>
          <w:b/>
          <w:szCs w:val="28"/>
        </w:rPr>
      </w:pPr>
      <w:r>
        <w:rPr>
          <w:b/>
          <w:szCs w:val="28"/>
        </w:rPr>
        <w:t>Е</w:t>
      </w:r>
      <w:r w:rsidRPr="00F45CCC">
        <w:rPr>
          <w:b/>
          <w:szCs w:val="28"/>
        </w:rPr>
        <w:t>гейските острови в гръцко-турските отношения</w:t>
      </w:r>
      <w:r>
        <w:rPr>
          <w:b/>
          <w:szCs w:val="28"/>
        </w:rPr>
        <w:t>.</w:t>
      </w:r>
    </w:p>
    <w:p w14:paraId="2532EB00" w14:textId="4DCBA3FE" w:rsidR="00402B6C" w:rsidRPr="00F45CCC" w:rsidRDefault="00F45CCC" w:rsidP="00F45CCC">
      <w:pPr>
        <w:ind w:firstLine="708"/>
        <w:jc w:val="both"/>
        <w:rPr>
          <w:b/>
          <w:bCs/>
          <w:szCs w:val="28"/>
        </w:rPr>
      </w:pPr>
      <w:r w:rsidRPr="00F45CCC">
        <w:rPr>
          <w:b/>
          <w:bCs/>
          <w:szCs w:val="28"/>
        </w:rPr>
        <w:t>2.3. Историческо и международноправно уреждане на статута на островите.</w:t>
      </w:r>
    </w:p>
    <w:p w14:paraId="6A2C5B59" w14:textId="77777777" w:rsidR="00F45CCC" w:rsidRPr="00F45CCC" w:rsidRDefault="00F45CCC" w:rsidP="00F45CCC">
      <w:pPr>
        <w:ind w:firstLine="567"/>
        <w:jc w:val="both"/>
        <w:rPr>
          <w:szCs w:val="28"/>
        </w:rPr>
      </w:pPr>
      <w:r w:rsidRPr="00F45CCC">
        <w:rPr>
          <w:szCs w:val="28"/>
        </w:rPr>
        <w:t>Съвременният териториален статут на егейските острови не произтича от доктрината „Синя Родина“, а от система от международни договори, сключени през първата половина на ХХ век. Основно значение има Лозанският мирен договор от 24 юли 1923 г., който урежда границите на новата турска държава и разпределя суверенитета върху значителна част от островите в Егейско море.</w:t>
      </w:r>
    </w:p>
    <w:p w14:paraId="42B947DD" w14:textId="77777777" w:rsidR="00F45CCC" w:rsidRPr="00F45CCC" w:rsidRDefault="00F45CCC" w:rsidP="00F45CCC">
      <w:pPr>
        <w:ind w:firstLine="567"/>
        <w:jc w:val="both"/>
        <w:rPr>
          <w:szCs w:val="28"/>
        </w:rPr>
      </w:pPr>
      <w:r w:rsidRPr="00F45CCC">
        <w:rPr>
          <w:szCs w:val="28"/>
        </w:rPr>
        <w:t>Член 12 от Лозанския договор потвърждава гръцкия суверенитет върху Лемнос, Самотраки, Лесбос, Хиос, Самос и Икария. Същевременно Имброс, Тенедос и Зайчите острови остават под турски суверенитет. Договорът въвежда и общото правило, че при липса на изрична разпоредба островите, разположени на по-малко от три морски мили от азиатския бряг, принадлежат на Турция.[20] По този начин Лозана създава основната териториална рамка, която продължава да има определящо значение за отношенията между двете държави.</w:t>
      </w:r>
    </w:p>
    <w:p w14:paraId="5906BDA7" w14:textId="77777777" w:rsidR="00F45CCC" w:rsidRPr="00F45CCC" w:rsidRDefault="00F45CCC" w:rsidP="00F45CCC">
      <w:pPr>
        <w:ind w:firstLine="567"/>
        <w:jc w:val="both"/>
        <w:rPr>
          <w:szCs w:val="28"/>
        </w:rPr>
      </w:pPr>
      <w:r w:rsidRPr="00F45CCC">
        <w:rPr>
          <w:szCs w:val="28"/>
        </w:rPr>
        <w:t>Член 13 установява специален военен режим за Лесбос, Хиос, Самос и Икария. Той забранява изграждането на военноморски бази и укрепления и ограничава разположените гръцки сили до обичайния контингент за военна служба и необходимите местни полицейски формирования. Следователно текстът не предвижда пълно премахване на всяко военно присъствие върху тези острови, а конкретни ограничения върху неговия характер и мащаб. Член 15, от своя страна, съдържа отказа на Турция в полза на Италия от права върху Родос, Кос, Кастелоризо и останалите изброени острови от Додеканезите, заедно със зависимите от тях малки острови.[18]</w:t>
      </w:r>
    </w:p>
    <w:p w14:paraId="72A69DBC" w14:textId="77777777" w:rsidR="00F45CCC" w:rsidRPr="00F45CCC" w:rsidRDefault="00F45CCC" w:rsidP="00F45CCC">
      <w:pPr>
        <w:ind w:firstLine="567"/>
        <w:jc w:val="both"/>
        <w:rPr>
          <w:szCs w:val="28"/>
        </w:rPr>
      </w:pPr>
      <w:r w:rsidRPr="00F45CCC">
        <w:rPr>
          <w:szCs w:val="28"/>
        </w:rPr>
        <w:t>Окончателното прехвърляне на Додеканезите към Гърция е извършено с Парижкия мирен договор с Италия от 10 февруари 1947 г. Член 14 от него постановява, че Италия отстъпва на Гърция „в пълен суверенитет“ изброените острови от архипелага, както и прилежащите към тях малки острови. Втората алинея на същия член предвижда, че те трябва да останат демилитаризирани.[19] Турция не е страна по Парижкия договор, което впоследствие поражда противоположни позиции относно възможността тя да се позовава на предвидените в него ограничения. Самото прехвърляне на суверенитета върху изброените острови обаче е формулирано изрично.</w:t>
      </w:r>
    </w:p>
    <w:p w14:paraId="7CFE2EFA" w14:textId="77777777" w:rsidR="00F45CCC" w:rsidRPr="00F45CCC" w:rsidRDefault="00F45CCC" w:rsidP="00F45CCC">
      <w:pPr>
        <w:ind w:firstLine="567"/>
        <w:jc w:val="both"/>
        <w:rPr>
          <w:szCs w:val="28"/>
        </w:rPr>
      </w:pPr>
      <w:r w:rsidRPr="00F45CCC">
        <w:rPr>
          <w:szCs w:val="28"/>
        </w:rPr>
        <w:lastRenderedPageBreak/>
        <w:t>По-сложен е въпросът за някои малки острови, островчета и скали, които не са посочени индивидуално в договорите. Изрази като „прилежащи островчета“, както и правилото за разстоянието от азиатския бряг, позволяват различни тълкувания относно принадлежността на отделни географски образувания. Този проблем придобива особена острота по време на кризата около островчетата Имия, наричани Кардак в Турция, през 1996 г. Гърция приема, че договорната последователност установява нейния суверенитет, докато Турция твърди, че статутът на редица малки образувания не е окончателно определен.[20]</w:t>
      </w:r>
    </w:p>
    <w:p w14:paraId="3E5D2C6C" w14:textId="4B4A41B7" w:rsidR="00F45CCC" w:rsidRDefault="00F45CCC" w:rsidP="00F45CCC">
      <w:pPr>
        <w:ind w:firstLine="567"/>
        <w:jc w:val="both"/>
        <w:rPr>
          <w:szCs w:val="28"/>
        </w:rPr>
      </w:pPr>
      <w:r w:rsidRPr="00F45CCC">
        <w:rPr>
          <w:szCs w:val="28"/>
        </w:rPr>
        <w:t>Следователно трябва да се прави разграничение между изрично уредения суверенитет върху основните егейски острови и споровете относно ограничен брой малки острови и скали. Доктрината „Синя Родина“ не може сама по себе си да изменя договорно установения териториален статут. Нейното влияние се проявява преди всичко чрез начина, по който Турция поставя въпросите за демилитаризацията, морските зони и стратегическото значение на островите.</w:t>
      </w:r>
    </w:p>
    <w:p w14:paraId="7AC7F29A" w14:textId="77777777" w:rsidR="00F45CCC" w:rsidRPr="00F45CCC" w:rsidRDefault="00F45CCC" w:rsidP="00F45CCC">
      <w:pPr>
        <w:ind w:firstLine="567"/>
        <w:jc w:val="both"/>
        <w:rPr>
          <w:szCs w:val="28"/>
        </w:rPr>
      </w:pPr>
    </w:p>
    <w:p w14:paraId="177E11F7" w14:textId="746E6CA1" w:rsidR="00F45CCC" w:rsidRPr="00F45CCC" w:rsidRDefault="00F45CCC" w:rsidP="00F45CCC">
      <w:pPr>
        <w:ind w:firstLine="567"/>
        <w:jc w:val="both"/>
        <w:rPr>
          <w:b/>
          <w:szCs w:val="28"/>
        </w:rPr>
      </w:pPr>
      <w:r w:rsidRPr="00F45CCC">
        <w:rPr>
          <w:b/>
          <w:szCs w:val="28"/>
        </w:rPr>
        <w:t>2</w:t>
      </w:r>
      <w:r w:rsidRPr="00F45CCC">
        <w:rPr>
          <w:b/>
          <w:szCs w:val="28"/>
        </w:rPr>
        <w:t>.2. Спорът за демилитаризацията на егейските острови</w:t>
      </w:r>
      <w:r>
        <w:rPr>
          <w:b/>
          <w:szCs w:val="28"/>
        </w:rPr>
        <w:t>.</w:t>
      </w:r>
    </w:p>
    <w:p w14:paraId="5A83E554" w14:textId="77777777" w:rsidR="00F45CCC" w:rsidRPr="00F45CCC" w:rsidRDefault="00F45CCC" w:rsidP="00F45CCC">
      <w:pPr>
        <w:ind w:firstLine="567"/>
        <w:jc w:val="both"/>
        <w:rPr>
          <w:szCs w:val="28"/>
        </w:rPr>
      </w:pPr>
      <w:r w:rsidRPr="00F45CCC">
        <w:rPr>
          <w:szCs w:val="28"/>
        </w:rPr>
        <w:t>Спорът за демилитаризацията не се отнася до единен правен режим, приложим спрямо всички егейски острови. Необходимо е да бъдат разграничени три основни групи: Лемнос и Самотраки, чийто първоначален режим произтича от Конвенцията за проливите от 1923 г.; Лесбос, Хиос, Самос и Икария, обхванати от ограниченията на член 13 от Лозанския договор; и Додеканезките острови, за които член 14 от Парижкия мирен договор от 1947 г. постановява, че трябва да останат демилитаризирани.[21]</w:t>
      </w:r>
    </w:p>
    <w:p w14:paraId="1101B4FD" w14:textId="77777777" w:rsidR="00F45CCC" w:rsidRPr="00F45CCC" w:rsidRDefault="00F45CCC" w:rsidP="00F45CCC">
      <w:pPr>
        <w:ind w:firstLine="567"/>
        <w:jc w:val="both"/>
        <w:rPr>
          <w:szCs w:val="28"/>
        </w:rPr>
      </w:pPr>
      <w:r w:rsidRPr="00F45CCC">
        <w:rPr>
          <w:szCs w:val="28"/>
        </w:rPr>
        <w:t>Според официалната позиция на Турция Гърция нарушава задълженията си чрез разполагане на военни сили, инфраструктура и въоръжение на островите. Анкара поддържа тезата, че Конвенцията от Монтрьо от 1936 г. не отменя демилитаризирания статут на Лемнос и Самотраки, тъй като не съдържа изрична разпоредба за тяхното ремилитаризиране. Турската страна свързва предоставянето на суверенитет върху определени острови със спазването на установените договорни ограничения и твърди, че системните нарушения поставят под съмнение изпълнението на условията, при които този суверенитет е признат.[22] Това представлява официалната турска интерпретация, а не постановен от международен съд правен извод.</w:t>
      </w:r>
    </w:p>
    <w:p w14:paraId="09890FDA" w14:textId="77777777" w:rsidR="00F45CCC" w:rsidRPr="00F45CCC" w:rsidRDefault="00F45CCC" w:rsidP="00F45CCC">
      <w:pPr>
        <w:ind w:firstLine="567"/>
        <w:jc w:val="both"/>
        <w:rPr>
          <w:szCs w:val="28"/>
        </w:rPr>
      </w:pPr>
      <w:r w:rsidRPr="00F45CCC">
        <w:rPr>
          <w:szCs w:val="28"/>
        </w:rPr>
        <w:t>Гръцката позиция е, че Конвенцията от Монтрьо заменя режима на Конвенцията за проливите от 1923 г. и по този начин премахва ограниченията спрямо Лемнос и Самотраки. В подкрепа на това Атина се позовава на дипломатическа кореспонденция от 1936 г. и на изявление на тогавашния турски външен министър Тевфик Рюштю Арас, които според гръцката страна потвърждават правото ѝ да укрепи двата острова. Самата Конвенция от Монтрьо посочва като своя цел замяната на режима, установен през 1923 г., но различното тълкуване на нейния обхват продължава да бъде част от двустранния спор.</w:t>
      </w:r>
    </w:p>
    <w:p w14:paraId="6A31CBAD" w14:textId="77777777" w:rsidR="00F45CCC" w:rsidRPr="00F45CCC" w:rsidRDefault="00F45CCC" w:rsidP="00F45CCC">
      <w:pPr>
        <w:ind w:firstLine="567"/>
        <w:jc w:val="both"/>
        <w:rPr>
          <w:szCs w:val="28"/>
        </w:rPr>
      </w:pPr>
      <w:r w:rsidRPr="00F45CCC">
        <w:rPr>
          <w:szCs w:val="28"/>
        </w:rPr>
        <w:lastRenderedPageBreak/>
        <w:t>По отношение на Лесбос, Хиос, Самос и Икария член 13 от Лозанския договор не установява пълна демилитаризация. Разпоредбата забранява създаването на военноморски бази и укрепления, но допуска обичаен контингент, формиран от местно набрани военнослужещи, както и пропорционални сили на жандармерията и полицията.[20] За Додеканезите формулировката на Парижкия договор е по-категорична. Гърция обаче изтъква, че Турция не е страна по този договор, и се позовава на принципа, закрепен в член 34 от Виенската конвенция за правото на договорите, според който договорът не поражда права или задължения за трета държава без нейното съгласие.[24] Наред с това Атина обосновава военното си присъствие с правото на индивидуална самоотбрана по член 51 от Устава на ООН, посочвайки близостта на турските военни сили и решението на турския парламент от 1995 г., свързано с евентуално разширяване на гръцките териториални води.</w:t>
      </w:r>
    </w:p>
    <w:p w14:paraId="135F8F81" w14:textId="31F355B3" w:rsidR="00F45CCC" w:rsidRDefault="00F45CCC" w:rsidP="00F45CCC">
      <w:pPr>
        <w:ind w:firstLine="567"/>
        <w:jc w:val="both"/>
        <w:rPr>
          <w:szCs w:val="28"/>
        </w:rPr>
      </w:pPr>
      <w:r w:rsidRPr="00F45CCC">
        <w:rPr>
          <w:szCs w:val="28"/>
        </w:rPr>
        <w:t>Към настоящия момент няма решение на международен съд, което да разрешава по същество спора за демилитаризацията. Делото за континенталния шелф в Егейско море от 1978 г. приключва с констатация, че Международният съд няма компетентност да разгледа внесения спор, и не се произнася по военния статут на островите. Договорите също не съдържат разпоредба, според която евентуално нарушение на ограниченията води автоматично до загуба на суверенитет. Поради това тезата, че милитаризацията сама по себе си променя териториалния титул, не може да бъде разглеждана като безспорно установено правило на международното право. В контекста на доктрината „Синя Родина“ спорът засилва взаимното недоверие, но не предоставя самостоятелно правно основание за промяна на суверенитета върху егейските острови.</w:t>
      </w:r>
    </w:p>
    <w:p w14:paraId="5F2B913D" w14:textId="77777777" w:rsidR="00F45CCC" w:rsidRPr="00F45CCC" w:rsidRDefault="00F45CCC" w:rsidP="00F45CCC">
      <w:pPr>
        <w:ind w:firstLine="567"/>
        <w:jc w:val="both"/>
        <w:rPr>
          <w:szCs w:val="28"/>
        </w:rPr>
      </w:pPr>
    </w:p>
    <w:p w14:paraId="541111AB" w14:textId="3B18654F" w:rsidR="00F45CCC" w:rsidRPr="00F45CCC" w:rsidRDefault="00F45CCC" w:rsidP="00F45CCC">
      <w:pPr>
        <w:ind w:firstLine="567"/>
        <w:jc w:val="both"/>
        <w:rPr>
          <w:b/>
          <w:szCs w:val="28"/>
        </w:rPr>
      </w:pPr>
      <w:r w:rsidRPr="00F45CCC">
        <w:rPr>
          <w:b/>
          <w:szCs w:val="28"/>
        </w:rPr>
        <w:t>3</w:t>
      </w:r>
      <w:r w:rsidRPr="00F45CCC">
        <w:rPr>
          <w:b/>
          <w:szCs w:val="28"/>
        </w:rPr>
        <w:t>. Влияние на доктрината „Синя Родина“ върху регионалната сигурност и бъдещето на егейските острови</w:t>
      </w:r>
      <w:r w:rsidRPr="00F45CCC">
        <w:rPr>
          <w:b/>
          <w:szCs w:val="28"/>
        </w:rPr>
        <w:t>.</w:t>
      </w:r>
    </w:p>
    <w:p w14:paraId="2DDFA3BD" w14:textId="77777777" w:rsidR="00F45CCC" w:rsidRPr="00F45CCC" w:rsidRDefault="00F45CCC" w:rsidP="00F45CCC">
      <w:pPr>
        <w:ind w:firstLine="567"/>
        <w:jc w:val="both"/>
        <w:rPr>
          <w:szCs w:val="28"/>
        </w:rPr>
      </w:pPr>
      <w:r w:rsidRPr="00F45CCC">
        <w:rPr>
          <w:szCs w:val="28"/>
        </w:rPr>
        <w:t>Доктрината „Синя Родина“ превръща морските спорове в част от по-широкото разбиране за турска национална сигурност и стратегическа самостоятелност. Съчетаването ѝ с военноморски учения, модернизация на въоръжените сили и публично заявяване на морски претенции задълбочава гръцко-турската дилема на сигурността. Действия, разглеждани от едната страна като отбранителни, се възприемат от другата като подготовка за промяна на съществуващото положение. Това увеличава опасността от инциденти във въздуха и по море, особено около островите, чиито прилежащи пространства са предмет на застъпващи се претенции.</w:t>
      </w:r>
    </w:p>
    <w:p w14:paraId="77996299" w14:textId="77777777" w:rsidR="00F45CCC" w:rsidRPr="00F45CCC" w:rsidRDefault="00F45CCC" w:rsidP="00F45CCC">
      <w:pPr>
        <w:ind w:firstLine="567"/>
        <w:jc w:val="both"/>
        <w:rPr>
          <w:szCs w:val="28"/>
        </w:rPr>
      </w:pPr>
      <w:r w:rsidRPr="00F45CCC">
        <w:rPr>
          <w:szCs w:val="28"/>
        </w:rPr>
        <w:t>Въпреки противопоставянето съществуват механизми за ограничаване на риска. През 2020 г. в рамките на НАТО е създаден двустранен механизъм за военна деконфликтация, включващ пряка линия за комуникация между Гърция и Турция Атинската декларация от 7 декември 2023 г. предвижда политически диалог, мерки за изграждане на доверие и въздържане от действия, които могат да застрашат регионалната стабилност. Декларацията няма характер на международноправно обвързващ договор, но показва възможност за политическо управление на напрежението.</w:t>
      </w:r>
    </w:p>
    <w:p w14:paraId="113E2363" w14:textId="526878B9" w:rsidR="00F45CCC" w:rsidRDefault="00F45CCC" w:rsidP="00F45CCC">
      <w:pPr>
        <w:ind w:firstLine="567"/>
        <w:jc w:val="both"/>
        <w:rPr>
          <w:szCs w:val="28"/>
        </w:rPr>
      </w:pPr>
      <w:r w:rsidRPr="00F45CCC">
        <w:rPr>
          <w:szCs w:val="28"/>
        </w:rPr>
        <w:lastRenderedPageBreak/>
        <w:t>В краткосрочен план най-вероятен е сценарият на запазване на териториалното статукво, съпроводено с периодични кризи и последващо дипломатическо успокояване. По-благоприятният сценарий включва договаряне или предоставяне на Международния съд на въпросите за континенталния шелф и морската делимитация. Най-малко вероятна е промяна на суверенитета върху основните егейски острови, тъй като той е установен от действащи международни договори.[20][22] Следователно тяхното бъдеще ще зависи преди всичко от режима на сигурност, степента на милитаризация и разграничаването на морските зони, а не от прехвърляне на териториален суверенитет.</w:t>
      </w:r>
    </w:p>
    <w:p w14:paraId="1EAD6474" w14:textId="77777777" w:rsidR="00F45CCC" w:rsidRPr="00F45CCC" w:rsidRDefault="00F45CCC" w:rsidP="00F45CCC">
      <w:pPr>
        <w:jc w:val="both"/>
        <w:rPr>
          <w:szCs w:val="28"/>
        </w:rPr>
      </w:pPr>
    </w:p>
    <w:p w14:paraId="0287CFBC" w14:textId="77777777" w:rsidR="004F1C93" w:rsidRPr="004F1C93" w:rsidRDefault="004F1C93" w:rsidP="004F1C93">
      <w:pPr>
        <w:ind w:firstLine="567"/>
        <w:jc w:val="both"/>
        <w:rPr>
          <w:b/>
          <w:bCs/>
          <w:szCs w:val="28"/>
        </w:rPr>
      </w:pPr>
      <w:r w:rsidRPr="004F1C93">
        <w:rPr>
          <w:b/>
          <w:bCs/>
          <w:szCs w:val="28"/>
        </w:rPr>
        <w:t>Заключение</w:t>
      </w:r>
    </w:p>
    <w:p w14:paraId="35BBD199" w14:textId="77777777" w:rsidR="00F45CCC" w:rsidRPr="00F45CCC" w:rsidRDefault="00F45CCC" w:rsidP="00F45CCC">
      <w:pPr>
        <w:ind w:firstLine="567"/>
        <w:jc w:val="both"/>
        <w:rPr>
          <w:szCs w:val="28"/>
        </w:rPr>
      </w:pPr>
      <w:r w:rsidRPr="00F45CCC">
        <w:rPr>
          <w:szCs w:val="28"/>
        </w:rPr>
        <w:t>Доктрината „Синя Родина“ представлява съчетание от геополитическа концепция, военноморска стратегия и външнополитически инструмент, чрез който Турция формулира своите интереси в Егейско, Черно и Източното Средиземно море. Нейното утвърждаване засилва значението на морската мощ и поставя егейските острови в центъра на споровете за сигурността, демилитаризацията и разпределението на морските пространства.</w:t>
      </w:r>
    </w:p>
    <w:p w14:paraId="01649ABA" w14:textId="77777777" w:rsidR="00F45CCC" w:rsidRPr="00F45CCC" w:rsidRDefault="00F45CCC" w:rsidP="00F45CCC">
      <w:pPr>
        <w:ind w:firstLine="567"/>
        <w:jc w:val="both"/>
        <w:rPr>
          <w:szCs w:val="28"/>
        </w:rPr>
      </w:pPr>
      <w:r w:rsidRPr="00F45CCC">
        <w:rPr>
          <w:szCs w:val="28"/>
        </w:rPr>
        <w:t>Изследването показва, че суверенитетът върху основните егейски острови е установен от Лозанския договор от 1923 г. и Парижкия мирен договор от 1947 г. Различията между Гърция и Турция се отнасят главно до тълкуването на военните ограничения и до ефекта на островите при разграничаването на териториалното море, континенталния шелф и изключителната икономическа зона. Нито доктрината „Синя Родина“, нито евентуално нарушение на договорно задължение могат сами по себе си да доведат до автоматична промяна на териториалния суверенитет.</w:t>
      </w:r>
    </w:p>
    <w:p w14:paraId="3EEA3D3A" w14:textId="3F56112D" w:rsidR="001F6E53" w:rsidRDefault="00F45CCC" w:rsidP="00F45CCC">
      <w:pPr>
        <w:ind w:firstLine="567"/>
        <w:jc w:val="both"/>
        <w:rPr>
          <w:szCs w:val="28"/>
        </w:rPr>
      </w:pPr>
      <w:r w:rsidRPr="00F45CCC">
        <w:rPr>
          <w:szCs w:val="28"/>
        </w:rPr>
        <w:t>Поради това бъдещето на егейските острови най-вероятно ще се характеризира със запазване на съществуващата принадлежност, но и с продължаващо съперничество около прилежащите морски пространства. Устойчивото намаляване на напрежението изисква постоянни комуникационни канали, мерки за взаимно доверие и мирно уреждане на споровете чрез преговори или международно правосъдие. Така Егейско море би могло постепенно да се превърне от пространство на военно противопоставяне в зона на регулирано съжителство и регионално сътрудничество.</w:t>
      </w:r>
    </w:p>
    <w:p w14:paraId="1F295B30" w14:textId="77777777" w:rsidR="005008ED" w:rsidRPr="005008ED" w:rsidRDefault="005008ED" w:rsidP="005008ED">
      <w:pPr>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58F0029A" w14:textId="2A887F06" w:rsidR="00F45CCC" w:rsidRPr="00F45CCC" w:rsidRDefault="00F45CCC" w:rsidP="00F45CCC">
      <w:pPr>
        <w:jc w:val="both"/>
        <w:rPr>
          <w:szCs w:val="28"/>
          <w:lang w:eastAsia="en-US"/>
        </w:rPr>
      </w:pPr>
      <w:r w:rsidRPr="00F45CCC">
        <w:rPr>
          <w:szCs w:val="28"/>
          <w:lang w:eastAsia="en-US"/>
        </w:rPr>
        <w:t>[1] DENIZEAU, Aurélien. </w:t>
      </w:r>
      <w:r w:rsidRPr="00F45CCC">
        <w:rPr>
          <w:i/>
          <w:iCs/>
          <w:szCs w:val="28"/>
          <w:lang w:eastAsia="en-US"/>
        </w:rPr>
        <w:t>Mavi Vatan, the “Blue Homeland”: The Origins, Influences and Limits of an Ambitious Doctrine for Turkey</w:t>
      </w:r>
      <w:r w:rsidRPr="00F45CCC">
        <w:rPr>
          <w:szCs w:val="28"/>
          <w:lang w:eastAsia="en-US"/>
        </w:rPr>
        <w:t>. Études de l’Ifri, April 2021. Онлайн. Достъпно на: Ifri [прегледано на 16.09.2026].</w:t>
      </w:r>
    </w:p>
    <w:p w14:paraId="0AA0A4B7" w14:textId="62C087EA" w:rsidR="00F45CCC" w:rsidRPr="00F45CCC" w:rsidRDefault="00F45CCC" w:rsidP="00F45CCC">
      <w:pPr>
        <w:jc w:val="both"/>
        <w:rPr>
          <w:szCs w:val="28"/>
          <w:lang w:eastAsia="en-US"/>
        </w:rPr>
      </w:pPr>
      <w:r w:rsidRPr="00F45CCC">
        <w:rPr>
          <w:szCs w:val="28"/>
          <w:lang w:eastAsia="en-US"/>
        </w:rPr>
        <w:t>[2] GINGERAS, Ryan. </w:t>
      </w:r>
      <w:r w:rsidRPr="00F45CCC">
        <w:rPr>
          <w:i/>
          <w:iCs/>
          <w:szCs w:val="28"/>
          <w:lang w:eastAsia="en-US"/>
        </w:rPr>
        <w:t>Blue Homeland: The Heated Politics Behind Turkey’s New Maritime Strategy</w:t>
      </w:r>
      <w:r w:rsidRPr="00F45CCC">
        <w:rPr>
          <w:szCs w:val="28"/>
          <w:lang w:eastAsia="en-US"/>
        </w:rPr>
        <w:t>. War on the Rocks, 2 June 2020. Онлайн. Достъпно на: War on the Rocks [прегледано на 16.09.2026].</w:t>
      </w:r>
    </w:p>
    <w:p w14:paraId="4FDBC0FE" w14:textId="77777777" w:rsidR="00F45CCC" w:rsidRPr="00F45CCC" w:rsidRDefault="00F45CCC" w:rsidP="00F45CCC">
      <w:pPr>
        <w:jc w:val="both"/>
        <w:rPr>
          <w:szCs w:val="28"/>
          <w:lang w:eastAsia="en-US"/>
        </w:rPr>
      </w:pPr>
      <w:r w:rsidRPr="00F45CCC">
        <w:rPr>
          <w:szCs w:val="28"/>
          <w:lang w:eastAsia="en-US"/>
        </w:rPr>
        <w:lastRenderedPageBreak/>
        <w:t>[3] UNITED NATIONS. </w:t>
      </w:r>
      <w:r w:rsidRPr="00F45CCC">
        <w:rPr>
          <w:i/>
          <w:iCs/>
          <w:szCs w:val="28"/>
          <w:lang w:eastAsia="en-US"/>
        </w:rPr>
        <w:t>United Nations Convention on the Law of the Sea</w:t>
      </w:r>
      <w:r w:rsidRPr="00F45CCC">
        <w:rPr>
          <w:szCs w:val="28"/>
          <w:lang w:eastAsia="en-US"/>
        </w:rPr>
        <w:t>. Montego Bay, 10 December 1982. Онлайн. Достъпно на: </w:t>
      </w:r>
      <w:hyperlink r:id="rId8" w:history="1">
        <w:r w:rsidRPr="00F45CCC">
          <w:rPr>
            <w:szCs w:val="28"/>
            <w:lang w:eastAsia="en-US"/>
          </w:rPr>
          <w:t>United Nations</w:t>
        </w:r>
      </w:hyperlink>
      <w:r w:rsidRPr="00F45CCC">
        <w:rPr>
          <w:szCs w:val="28"/>
          <w:lang w:eastAsia="en-US"/>
        </w:rPr>
        <w:t> [прегледано на 16.09.2026].</w:t>
      </w:r>
    </w:p>
    <w:p w14:paraId="3C87B92C" w14:textId="77777777" w:rsidR="00F45CCC" w:rsidRPr="00F45CCC" w:rsidRDefault="00F45CCC" w:rsidP="00F45CCC">
      <w:pPr>
        <w:jc w:val="both"/>
        <w:rPr>
          <w:szCs w:val="28"/>
          <w:lang w:eastAsia="en-US"/>
        </w:rPr>
      </w:pPr>
      <w:r w:rsidRPr="00F45CCC">
        <w:rPr>
          <w:szCs w:val="28"/>
          <w:lang w:eastAsia="en-US"/>
        </w:rPr>
        <w:t>[4] REPUBLIC OF TÜRKİYE, MINISTRY OF FOREIGN AFFAIRS. </w:t>
      </w:r>
      <w:r w:rsidRPr="00F45CCC">
        <w:rPr>
          <w:i/>
          <w:iCs/>
          <w:szCs w:val="28"/>
          <w:lang w:eastAsia="en-US"/>
        </w:rPr>
        <w:t>Background Note on Aegean Disputes</w:t>
      </w:r>
      <w:r w:rsidRPr="00F45CCC">
        <w:rPr>
          <w:szCs w:val="28"/>
          <w:lang w:eastAsia="en-US"/>
        </w:rPr>
        <w:t>. Онлайн. Достъпно на: </w:t>
      </w:r>
      <w:hyperlink r:id="rId9" w:history="1">
        <w:r w:rsidRPr="00F45CCC">
          <w:rPr>
            <w:szCs w:val="28"/>
            <w:lang w:eastAsia="en-US"/>
          </w:rPr>
          <w:t>Министерство на външните работи на Турция</w:t>
        </w:r>
      </w:hyperlink>
      <w:r w:rsidRPr="00F45CCC">
        <w:rPr>
          <w:szCs w:val="28"/>
          <w:lang w:eastAsia="en-US"/>
        </w:rPr>
        <w:t> [прегледано на 16.09.2026].</w:t>
      </w:r>
    </w:p>
    <w:p w14:paraId="3DD7B237" w14:textId="77777777" w:rsidR="00F45CCC" w:rsidRPr="00F45CCC" w:rsidRDefault="00F45CCC" w:rsidP="00F45CCC">
      <w:pPr>
        <w:jc w:val="both"/>
        <w:rPr>
          <w:szCs w:val="28"/>
          <w:lang w:eastAsia="en-US"/>
        </w:rPr>
      </w:pPr>
      <w:r w:rsidRPr="00F45CCC">
        <w:rPr>
          <w:szCs w:val="28"/>
          <w:lang w:eastAsia="en-US"/>
        </w:rPr>
        <w:t>[5] HELLENIC REPUBLIC, MINISTRY OF FOREIGN AFFAIRS. </w:t>
      </w:r>
      <w:r w:rsidRPr="00F45CCC">
        <w:rPr>
          <w:i/>
          <w:iCs/>
          <w:szCs w:val="28"/>
          <w:lang w:eastAsia="en-US"/>
        </w:rPr>
        <w:t>Issues of Greek–Turkish Relations</w:t>
      </w:r>
      <w:r w:rsidRPr="00F45CCC">
        <w:rPr>
          <w:szCs w:val="28"/>
          <w:lang w:eastAsia="en-US"/>
        </w:rPr>
        <w:t>. Онлайн. Достъпно на: </w:t>
      </w:r>
      <w:hyperlink r:id="rId10" w:history="1">
        <w:r w:rsidRPr="00F45CCC">
          <w:rPr>
            <w:szCs w:val="28"/>
            <w:lang w:eastAsia="en-US"/>
          </w:rPr>
          <w:t>Министерство на външните работи на Гърция</w:t>
        </w:r>
      </w:hyperlink>
      <w:r w:rsidRPr="00F45CCC">
        <w:rPr>
          <w:szCs w:val="28"/>
          <w:lang w:eastAsia="en-US"/>
        </w:rPr>
        <w:t> [прегледано на 16.09.2026].</w:t>
      </w:r>
    </w:p>
    <w:p w14:paraId="16DCAAAB" w14:textId="77777777" w:rsidR="00F45CCC" w:rsidRPr="00F45CCC" w:rsidRDefault="00F45CCC" w:rsidP="00F45CCC">
      <w:pPr>
        <w:jc w:val="both"/>
        <w:rPr>
          <w:szCs w:val="28"/>
          <w:lang w:eastAsia="en-US"/>
        </w:rPr>
      </w:pPr>
      <w:r w:rsidRPr="00F45CCC">
        <w:rPr>
          <w:szCs w:val="28"/>
          <w:lang w:eastAsia="en-US"/>
        </w:rPr>
        <w:t>[6] GÜRDENİZ, Cem. </w:t>
      </w:r>
      <w:r w:rsidRPr="00F45CCC">
        <w:rPr>
          <w:i/>
          <w:iCs/>
          <w:szCs w:val="28"/>
          <w:lang w:eastAsia="en-US"/>
        </w:rPr>
        <w:t>Mavi Vatan Yazıları</w:t>
      </w:r>
      <w:r w:rsidRPr="00F45CCC">
        <w:rPr>
          <w:szCs w:val="28"/>
          <w:lang w:eastAsia="en-US"/>
        </w:rPr>
        <w:t>. İstanbul: Kırmızı Kedi Yayınevi, 2017. ISBN 978-6052982181.</w:t>
      </w:r>
    </w:p>
    <w:p w14:paraId="2A8C2EED" w14:textId="77777777" w:rsidR="00F45CCC" w:rsidRPr="00F45CCC" w:rsidRDefault="00F45CCC" w:rsidP="00F45CCC">
      <w:pPr>
        <w:jc w:val="both"/>
        <w:rPr>
          <w:szCs w:val="28"/>
          <w:lang w:eastAsia="en-US"/>
        </w:rPr>
      </w:pPr>
      <w:r w:rsidRPr="00F45CCC">
        <w:rPr>
          <w:szCs w:val="28"/>
          <w:lang w:eastAsia="en-US"/>
        </w:rPr>
        <w:t>[7] DENIZEAU, Aurélien. </w:t>
      </w:r>
      <w:r w:rsidRPr="00F45CCC">
        <w:rPr>
          <w:i/>
          <w:iCs/>
          <w:szCs w:val="28"/>
          <w:lang w:eastAsia="en-US"/>
        </w:rPr>
        <w:t>Mavi Vatan, the “Blue Homeland”</w:t>
      </w:r>
      <w:r w:rsidRPr="00F45CCC">
        <w:rPr>
          <w:szCs w:val="28"/>
          <w:lang w:eastAsia="en-US"/>
        </w:rPr>
        <w:t>, цит. съч.</w:t>
      </w:r>
    </w:p>
    <w:p w14:paraId="5EF0F48A" w14:textId="77777777" w:rsidR="00F45CCC" w:rsidRPr="00F45CCC" w:rsidRDefault="00F45CCC" w:rsidP="00F45CCC">
      <w:pPr>
        <w:jc w:val="both"/>
        <w:rPr>
          <w:szCs w:val="28"/>
          <w:lang w:eastAsia="en-US"/>
        </w:rPr>
      </w:pPr>
      <w:r w:rsidRPr="00F45CCC">
        <w:rPr>
          <w:szCs w:val="28"/>
          <w:lang w:eastAsia="en-US"/>
        </w:rPr>
        <w:t>[8] YAYCI, Cihat. Doğu Akdeniz’de Yetki Alanlarının Paylaşılması Sorunu ve Türkiye. </w:t>
      </w:r>
      <w:r w:rsidRPr="00F45CCC">
        <w:rPr>
          <w:i/>
          <w:iCs/>
          <w:szCs w:val="28"/>
          <w:lang w:eastAsia="en-US"/>
        </w:rPr>
        <w:t>Bilge Strateji</w:t>
      </w:r>
      <w:r w:rsidRPr="00F45CCC">
        <w:rPr>
          <w:szCs w:val="28"/>
          <w:lang w:eastAsia="en-US"/>
        </w:rPr>
        <w:t>, 2012, Vol. 4, № 6, pp. 1–70. Онлайн. Достъпно на: </w:t>
      </w:r>
      <w:hyperlink r:id="rId11" w:history="1">
        <w:r w:rsidRPr="00F45CCC">
          <w:rPr>
            <w:szCs w:val="28"/>
            <w:lang w:eastAsia="en-US"/>
          </w:rPr>
          <w:t>DergiPark</w:t>
        </w:r>
      </w:hyperlink>
      <w:r w:rsidRPr="00F45CCC">
        <w:rPr>
          <w:szCs w:val="28"/>
          <w:lang w:eastAsia="en-US"/>
        </w:rPr>
        <w:t> [прегледано на 16.09.2026].</w:t>
      </w:r>
    </w:p>
    <w:p w14:paraId="5CE2460C" w14:textId="77777777" w:rsidR="00F45CCC" w:rsidRPr="00F45CCC" w:rsidRDefault="00F45CCC" w:rsidP="00F45CCC">
      <w:pPr>
        <w:jc w:val="both"/>
        <w:rPr>
          <w:szCs w:val="28"/>
          <w:lang w:eastAsia="en-US"/>
        </w:rPr>
      </w:pPr>
      <w:r w:rsidRPr="00F45CCC">
        <w:rPr>
          <w:szCs w:val="28"/>
          <w:lang w:eastAsia="en-US"/>
        </w:rPr>
        <w:t>[9] ÇANDAR, Cengiz. </w:t>
      </w:r>
      <w:r w:rsidRPr="00F45CCC">
        <w:rPr>
          <w:i/>
          <w:iCs/>
          <w:szCs w:val="28"/>
          <w:lang w:eastAsia="en-US"/>
        </w:rPr>
        <w:t>Turkey’s Blue Homeland Doctrine: Signaling Perpetual Conflict in the Mediterranean and Rough Waters Ahead</w:t>
      </w:r>
      <w:r w:rsidRPr="00F45CCC">
        <w:rPr>
          <w:szCs w:val="28"/>
          <w:lang w:eastAsia="en-US"/>
        </w:rPr>
        <w:t>. Türkiye Analyst, 26 August 2020. Онлайн. Достъпно на: </w:t>
      </w:r>
      <w:hyperlink r:id="rId12" w:history="1">
        <w:r w:rsidRPr="00F45CCC">
          <w:rPr>
            <w:szCs w:val="28"/>
            <w:lang w:eastAsia="en-US"/>
          </w:rPr>
          <w:t>Türkiye Analyst</w:t>
        </w:r>
      </w:hyperlink>
      <w:r w:rsidRPr="00F45CCC">
        <w:rPr>
          <w:szCs w:val="28"/>
          <w:lang w:eastAsia="en-US"/>
        </w:rPr>
        <w:t> [прегледано на 16.09.2026].</w:t>
      </w:r>
    </w:p>
    <w:p w14:paraId="6FA6141F" w14:textId="77777777" w:rsidR="00F45CCC" w:rsidRPr="00F45CCC" w:rsidRDefault="00F45CCC" w:rsidP="00F45CCC">
      <w:pPr>
        <w:jc w:val="both"/>
        <w:rPr>
          <w:szCs w:val="28"/>
          <w:lang w:eastAsia="en-US"/>
        </w:rPr>
      </w:pPr>
      <w:r w:rsidRPr="00F45CCC">
        <w:rPr>
          <w:szCs w:val="28"/>
          <w:lang w:eastAsia="en-US"/>
        </w:rPr>
        <w:t>[10] REPUBLIC OF TÜRKİYE, MINISTRY OF FOREIGN AFFAIRS. </w:t>
      </w:r>
      <w:r w:rsidRPr="00F45CCC">
        <w:rPr>
          <w:i/>
          <w:iCs/>
          <w:szCs w:val="28"/>
          <w:lang w:eastAsia="en-US"/>
        </w:rPr>
        <w:t>Türkiye’s Perception of the Aegean Sea</w:t>
      </w:r>
      <w:r w:rsidRPr="00F45CCC">
        <w:rPr>
          <w:szCs w:val="28"/>
          <w:lang w:eastAsia="en-US"/>
        </w:rPr>
        <w:t>. Онлайн. Достъпно на: </w:t>
      </w:r>
      <w:hyperlink r:id="rId13" w:history="1">
        <w:r w:rsidRPr="00F45CCC">
          <w:rPr>
            <w:szCs w:val="28"/>
            <w:lang w:eastAsia="en-US"/>
          </w:rPr>
          <w:t>Министерство на външните работи на Турция</w:t>
        </w:r>
      </w:hyperlink>
      <w:r w:rsidRPr="00F45CCC">
        <w:rPr>
          <w:szCs w:val="28"/>
          <w:lang w:eastAsia="en-US"/>
        </w:rPr>
        <w:t> [прегледано на 16.09.2026].</w:t>
      </w:r>
    </w:p>
    <w:p w14:paraId="515EDA54" w14:textId="77777777" w:rsidR="00F45CCC" w:rsidRPr="00F45CCC" w:rsidRDefault="00F45CCC" w:rsidP="00F45CCC">
      <w:pPr>
        <w:jc w:val="both"/>
        <w:rPr>
          <w:szCs w:val="28"/>
          <w:lang w:eastAsia="en-US"/>
        </w:rPr>
      </w:pPr>
      <w:r w:rsidRPr="00F45CCC">
        <w:rPr>
          <w:szCs w:val="28"/>
          <w:lang w:eastAsia="en-US"/>
        </w:rPr>
        <w:t>[11] UNITED NATIONS. </w:t>
      </w:r>
      <w:r w:rsidRPr="00F45CCC">
        <w:rPr>
          <w:i/>
          <w:iCs/>
          <w:szCs w:val="28"/>
          <w:lang w:eastAsia="en-US"/>
        </w:rPr>
        <w:t>United Nations Convention on the Law of the Sea</w:t>
      </w:r>
      <w:r w:rsidRPr="00F45CCC">
        <w:rPr>
          <w:szCs w:val="28"/>
          <w:lang w:eastAsia="en-US"/>
        </w:rPr>
        <w:t>, Articles 56, 57, 74, 83 and 121, цит. съч.</w:t>
      </w:r>
    </w:p>
    <w:p w14:paraId="3EEAA61A" w14:textId="77777777" w:rsidR="00F45CCC" w:rsidRPr="00F45CCC" w:rsidRDefault="00F45CCC" w:rsidP="00F45CCC">
      <w:pPr>
        <w:jc w:val="both"/>
        <w:rPr>
          <w:szCs w:val="28"/>
          <w:lang w:eastAsia="en-US"/>
        </w:rPr>
      </w:pPr>
      <w:r w:rsidRPr="00F45CCC">
        <w:rPr>
          <w:szCs w:val="28"/>
          <w:lang w:eastAsia="en-US"/>
        </w:rPr>
        <w:t>[12] REPUBLIC OF TÜRKİYE, MINISTRY OF FOREIGN AFFAIRS. </w:t>
      </w:r>
      <w:r w:rsidRPr="00F45CCC">
        <w:rPr>
          <w:i/>
          <w:iCs/>
          <w:szCs w:val="28"/>
          <w:lang w:eastAsia="en-US"/>
        </w:rPr>
        <w:t>Türkiye’s Views Regarding the Settlement of the Aegean Issues</w:t>
      </w:r>
      <w:r w:rsidRPr="00F45CCC">
        <w:rPr>
          <w:szCs w:val="28"/>
          <w:lang w:eastAsia="en-US"/>
        </w:rPr>
        <w:t>. Онлайн. Достъпно на: </w:t>
      </w:r>
      <w:hyperlink r:id="rId14" w:history="1">
        <w:r w:rsidRPr="00F45CCC">
          <w:rPr>
            <w:szCs w:val="28"/>
            <w:lang w:eastAsia="en-US"/>
          </w:rPr>
          <w:t>Министерство на външните работи на Турция</w:t>
        </w:r>
      </w:hyperlink>
      <w:r w:rsidRPr="00F45CCC">
        <w:rPr>
          <w:szCs w:val="28"/>
          <w:lang w:eastAsia="en-US"/>
        </w:rPr>
        <w:t> [прегледано на 16.09.2026].</w:t>
      </w:r>
    </w:p>
    <w:p w14:paraId="4AF30844" w14:textId="77777777" w:rsidR="00F45CCC" w:rsidRPr="00F45CCC" w:rsidRDefault="00F45CCC" w:rsidP="00F45CCC">
      <w:pPr>
        <w:jc w:val="both"/>
        <w:rPr>
          <w:szCs w:val="28"/>
          <w:lang w:eastAsia="en-US"/>
        </w:rPr>
      </w:pPr>
      <w:r w:rsidRPr="00F45CCC">
        <w:rPr>
          <w:szCs w:val="28"/>
          <w:lang w:eastAsia="en-US"/>
        </w:rPr>
        <w:t>[13] UNITED NATIONS. </w:t>
      </w:r>
      <w:r w:rsidRPr="00F45CCC">
        <w:rPr>
          <w:i/>
          <w:iCs/>
          <w:szCs w:val="28"/>
          <w:lang w:eastAsia="en-US"/>
        </w:rPr>
        <w:t>Memorandum of Understanding between the Government of the Republic of Turkey and the Government of National Accord-State of Libya on Delimitation of the Maritime Jurisdiction Areas in the Mediterranean</w:t>
      </w:r>
      <w:r w:rsidRPr="00F45CCC">
        <w:rPr>
          <w:szCs w:val="28"/>
          <w:lang w:eastAsia="en-US"/>
        </w:rPr>
        <w:t>. Istanbul, 27 November 2019, Registration № 56119. Онлайн. Достъпно на: </w:t>
      </w:r>
      <w:hyperlink r:id="rId15" w:history="1">
        <w:r w:rsidRPr="00F45CCC">
          <w:rPr>
            <w:szCs w:val="28"/>
            <w:lang w:eastAsia="en-US"/>
          </w:rPr>
          <w:t>United Nations Treaty Collection</w:t>
        </w:r>
      </w:hyperlink>
      <w:r w:rsidRPr="00F45CCC">
        <w:rPr>
          <w:szCs w:val="28"/>
          <w:lang w:eastAsia="en-US"/>
        </w:rPr>
        <w:t>[прегледано на 16.09.2026].</w:t>
      </w:r>
    </w:p>
    <w:p w14:paraId="6890E3DB" w14:textId="77777777" w:rsidR="00F45CCC" w:rsidRPr="00F45CCC" w:rsidRDefault="00F45CCC" w:rsidP="00F45CCC">
      <w:pPr>
        <w:jc w:val="both"/>
        <w:rPr>
          <w:szCs w:val="28"/>
          <w:lang w:eastAsia="en-US"/>
        </w:rPr>
      </w:pPr>
      <w:r w:rsidRPr="00F45CCC">
        <w:rPr>
          <w:szCs w:val="28"/>
          <w:lang w:eastAsia="en-US"/>
        </w:rPr>
        <w:t>[14] ÇANDAR, Cengiz. </w:t>
      </w:r>
      <w:r w:rsidRPr="00F45CCC">
        <w:rPr>
          <w:i/>
          <w:iCs/>
          <w:szCs w:val="28"/>
          <w:lang w:eastAsia="en-US"/>
        </w:rPr>
        <w:t>Turkey’s Blue Homeland Doctrine</w:t>
      </w:r>
      <w:r w:rsidRPr="00F45CCC">
        <w:rPr>
          <w:szCs w:val="28"/>
          <w:lang w:eastAsia="en-US"/>
        </w:rPr>
        <w:t>, цит. съч.</w:t>
      </w:r>
    </w:p>
    <w:p w14:paraId="19822985" w14:textId="77777777" w:rsidR="00F45CCC" w:rsidRPr="00F45CCC" w:rsidRDefault="00F45CCC" w:rsidP="00F45CCC">
      <w:pPr>
        <w:jc w:val="both"/>
        <w:rPr>
          <w:szCs w:val="28"/>
          <w:lang w:eastAsia="en-US"/>
        </w:rPr>
      </w:pPr>
      <w:r w:rsidRPr="00F45CCC">
        <w:rPr>
          <w:szCs w:val="28"/>
          <w:lang w:eastAsia="en-US"/>
        </w:rPr>
        <w:t>[15] UNITED KINGDOM, FOREIGN, COMMONWEALTH &amp; DEVELOPMENT OFFICE. </w:t>
      </w:r>
      <w:r w:rsidRPr="00F45CCC">
        <w:rPr>
          <w:i/>
          <w:iCs/>
          <w:szCs w:val="28"/>
          <w:lang w:eastAsia="en-US"/>
        </w:rPr>
        <w:t>Treaty of Peace with Turkey Signed at Lausanne, 24 July 1923</w:t>
      </w:r>
      <w:r w:rsidRPr="00F45CCC">
        <w:rPr>
          <w:szCs w:val="28"/>
          <w:lang w:eastAsia="en-US"/>
        </w:rPr>
        <w:t>, Articles 12–16. Treaty Series № 16 (1923). Онлайн. Достъпно на: </w:t>
      </w:r>
      <w:hyperlink r:id="rId16" w:history="1">
        <w:r w:rsidRPr="00F45CCC">
          <w:rPr>
            <w:szCs w:val="28"/>
            <w:lang w:eastAsia="en-US"/>
          </w:rPr>
          <w:t>UK Treaties Online</w:t>
        </w:r>
      </w:hyperlink>
      <w:r w:rsidRPr="00F45CCC">
        <w:rPr>
          <w:szCs w:val="28"/>
          <w:lang w:eastAsia="en-US"/>
        </w:rPr>
        <w:t>[прегледано на 16.09.2026].</w:t>
      </w:r>
    </w:p>
    <w:p w14:paraId="317F8871" w14:textId="77777777" w:rsidR="00F45CCC" w:rsidRPr="00F45CCC" w:rsidRDefault="00F45CCC" w:rsidP="00F45CCC">
      <w:pPr>
        <w:jc w:val="both"/>
        <w:rPr>
          <w:szCs w:val="28"/>
          <w:lang w:eastAsia="en-US"/>
        </w:rPr>
      </w:pPr>
      <w:r w:rsidRPr="00F45CCC">
        <w:rPr>
          <w:szCs w:val="28"/>
          <w:lang w:eastAsia="en-US"/>
        </w:rPr>
        <w:t>[16] UNITED NATIONS. </w:t>
      </w:r>
      <w:r w:rsidRPr="00F45CCC">
        <w:rPr>
          <w:i/>
          <w:iCs/>
          <w:szCs w:val="28"/>
          <w:lang w:eastAsia="en-US"/>
        </w:rPr>
        <w:t>Treaty of Peace with Italy</w:t>
      </w:r>
      <w:r w:rsidRPr="00F45CCC">
        <w:rPr>
          <w:szCs w:val="28"/>
          <w:lang w:eastAsia="en-US"/>
        </w:rPr>
        <w:t>. Paris, 10 February 1947, Article 14. United Nations Treaty Series, Vol. 49, p. 3. Онлайн. Достъпно на: </w:t>
      </w:r>
      <w:hyperlink r:id="rId17" w:history="1">
        <w:r w:rsidRPr="00F45CCC">
          <w:rPr>
            <w:szCs w:val="28"/>
            <w:lang w:eastAsia="en-US"/>
          </w:rPr>
          <w:t>United Nations Treaty Collection</w:t>
        </w:r>
      </w:hyperlink>
      <w:r w:rsidRPr="00F45CCC">
        <w:rPr>
          <w:szCs w:val="28"/>
          <w:lang w:eastAsia="en-US"/>
        </w:rPr>
        <w:t> [прегледано на 16.09.2026].</w:t>
      </w:r>
    </w:p>
    <w:p w14:paraId="04A22894" w14:textId="77777777" w:rsidR="00F45CCC" w:rsidRPr="00F45CCC" w:rsidRDefault="00F45CCC" w:rsidP="00F45CCC">
      <w:pPr>
        <w:jc w:val="both"/>
        <w:rPr>
          <w:szCs w:val="28"/>
          <w:lang w:eastAsia="en-US"/>
        </w:rPr>
      </w:pPr>
      <w:r w:rsidRPr="00F45CCC">
        <w:rPr>
          <w:szCs w:val="28"/>
          <w:lang w:eastAsia="en-US"/>
        </w:rPr>
        <w:t>[17] HELLENIC REPUBLIC, MINISTRY OF FOREIGN AFFAIRS. </w:t>
      </w:r>
      <w:r w:rsidRPr="00F45CCC">
        <w:rPr>
          <w:i/>
          <w:iCs/>
          <w:szCs w:val="28"/>
          <w:lang w:eastAsia="en-US"/>
        </w:rPr>
        <w:t>Issues of Greek–Turkish Relations</w:t>
      </w:r>
      <w:r w:rsidRPr="00F45CCC">
        <w:rPr>
          <w:szCs w:val="28"/>
          <w:lang w:eastAsia="en-US"/>
        </w:rPr>
        <w:t>. Онлайн. Достъпно на: </w:t>
      </w:r>
      <w:hyperlink r:id="rId18" w:history="1">
        <w:r w:rsidRPr="00F45CCC">
          <w:rPr>
            <w:szCs w:val="28"/>
            <w:lang w:eastAsia="en-US"/>
          </w:rPr>
          <w:t>Министерство на външните работи на Гърция</w:t>
        </w:r>
      </w:hyperlink>
      <w:r w:rsidRPr="00F45CCC">
        <w:rPr>
          <w:szCs w:val="28"/>
          <w:lang w:eastAsia="en-US"/>
        </w:rPr>
        <w:t> [прегледано на 16.09.2026].</w:t>
      </w:r>
    </w:p>
    <w:p w14:paraId="5BFB5ADB" w14:textId="77777777" w:rsidR="00F45CCC" w:rsidRPr="00F45CCC" w:rsidRDefault="00F45CCC" w:rsidP="00F45CCC">
      <w:pPr>
        <w:jc w:val="both"/>
        <w:rPr>
          <w:szCs w:val="28"/>
          <w:lang w:eastAsia="en-US"/>
        </w:rPr>
      </w:pPr>
      <w:r w:rsidRPr="00F45CCC">
        <w:rPr>
          <w:szCs w:val="28"/>
          <w:lang w:eastAsia="en-US"/>
        </w:rPr>
        <w:lastRenderedPageBreak/>
        <w:t>[18] REPUBLIC OF TÜRKİYE, MINISTRY OF FOREIGN AFFAIRS. </w:t>
      </w:r>
      <w:r w:rsidRPr="00F45CCC">
        <w:rPr>
          <w:i/>
          <w:iCs/>
          <w:szCs w:val="28"/>
          <w:lang w:eastAsia="en-US"/>
        </w:rPr>
        <w:t>Background Note on Aegean Disputes</w:t>
      </w:r>
      <w:r w:rsidRPr="00F45CCC">
        <w:rPr>
          <w:szCs w:val="28"/>
          <w:lang w:eastAsia="en-US"/>
        </w:rPr>
        <w:t>. Онлайн. Достъпно на: </w:t>
      </w:r>
      <w:hyperlink r:id="rId19" w:history="1">
        <w:r w:rsidRPr="00F45CCC">
          <w:rPr>
            <w:szCs w:val="28"/>
            <w:lang w:eastAsia="en-US"/>
          </w:rPr>
          <w:t>Министерство на външните работи на Турция</w:t>
        </w:r>
      </w:hyperlink>
      <w:r w:rsidRPr="00F45CCC">
        <w:rPr>
          <w:szCs w:val="28"/>
          <w:lang w:eastAsia="en-US"/>
        </w:rPr>
        <w:t> [прегледано на 16.09.2026].</w:t>
      </w:r>
    </w:p>
    <w:p w14:paraId="54D95A06" w14:textId="77777777" w:rsidR="00F45CCC" w:rsidRPr="00F45CCC" w:rsidRDefault="00F45CCC" w:rsidP="00F45CCC">
      <w:pPr>
        <w:jc w:val="both"/>
        <w:rPr>
          <w:szCs w:val="28"/>
          <w:lang w:eastAsia="en-US"/>
        </w:rPr>
      </w:pPr>
      <w:r w:rsidRPr="00F45CCC">
        <w:rPr>
          <w:szCs w:val="28"/>
          <w:lang w:eastAsia="en-US"/>
        </w:rPr>
        <w:t>[19] UNITED NATIONS. </w:t>
      </w:r>
      <w:r w:rsidRPr="00F45CCC">
        <w:rPr>
          <w:i/>
          <w:iCs/>
          <w:szCs w:val="28"/>
          <w:lang w:eastAsia="en-US"/>
        </w:rPr>
        <w:t>Convention regarding the Régime of the Straits</w:t>
      </w:r>
      <w:r w:rsidRPr="00F45CCC">
        <w:rPr>
          <w:szCs w:val="28"/>
          <w:lang w:eastAsia="en-US"/>
        </w:rPr>
        <w:t>. Montreux, 20 July 1936. League of Nations Treaty Series, Vol. 173, p. 213, № 4015. Онлайн. Достъпно на: </w:t>
      </w:r>
      <w:hyperlink r:id="rId20" w:history="1">
        <w:r w:rsidRPr="00F45CCC">
          <w:rPr>
            <w:szCs w:val="28"/>
            <w:lang w:eastAsia="en-US"/>
          </w:rPr>
          <w:t>United Nations Treaty Collection</w:t>
        </w:r>
      </w:hyperlink>
      <w:r w:rsidRPr="00F45CCC">
        <w:rPr>
          <w:szCs w:val="28"/>
          <w:lang w:eastAsia="en-US"/>
        </w:rPr>
        <w:t> [прегледано на 16.09.2026].</w:t>
      </w:r>
    </w:p>
    <w:p w14:paraId="315F898C" w14:textId="77777777" w:rsidR="00F45CCC" w:rsidRPr="00F45CCC" w:rsidRDefault="00F45CCC" w:rsidP="00F45CCC">
      <w:pPr>
        <w:jc w:val="both"/>
        <w:rPr>
          <w:szCs w:val="28"/>
          <w:lang w:eastAsia="en-US"/>
        </w:rPr>
      </w:pPr>
      <w:r w:rsidRPr="00F45CCC">
        <w:rPr>
          <w:szCs w:val="28"/>
          <w:lang w:eastAsia="en-US"/>
        </w:rPr>
        <w:t>[20] UNITED NATIONS. </w:t>
      </w:r>
      <w:r w:rsidRPr="00F45CCC">
        <w:rPr>
          <w:i/>
          <w:iCs/>
          <w:szCs w:val="28"/>
          <w:lang w:eastAsia="en-US"/>
        </w:rPr>
        <w:t>Vienna Convention on the Law of Treaties</w:t>
      </w:r>
      <w:r w:rsidRPr="00F45CCC">
        <w:rPr>
          <w:szCs w:val="28"/>
          <w:lang w:eastAsia="en-US"/>
        </w:rPr>
        <w:t>. Vienna, 23 May 1969, Article 34. Онлайн. Достъпно на: </w:t>
      </w:r>
      <w:hyperlink r:id="rId21" w:history="1">
        <w:r w:rsidRPr="00F45CCC">
          <w:rPr>
            <w:szCs w:val="28"/>
            <w:lang w:eastAsia="en-US"/>
          </w:rPr>
          <w:t>United Nations Office of Legal Affairs</w:t>
        </w:r>
      </w:hyperlink>
      <w:r w:rsidRPr="00F45CCC">
        <w:rPr>
          <w:szCs w:val="28"/>
          <w:lang w:eastAsia="en-US"/>
        </w:rPr>
        <w:t> [прегледано на 16.09.2026].</w:t>
      </w:r>
    </w:p>
    <w:p w14:paraId="392C92E1" w14:textId="77777777" w:rsidR="00F45CCC" w:rsidRPr="00F45CCC" w:rsidRDefault="00F45CCC" w:rsidP="00F45CCC">
      <w:pPr>
        <w:jc w:val="both"/>
        <w:rPr>
          <w:szCs w:val="28"/>
          <w:lang w:eastAsia="en-US"/>
        </w:rPr>
      </w:pPr>
      <w:r w:rsidRPr="00F45CCC">
        <w:rPr>
          <w:szCs w:val="28"/>
          <w:lang w:eastAsia="en-US"/>
        </w:rPr>
        <w:t>[21] UNITED NATIONS. </w:t>
      </w:r>
      <w:r w:rsidRPr="00F45CCC">
        <w:rPr>
          <w:i/>
          <w:iCs/>
          <w:szCs w:val="28"/>
          <w:lang w:eastAsia="en-US"/>
        </w:rPr>
        <w:t>Charter of the United Nations</w:t>
      </w:r>
      <w:r w:rsidRPr="00F45CCC">
        <w:rPr>
          <w:szCs w:val="28"/>
          <w:lang w:eastAsia="en-US"/>
        </w:rPr>
        <w:t>, Article 51. Онлайн. Достъпно на: </w:t>
      </w:r>
      <w:hyperlink r:id="rId22" w:history="1">
        <w:r w:rsidRPr="00F45CCC">
          <w:rPr>
            <w:szCs w:val="28"/>
            <w:lang w:eastAsia="en-US"/>
          </w:rPr>
          <w:t>United Nations</w:t>
        </w:r>
      </w:hyperlink>
      <w:r w:rsidRPr="00F45CCC">
        <w:rPr>
          <w:szCs w:val="28"/>
          <w:lang w:eastAsia="en-US"/>
        </w:rPr>
        <w:t> [прегледано на 16.09.2026].</w:t>
      </w:r>
    </w:p>
    <w:p w14:paraId="289ED9F7" w14:textId="53670610" w:rsidR="00D1767C" w:rsidRDefault="00F45CCC" w:rsidP="00F45CCC">
      <w:pPr>
        <w:jc w:val="both"/>
        <w:rPr>
          <w:szCs w:val="28"/>
          <w:lang w:eastAsia="en-US"/>
        </w:rPr>
      </w:pPr>
      <w:r w:rsidRPr="00F45CCC">
        <w:rPr>
          <w:szCs w:val="28"/>
          <w:lang w:eastAsia="en-US"/>
        </w:rPr>
        <w:t>[22] HELLENIC REPUBLIC; REPUBLIC OF TÜRKİYE. </w:t>
      </w:r>
      <w:r w:rsidRPr="00F45CCC">
        <w:rPr>
          <w:i/>
          <w:iCs/>
          <w:szCs w:val="28"/>
          <w:lang w:eastAsia="en-US"/>
        </w:rPr>
        <w:t>Athens Declaration on Friendly Relations and Good-Neighbourliness</w:t>
      </w:r>
      <w:r w:rsidRPr="00F45CCC">
        <w:rPr>
          <w:szCs w:val="28"/>
          <w:lang w:eastAsia="en-US"/>
        </w:rPr>
        <w:t>. Athens, 7 December 2023. Онлайн. Достъпно на: </w:t>
      </w:r>
      <w:hyperlink r:id="rId23" w:history="1">
        <w:r w:rsidRPr="00F45CCC">
          <w:rPr>
            <w:szCs w:val="28"/>
            <w:lang w:eastAsia="en-US"/>
          </w:rPr>
          <w:t>Министерство на външните работи на Гърция</w:t>
        </w:r>
      </w:hyperlink>
      <w:r w:rsidRPr="00F45CCC">
        <w:rPr>
          <w:szCs w:val="28"/>
          <w:lang w:eastAsia="en-US"/>
        </w:rPr>
        <w:t>[прегледано на 16.09.2026].</w:t>
      </w:r>
    </w:p>
    <w:p w14:paraId="3260658F" w14:textId="3724FF4F" w:rsidR="008E6E78" w:rsidRDefault="008E6E78" w:rsidP="00F45CCC">
      <w:pPr>
        <w:jc w:val="both"/>
        <w:rPr>
          <w:szCs w:val="28"/>
          <w:lang w:eastAsia="en-US"/>
        </w:rPr>
      </w:pPr>
    </w:p>
    <w:p w14:paraId="216343CE" w14:textId="134CEF92" w:rsidR="008E6E78" w:rsidRDefault="008E6E78" w:rsidP="00F45CCC">
      <w:pPr>
        <w:jc w:val="both"/>
        <w:rPr>
          <w:szCs w:val="28"/>
        </w:rPr>
      </w:pPr>
      <w:r w:rsidRPr="008E6E78">
        <w:rPr>
          <w:b/>
          <w:szCs w:val="28"/>
        </w:rPr>
        <w:t>ЛИТЕРАТУРА</w:t>
      </w:r>
      <w:r w:rsidRPr="008E6E78">
        <w:rPr>
          <w:szCs w:val="28"/>
        </w:rPr>
        <w:t>:</w:t>
      </w:r>
    </w:p>
    <w:p w14:paraId="3A956EE7" w14:textId="77777777" w:rsidR="008E6E78" w:rsidRPr="008E6E78" w:rsidRDefault="008E6E78" w:rsidP="008E6E78">
      <w:pPr>
        <w:pStyle w:val="af1"/>
        <w:numPr>
          <w:ilvl w:val="0"/>
          <w:numId w:val="6"/>
        </w:numPr>
        <w:tabs>
          <w:tab w:val="clear" w:pos="720"/>
          <w:tab w:val="left" w:pos="851"/>
          <w:tab w:val="num" w:pos="1134"/>
        </w:tabs>
        <w:ind w:left="0" w:firstLine="567"/>
        <w:jc w:val="both"/>
        <w:rPr>
          <w:sz w:val="28"/>
          <w:szCs w:val="28"/>
        </w:rPr>
      </w:pPr>
      <w:r w:rsidRPr="008E6E78">
        <w:rPr>
          <w:sz w:val="28"/>
          <w:szCs w:val="28"/>
        </w:rPr>
        <w:t>DENIZEAU, Aurélien.</w:t>
      </w:r>
      <w:r w:rsidRPr="008E6E78">
        <w:rPr>
          <w:rStyle w:val="apple-converted-space"/>
          <w:sz w:val="28"/>
          <w:szCs w:val="28"/>
        </w:rPr>
        <w:t> </w:t>
      </w:r>
      <w:r w:rsidRPr="008E6E78">
        <w:rPr>
          <w:rStyle w:val="af3"/>
          <w:sz w:val="28"/>
          <w:szCs w:val="28"/>
        </w:rPr>
        <w:t>Mavi Vatan, the “Blue Homeland”: The Origins, Influences and Limits of an Ambitious Doctrine for Turkey</w:t>
      </w:r>
      <w:r w:rsidRPr="008E6E78">
        <w:rPr>
          <w:sz w:val="28"/>
          <w:szCs w:val="28"/>
        </w:rPr>
        <w:t>. Online. Paris: Ifri, 2021. ISBN 979-10-373-0362-2. Available from:</w:t>
      </w:r>
      <w:r w:rsidRPr="008E6E78">
        <w:rPr>
          <w:rStyle w:val="apple-converted-space"/>
          <w:sz w:val="28"/>
          <w:szCs w:val="28"/>
        </w:rPr>
        <w:t> </w:t>
      </w:r>
      <w:hyperlink r:id="rId24" w:history="1">
        <w:r w:rsidRPr="008E6E78">
          <w:rPr>
            <w:rStyle w:val="af"/>
            <w:color w:val="auto"/>
            <w:sz w:val="28"/>
            <w:szCs w:val="28"/>
            <w:u w:val="none"/>
          </w:rPr>
          <w:t>https://www.ifri.org/en/studies/mavi-vatan-blue-homeland-origins-influences-and-limits-ambitious-doctrine-turkey</w:t>
        </w:r>
      </w:hyperlink>
      <w:r w:rsidRPr="008E6E78">
        <w:rPr>
          <w:sz w:val="28"/>
          <w:szCs w:val="28"/>
        </w:rPr>
        <w:t>. [viewed 2026-09-16].</w:t>
      </w:r>
    </w:p>
    <w:p w14:paraId="11CC73E7" w14:textId="77777777" w:rsidR="008E6E78" w:rsidRPr="008E6E78" w:rsidRDefault="008E6E78" w:rsidP="008E6E78">
      <w:pPr>
        <w:pStyle w:val="af1"/>
        <w:numPr>
          <w:ilvl w:val="0"/>
          <w:numId w:val="6"/>
        </w:numPr>
        <w:tabs>
          <w:tab w:val="clear" w:pos="720"/>
          <w:tab w:val="left" w:pos="851"/>
          <w:tab w:val="num" w:pos="1134"/>
        </w:tabs>
        <w:ind w:left="0" w:firstLine="567"/>
        <w:jc w:val="both"/>
        <w:rPr>
          <w:sz w:val="28"/>
          <w:szCs w:val="28"/>
        </w:rPr>
      </w:pPr>
      <w:r w:rsidRPr="008E6E78">
        <w:rPr>
          <w:sz w:val="28"/>
          <w:szCs w:val="28"/>
        </w:rPr>
        <w:t>GÜRDENİZ, Cem.</w:t>
      </w:r>
      <w:r w:rsidRPr="008E6E78">
        <w:rPr>
          <w:rStyle w:val="apple-converted-space"/>
          <w:sz w:val="28"/>
          <w:szCs w:val="28"/>
        </w:rPr>
        <w:t> </w:t>
      </w:r>
      <w:r w:rsidRPr="008E6E78">
        <w:rPr>
          <w:rStyle w:val="af3"/>
          <w:sz w:val="28"/>
          <w:szCs w:val="28"/>
        </w:rPr>
        <w:t>Mavi Vatan Yazıları</w:t>
      </w:r>
      <w:r w:rsidRPr="008E6E78">
        <w:rPr>
          <w:sz w:val="28"/>
          <w:szCs w:val="28"/>
        </w:rPr>
        <w:t>. İstanbul: Kırmızı Kedi Yayınevi, 2018. ISBN 978-605-298-218-1.</w:t>
      </w:r>
    </w:p>
    <w:p w14:paraId="6B87328B" w14:textId="77777777" w:rsidR="008E6E78" w:rsidRPr="008E6E78" w:rsidRDefault="008E6E78" w:rsidP="008E6E78">
      <w:pPr>
        <w:pStyle w:val="af1"/>
        <w:numPr>
          <w:ilvl w:val="0"/>
          <w:numId w:val="6"/>
        </w:numPr>
        <w:tabs>
          <w:tab w:val="clear" w:pos="720"/>
          <w:tab w:val="left" w:pos="851"/>
          <w:tab w:val="num" w:pos="1134"/>
        </w:tabs>
        <w:ind w:left="0" w:firstLine="567"/>
        <w:jc w:val="both"/>
        <w:rPr>
          <w:sz w:val="28"/>
          <w:szCs w:val="28"/>
        </w:rPr>
      </w:pPr>
      <w:r w:rsidRPr="008E6E78">
        <w:rPr>
          <w:sz w:val="28"/>
          <w:szCs w:val="28"/>
        </w:rPr>
        <w:t>HELLENIC REPUBLIC. MINISTRY OF FOREIGN AFFAIRS.</w:t>
      </w:r>
      <w:r w:rsidRPr="008E6E78">
        <w:rPr>
          <w:rStyle w:val="apple-converted-space"/>
          <w:sz w:val="28"/>
          <w:szCs w:val="28"/>
        </w:rPr>
        <w:t> </w:t>
      </w:r>
      <w:r w:rsidRPr="008E6E78">
        <w:rPr>
          <w:rStyle w:val="af3"/>
          <w:sz w:val="28"/>
          <w:szCs w:val="28"/>
        </w:rPr>
        <w:t>Athens Declaration on Friendly Relations and Good-Neighbourliness (2023)</w:t>
      </w:r>
      <w:r w:rsidRPr="008E6E78">
        <w:rPr>
          <w:sz w:val="28"/>
          <w:szCs w:val="28"/>
        </w:rPr>
        <w:t>. Online. Available from:</w:t>
      </w:r>
      <w:r w:rsidRPr="008E6E78">
        <w:rPr>
          <w:rStyle w:val="apple-converted-space"/>
          <w:sz w:val="28"/>
          <w:szCs w:val="28"/>
        </w:rPr>
        <w:t> </w:t>
      </w:r>
      <w:hyperlink r:id="rId25" w:history="1">
        <w:r w:rsidRPr="008E6E78">
          <w:rPr>
            <w:rStyle w:val="af"/>
            <w:color w:val="auto"/>
            <w:sz w:val="28"/>
            <w:szCs w:val="28"/>
            <w:u w:val="none"/>
          </w:rPr>
          <w:t>https://www.mfa.gr/en/foreign-policy/foreign-policy-issues/issues-of-greek-turkish-relations/athens-declaration-on-friendly-relations-and-good-neighbourliness/</w:t>
        </w:r>
      </w:hyperlink>
      <w:r w:rsidRPr="008E6E78">
        <w:rPr>
          <w:sz w:val="28"/>
          <w:szCs w:val="28"/>
        </w:rPr>
        <w:t>. [viewed 2026-09-16].</w:t>
      </w:r>
    </w:p>
    <w:p w14:paraId="3CAADF3B" w14:textId="77777777" w:rsidR="008E6E78" w:rsidRPr="008E6E78" w:rsidRDefault="008E6E78" w:rsidP="008E6E78">
      <w:pPr>
        <w:pStyle w:val="af1"/>
        <w:numPr>
          <w:ilvl w:val="0"/>
          <w:numId w:val="6"/>
        </w:numPr>
        <w:tabs>
          <w:tab w:val="clear" w:pos="720"/>
          <w:tab w:val="left" w:pos="851"/>
          <w:tab w:val="num" w:pos="1134"/>
        </w:tabs>
        <w:ind w:left="0" w:firstLine="567"/>
        <w:jc w:val="both"/>
        <w:rPr>
          <w:sz w:val="28"/>
          <w:szCs w:val="28"/>
        </w:rPr>
      </w:pPr>
      <w:r w:rsidRPr="008E6E78">
        <w:rPr>
          <w:sz w:val="28"/>
          <w:szCs w:val="28"/>
        </w:rPr>
        <w:t>HELLENIC REPUBLIC. MINISTRY OF FOREIGN AFFAIRS.</w:t>
      </w:r>
      <w:r w:rsidRPr="008E6E78">
        <w:rPr>
          <w:rStyle w:val="apple-converted-space"/>
          <w:sz w:val="28"/>
          <w:szCs w:val="28"/>
        </w:rPr>
        <w:t> </w:t>
      </w:r>
      <w:r w:rsidRPr="008E6E78">
        <w:rPr>
          <w:rStyle w:val="af3"/>
          <w:sz w:val="28"/>
          <w:szCs w:val="28"/>
        </w:rPr>
        <w:t>Issues of Greek–Turkish Relations</w:t>
      </w:r>
      <w:r w:rsidRPr="008E6E78">
        <w:rPr>
          <w:sz w:val="28"/>
          <w:szCs w:val="28"/>
        </w:rPr>
        <w:t>. Web site. Available from:</w:t>
      </w:r>
      <w:r w:rsidRPr="008E6E78">
        <w:rPr>
          <w:rStyle w:val="apple-converted-space"/>
          <w:sz w:val="28"/>
          <w:szCs w:val="28"/>
        </w:rPr>
        <w:t> </w:t>
      </w:r>
      <w:hyperlink r:id="rId26" w:history="1">
        <w:r w:rsidRPr="008E6E78">
          <w:rPr>
            <w:rStyle w:val="af"/>
            <w:color w:val="auto"/>
            <w:sz w:val="28"/>
            <w:szCs w:val="28"/>
            <w:u w:val="none"/>
          </w:rPr>
          <w:t>https://www.mfa.gr/en/foreign-policy/foreign-policy-issues/issues-of-greek-turkish-relations/</w:t>
        </w:r>
      </w:hyperlink>
      <w:r w:rsidRPr="008E6E78">
        <w:rPr>
          <w:sz w:val="28"/>
          <w:szCs w:val="28"/>
        </w:rPr>
        <w:t>. [viewed 2026-09-16].</w:t>
      </w:r>
    </w:p>
    <w:p w14:paraId="0242A118" w14:textId="77777777" w:rsidR="008E6E78" w:rsidRPr="008E6E78" w:rsidRDefault="008E6E78" w:rsidP="008E6E78">
      <w:pPr>
        <w:pStyle w:val="af1"/>
        <w:numPr>
          <w:ilvl w:val="0"/>
          <w:numId w:val="6"/>
        </w:numPr>
        <w:tabs>
          <w:tab w:val="clear" w:pos="720"/>
          <w:tab w:val="left" w:pos="851"/>
          <w:tab w:val="num" w:pos="1134"/>
        </w:tabs>
        <w:ind w:left="0" w:firstLine="567"/>
        <w:jc w:val="both"/>
        <w:rPr>
          <w:sz w:val="28"/>
          <w:szCs w:val="28"/>
        </w:rPr>
      </w:pPr>
      <w:r w:rsidRPr="008E6E78">
        <w:rPr>
          <w:sz w:val="28"/>
          <w:szCs w:val="28"/>
        </w:rPr>
        <w:t>INTERNATIONAL COURT OF JUSTICE.</w:t>
      </w:r>
      <w:r w:rsidRPr="008E6E78">
        <w:rPr>
          <w:rStyle w:val="apple-converted-space"/>
          <w:sz w:val="28"/>
          <w:szCs w:val="28"/>
        </w:rPr>
        <w:t> </w:t>
      </w:r>
      <w:r w:rsidRPr="008E6E78">
        <w:rPr>
          <w:rStyle w:val="af3"/>
          <w:sz w:val="28"/>
          <w:szCs w:val="28"/>
        </w:rPr>
        <w:t>Aegean Sea Continental Shelf (Greece v. Turkey): Judgment of 19 December 1978</w:t>
      </w:r>
      <w:r w:rsidRPr="008E6E78">
        <w:rPr>
          <w:sz w:val="28"/>
          <w:szCs w:val="28"/>
        </w:rPr>
        <w:t>. Online. I.C.J. Reports 1978, p. 3. Available from:</w:t>
      </w:r>
      <w:r w:rsidRPr="008E6E78">
        <w:rPr>
          <w:rStyle w:val="apple-converted-space"/>
          <w:sz w:val="28"/>
          <w:szCs w:val="28"/>
        </w:rPr>
        <w:t> </w:t>
      </w:r>
      <w:hyperlink r:id="rId27" w:history="1">
        <w:r w:rsidRPr="008E6E78">
          <w:rPr>
            <w:rStyle w:val="af"/>
            <w:color w:val="auto"/>
            <w:sz w:val="28"/>
            <w:szCs w:val="28"/>
            <w:u w:val="none"/>
          </w:rPr>
          <w:t>https://www.icj-cij.org/case/62/judgments</w:t>
        </w:r>
      </w:hyperlink>
      <w:r w:rsidRPr="008E6E78">
        <w:rPr>
          <w:sz w:val="28"/>
          <w:szCs w:val="28"/>
        </w:rPr>
        <w:t>. [viewed 2026-09-16].</w:t>
      </w:r>
    </w:p>
    <w:p w14:paraId="731BE1D3" w14:textId="7403ABC1" w:rsidR="008E6E78" w:rsidRPr="008E6E78" w:rsidRDefault="008E6E78" w:rsidP="008E6E78">
      <w:pPr>
        <w:pStyle w:val="af1"/>
        <w:numPr>
          <w:ilvl w:val="0"/>
          <w:numId w:val="6"/>
        </w:numPr>
        <w:tabs>
          <w:tab w:val="clear" w:pos="720"/>
          <w:tab w:val="left" w:pos="851"/>
          <w:tab w:val="num" w:pos="1134"/>
        </w:tabs>
        <w:ind w:left="0" w:firstLine="567"/>
        <w:jc w:val="both"/>
        <w:rPr>
          <w:sz w:val="28"/>
          <w:szCs w:val="28"/>
        </w:rPr>
      </w:pPr>
      <w:r w:rsidRPr="008E6E78">
        <w:rPr>
          <w:sz w:val="28"/>
          <w:szCs w:val="28"/>
        </w:rPr>
        <w:t>LEAGUE OF NATIONS.</w:t>
      </w:r>
      <w:r w:rsidRPr="008E6E78">
        <w:rPr>
          <w:rStyle w:val="apple-converted-space"/>
          <w:sz w:val="28"/>
          <w:szCs w:val="28"/>
        </w:rPr>
        <w:t> </w:t>
      </w:r>
      <w:r w:rsidRPr="008E6E78">
        <w:rPr>
          <w:rStyle w:val="af3"/>
          <w:sz w:val="28"/>
          <w:szCs w:val="28"/>
        </w:rPr>
        <w:t>Convention regarding the Regime of the Straits, with Annexes and Protocol. Signed at Montreux, 20 July 1936</w:t>
      </w:r>
      <w:r w:rsidRPr="008E6E78">
        <w:rPr>
          <w:sz w:val="28"/>
          <w:szCs w:val="28"/>
        </w:rPr>
        <w:t>. Online. League of Nations Treaty Series, vol. 173, pp. 213–241. Available from:</w:t>
      </w:r>
      <w:r w:rsidRPr="008E6E78">
        <w:rPr>
          <w:rStyle w:val="apple-converted-space"/>
          <w:sz w:val="28"/>
          <w:szCs w:val="28"/>
        </w:rPr>
        <w:t> </w:t>
      </w:r>
      <w:hyperlink r:id="rId28" w:history="1">
        <w:r w:rsidRPr="008E6E78">
          <w:rPr>
            <w:rStyle w:val="af"/>
            <w:color w:val="auto"/>
            <w:sz w:val="28"/>
            <w:szCs w:val="28"/>
            <w:u w:val="none"/>
          </w:rPr>
          <w:t>https://treaties.un.org/doc/Publication/UNTS/LON/Volume%20173/v173.pdf</w:t>
        </w:r>
      </w:hyperlink>
      <w:r w:rsidRPr="008E6E78">
        <w:rPr>
          <w:sz w:val="28"/>
          <w:szCs w:val="28"/>
        </w:rPr>
        <w:t>. [viewed 2026-09-16].</w:t>
      </w:r>
      <w:bookmarkStart w:id="0" w:name="_GoBack"/>
      <w:bookmarkEnd w:id="0"/>
    </w:p>
    <w:sectPr w:rsidR="008E6E78" w:rsidRPr="008E6E78"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BAC5B" w14:textId="77777777" w:rsidR="00A909B1" w:rsidRDefault="00A909B1" w:rsidP="00A0193A">
      <w:r>
        <w:separator/>
      </w:r>
    </w:p>
  </w:endnote>
  <w:endnote w:type="continuationSeparator" w:id="0">
    <w:p w14:paraId="33EBF381" w14:textId="77777777" w:rsidR="00A909B1" w:rsidRDefault="00A909B1"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E8802" w14:textId="77777777" w:rsidR="00A909B1" w:rsidRDefault="00A909B1" w:rsidP="00A0193A">
      <w:r>
        <w:separator/>
      </w:r>
    </w:p>
  </w:footnote>
  <w:footnote w:type="continuationSeparator" w:id="0">
    <w:p w14:paraId="315F064E" w14:textId="77777777" w:rsidR="00A909B1" w:rsidRDefault="00A909B1"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CAA57DC"/>
    <w:multiLevelType w:val="hybridMultilevel"/>
    <w:tmpl w:val="D96CA584"/>
    <w:lvl w:ilvl="0" w:tplc="857C7F8E">
      <w:start w:val="1"/>
      <w:numFmt w:val="decimal"/>
      <w:lvlText w:val="%1."/>
      <w:lvlJc w:val="left"/>
      <w:pPr>
        <w:ind w:left="906" w:hanging="360"/>
      </w:pPr>
      <w:rPr>
        <w:rFonts w:hint="default"/>
      </w:rPr>
    </w:lvl>
    <w:lvl w:ilvl="1" w:tplc="04020019" w:tentative="1">
      <w:start w:val="1"/>
      <w:numFmt w:val="lowerLetter"/>
      <w:lvlText w:val="%2."/>
      <w:lvlJc w:val="left"/>
      <w:pPr>
        <w:ind w:left="1626" w:hanging="360"/>
      </w:pPr>
    </w:lvl>
    <w:lvl w:ilvl="2" w:tplc="0402001B" w:tentative="1">
      <w:start w:val="1"/>
      <w:numFmt w:val="lowerRoman"/>
      <w:lvlText w:val="%3."/>
      <w:lvlJc w:val="right"/>
      <w:pPr>
        <w:ind w:left="2346" w:hanging="180"/>
      </w:pPr>
    </w:lvl>
    <w:lvl w:ilvl="3" w:tplc="0402000F" w:tentative="1">
      <w:start w:val="1"/>
      <w:numFmt w:val="decimal"/>
      <w:lvlText w:val="%4."/>
      <w:lvlJc w:val="left"/>
      <w:pPr>
        <w:ind w:left="3066" w:hanging="360"/>
      </w:pPr>
    </w:lvl>
    <w:lvl w:ilvl="4" w:tplc="04020019" w:tentative="1">
      <w:start w:val="1"/>
      <w:numFmt w:val="lowerLetter"/>
      <w:lvlText w:val="%5."/>
      <w:lvlJc w:val="left"/>
      <w:pPr>
        <w:ind w:left="3786" w:hanging="360"/>
      </w:pPr>
    </w:lvl>
    <w:lvl w:ilvl="5" w:tplc="0402001B" w:tentative="1">
      <w:start w:val="1"/>
      <w:numFmt w:val="lowerRoman"/>
      <w:lvlText w:val="%6."/>
      <w:lvlJc w:val="right"/>
      <w:pPr>
        <w:ind w:left="4506" w:hanging="180"/>
      </w:pPr>
    </w:lvl>
    <w:lvl w:ilvl="6" w:tplc="0402000F" w:tentative="1">
      <w:start w:val="1"/>
      <w:numFmt w:val="decimal"/>
      <w:lvlText w:val="%7."/>
      <w:lvlJc w:val="left"/>
      <w:pPr>
        <w:ind w:left="5226" w:hanging="360"/>
      </w:pPr>
    </w:lvl>
    <w:lvl w:ilvl="7" w:tplc="04020019" w:tentative="1">
      <w:start w:val="1"/>
      <w:numFmt w:val="lowerLetter"/>
      <w:lvlText w:val="%8."/>
      <w:lvlJc w:val="left"/>
      <w:pPr>
        <w:ind w:left="5946" w:hanging="360"/>
      </w:pPr>
    </w:lvl>
    <w:lvl w:ilvl="8" w:tplc="0402001B" w:tentative="1">
      <w:start w:val="1"/>
      <w:numFmt w:val="lowerRoman"/>
      <w:lvlText w:val="%9."/>
      <w:lvlJc w:val="right"/>
      <w:pPr>
        <w:ind w:left="6666" w:hanging="180"/>
      </w:pPr>
    </w:lvl>
  </w:abstractNum>
  <w:abstractNum w:abstractNumId="2" w15:restartNumberingAfterBreak="0">
    <w:nsid w:val="2E6230F2"/>
    <w:multiLevelType w:val="multilevel"/>
    <w:tmpl w:val="07940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98327A"/>
    <w:multiLevelType w:val="hybridMultilevel"/>
    <w:tmpl w:val="4EACADDC"/>
    <w:lvl w:ilvl="0" w:tplc="3B5EF8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5DCB6CF1"/>
    <w:multiLevelType w:val="multilevel"/>
    <w:tmpl w:val="25D825CA"/>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b w:val="0"/>
        <w:color w:val="auto"/>
      </w:rPr>
    </w:lvl>
    <w:lvl w:ilvl="2">
      <w:start w:val="1"/>
      <w:numFmt w:val="decimal"/>
      <w:isLgl/>
      <w:lvlText w:val="%1.%2.%3."/>
      <w:lvlJc w:val="left"/>
      <w:pPr>
        <w:ind w:left="1287" w:hanging="720"/>
      </w:pPr>
      <w:rPr>
        <w:rFonts w:hint="default"/>
        <w:b w:val="0"/>
        <w:color w:val="auto"/>
      </w:rPr>
    </w:lvl>
    <w:lvl w:ilvl="3">
      <w:start w:val="1"/>
      <w:numFmt w:val="decimal"/>
      <w:isLgl/>
      <w:lvlText w:val="%1.%2.%3.%4."/>
      <w:lvlJc w:val="left"/>
      <w:pPr>
        <w:ind w:left="1647" w:hanging="1080"/>
      </w:pPr>
      <w:rPr>
        <w:rFonts w:hint="default"/>
        <w:b w:val="0"/>
        <w:color w:val="auto"/>
      </w:rPr>
    </w:lvl>
    <w:lvl w:ilvl="4">
      <w:start w:val="1"/>
      <w:numFmt w:val="decimal"/>
      <w:isLgl/>
      <w:lvlText w:val="%1.%2.%3.%4.%5."/>
      <w:lvlJc w:val="left"/>
      <w:pPr>
        <w:ind w:left="1647" w:hanging="1080"/>
      </w:pPr>
      <w:rPr>
        <w:rFonts w:hint="default"/>
        <w:b w:val="0"/>
        <w:color w:val="auto"/>
      </w:rPr>
    </w:lvl>
    <w:lvl w:ilvl="5">
      <w:start w:val="1"/>
      <w:numFmt w:val="decimal"/>
      <w:isLgl/>
      <w:lvlText w:val="%1.%2.%3.%4.%5.%6."/>
      <w:lvlJc w:val="left"/>
      <w:pPr>
        <w:ind w:left="2007" w:hanging="1440"/>
      </w:pPr>
      <w:rPr>
        <w:rFonts w:hint="default"/>
        <w:b w:val="0"/>
        <w:color w:val="auto"/>
      </w:rPr>
    </w:lvl>
    <w:lvl w:ilvl="6">
      <w:start w:val="1"/>
      <w:numFmt w:val="decimal"/>
      <w:isLgl/>
      <w:lvlText w:val="%1.%2.%3.%4.%5.%6.%7."/>
      <w:lvlJc w:val="left"/>
      <w:pPr>
        <w:ind w:left="2367" w:hanging="1800"/>
      </w:pPr>
      <w:rPr>
        <w:rFonts w:hint="default"/>
        <w:b w:val="0"/>
        <w:color w:val="auto"/>
      </w:rPr>
    </w:lvl>
    <w:lvl w:ilvl="7">
      <w:start w:val="1"/>
      <w:numFmt w:val="decimal"/>
      <w:isLgl/>
      <w:lvlText w:val="%1.%2.%3.%4.%5.%6.%7.%8."/>
      <w:lvlJc w:val="left"/>
      <w:pPr>
        <w:ind w:left="2367" w:hanging="1800"/>
      </w:pPr>
      <w:rPr>
        <w:rFonts w:hint="default"/>
        <w:b w:val="0"/>
        <w:color w:val="auto"/>
      </w:rPr>
    </w:lvl>
    <w:lvl w:ilvl="8">
      <w:start w:val="1"/>
      <w:numFmt w:val="decimal"/>
      <w:isLgl/>
      <w:lvlText w:val="%1.%2.%3.%4.%5.%6.%7.%8.%9."/>
      <w:lvlJc w:val="left"/>
      <w:pPr>
        <w:ind w:left="2727" w:hanging="2160"/>
      </w:pPr>
      <w:rPr>
        <w:rFonts w:hint="default"/>
        <w:b w:val="0"/>
        <w:color w:val="auto"/>
      </w:rPr>
    </w:lvl>
  </w:abstractNum>
  <w:abstractNum w:abstractNumId="5" w15:restartNumberingAfterBreak="0">
    <w:nsid w:val="777A581B"/>
    <w:multiLevelType w:val="multilevel"/>
    <w:tmpl w:val="988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4DFC"/>
    <w:rsid w:val="00051D66"/>
    <w:rsid w:val="0007387D"/>
    <w:rsid w:val="00083FBE"/>
    <w:rsid w:val="00085D68"/>
    <w:rsid w:val="000B2FA3"/>
    <w:rsid w:val="000C0AD8"/>
    <w:rsid w:val="000E49AE"/>
    <w:rsid w:val="00103263"/>
    <w:rsid w:val="00121F6A"/>
    <w:rsid w:val="00124CF7"/>
    <w:rsid w:val="00127C45"/>
    <w:rsid w:val="00134639"/>
    <w:rsid w:val="001524D5"/>
    <w:rsid w:val="001537E6"/>
    <w:rsid w:val="00155CA9"/>
    <w:rsid w:val="001622BD"/>
    <w:rsid w:val="00164EFF"/>
    <w:rsid w:val="001712CF"/>
    <w:rsid w:val="001744E6"/>
    <w:rsid w:val="00192717"/>
    <w:rsid w:val="001A382A"/>
    <w:rsid w:val="001B5649"/>
    <w:rsid w:val="001E6585"/>
    <w:rsid w:val="001F6E53"/>
    <w:rsid w:val="00213595"/>
    <w:rsid w:val="00214AFE"/>
    <w:rsid w:val="00226429"/>
    <w:rsid w:val="0022685B"/>
    <w:rsid w:val="002356BA"/>
    <w:rsid w:val="00237706"/>
    <w:rsid w:val="00241969"/>
    <w:rsid w:val="00245689"/>
    <w:rsid w:val="002521A9"/>
    <w:rsid w:val="002565CF"/>
    <w:rsid w:val="0026135C"/>
    <w:rsid w:val="00261DCD"/>
    <w:rsid w:val="00274819"/>
    <w:rsid w:val="00276C0F"/>
    <w:rsid w:val="00292CDB"/>
    <w:rsid w:val="002A7C9B"/>
    <w:rsid w:val="002B00F1"/>
    <w:rsid w:val="002B1FEE"/>
    <w:rsid w:val="002E611A"/>
    <w:rsid w:val="002F6F16"/>
    <w:rsid w:val="003004BD"/>
    <w:rsid w:val="0030751A"/>
    <w:rsid w:val="00371186"/>
    <w:rsid w:val="00386A6A"/>
    <w:rsid w:val="003B1F44"/>
    <w:rsid w:val="003B4BBC"/>
    <w:rsid w:val="003B7D36"/>
    <w:rsid w:val="003D7A54"/>
    <w:rsid w:val="003E4E40"/>
    <w:rsid w:val="00402B6C"/>
    <w:rsid w:val="00415DF1"/>
    <w:rsid w:val="00471759"/>
    <w:rsid w:val="004C7433"/>
    <w:rsid w:val="004F1C93"/>
    <w:rsid w:val="004F589D"/>
    <w:rsid w:val="005008ED"/>
    <w:rsid w:val="005022FD"/>
    <w:rsid w:val="00503623"/>
    <w:rsid w:val="0052174B"/>
    <w:rsid w:val="00534842"/>
    <w:rsid w:val="00561C14"/>
    <w:rsid w:val="005C35F1"/>
    <w:rsid w:val="0068049F"/>
    <w:rsid w:val="0068074F"/>
    <w:rsid w:val="00683E63"/>
    <w:rsid w:val="00686EAC"/>
    <w:rsid w:val="00694543"/>
    <w:rsid w:val="006A5150"/>
    <w:rsid w:val="006A7513"/>
    <w:rsid w:val="006A7C1E"/>
    <w:rsid w:val="006B025F"/>
    <w:rsid w:val="006D7048"/>
    <w:rsid w:val="006F2052"/>
    <w:rsid w:val="007041A3"/>
    <w:rsid w:val="00710DE2"/>
    <w:rsid w:val="0072391F"/>
    <w:rsid w:val="00735076"/>
    <w:rsid w:val="00763C2E"/>
    <w:rsid w:val="0077663F"/>
    <w:rsid w:val="00784A27"/>
    <w:rsid w:val="00784F6C"/>
    <w:rsid w:val="007973BD"/>
    <w:rsid w:val="007A7340"/>
    <w:rsid w:val="007B5909"/>
    <w:rsid w:val="007B686C"/>
    <w:rsid w:val="007C4BAE"/>
    <w:rsid w:val="007C65B7"/>
    <w:rsid w:val="007E0E0A"/>
    <w:rsid w:val="007E2105"/>
    <w:rsid w:val="00800C76"/>
    <w:rsid w:val="00805804"/>
    <w:rsid w:val="008129C2"/>
    <w:rsid w:val="008652CB"/>
    <w:rsid w:val="00870BC5"/>
    <w:rsid w:val="00877F5E"/>
    <w:rsid w:val="008B22A4"/>
    <w:rsid w:val="008B7B8F"/>
    <w:rsid w:val="008C7A58"/>
    <w:rsid w:val="008D1109"/>
    <w:rsid w:val="008E6E78"/>
    <w:rsid w:val="009003B5"/>
    <w:rsid w:val="00901270"/>
    <w:rsid w:val="0091243D"/>
    <w:rsid w:val="00915C6C"/>
    <w:rsid w:val="00920591"/>
    <w:rsid w:val="00925081"/>
    <w:rsid w:val="00934811"/>
    <w:rsid w:val="009375B6"/>
    <w:rsid w:val="00940E4A"/>
    <w:rsid w:val="00946E7C"/>
    <w:rsid w:val="00957EAF"/>
    <w:rsid w:val="009605D7"/>
    <w:rsid w:val="00967173"/>
    <w:rsid w:val="0098344D"/>
    <w:rsid w:val="00991316"/>
    <w:rsid w:val="00996456"/>
    <w:rsid w:val="009A4A67"/>
    <w:rsid w:val="009B47A1"/>
    <w:rsid w:val="009E6451"/>
    <w:rsid w:val="009F12DD"/>
    <w:rsid w:val="009F29F2"/>
    <w:rsid w:val="009F6B0F"/>
    <w:rsid w:val="00A0193A"/>
    <w:rsid w:val="00A25E7D"/>
    <w:rsid w:val="00A86955"/>
    <w:rsid w:val="00A8717A"/>
    <w:rsid w:val="00A909B1"/>
    <w:rsid w:val="00AA0E84"/>
    <w:rsid w:val="00B165DC"/>
    <w:rsid w:val="00B245AD"/>
    <w:rsid w:val="00B3091F"/>
    <w:rsid w:val="00B33AAF"/>
    <w:rsid w:val="00B41AF1"/>
    <w:rsid w:val="00B5127C"/>
    <w:rsid w:val="00B601CF"/>
    <w:rsid w:val="00B73727"/>
    <w:rsid w:val="00B7407F"/>
    <w:rsid w:val="00B74F4B"/>
    <w:rsid w:val="00B825AF"/>
    <w:rsid w:val="00B869A3"/>
    <w:rsid w:val="00B9433C"/>
    <w:rsid w:val="00B97CDE"/>
    <w:rsid w:val="00BA5E13"/>
    <w:rsid w:val="00BB0875"/>
    <w:rsid w:val="00BC2FB1"/>
    <w:rsid w:val="00BD084C"/>
    <w:rsid w:val="00BF2235"/>
    <w:rsid w:val="00C144B9"/>
    <w:rsid w:val="00C26503"/>
    <w:rsid w:val="00C33722"/>
    <w:rsid w:val="00C40CDF"/>
    <w:rsid w:val="00C46C28"/>
    <w:rsid w:val="00C544B2"/>
    <w:rsid w:val="00CA7C37"/>
    <w:rsid w:val="00CB7B8B"/>
    <w:rsid w:val="00CC24AA"/>
    <w:rsid w:val="00CC2D24"/>
    <w:rsid w:val="00CD71B9"/>
    <w:rsid w:val="00CF19F3"/>
    <w:rsid w:val="00D1767C"/>
    <w:rsid w:val="00D403D8"/>
    <w:rsid w:val="00D4589B"/>
    <w:rsid w:val="00D45D68"/>
    <w:rsid w:val="00D940F8"/>
    <w:rsid w:val="00DE2350"/>
    <w:rsid w:val="00DF315E"/>
    <w:rsid w:val="00E00BFC"/>
    <w:rsid w:val="00E019C5"/>
    <w:rsid w:val="00E0218D"/>
    <w:rsid w:val="00E0714D"/>
    <w:rsid w:val="00E16576"/>
    <w:rsid w:val="00E26ABF"/>
    <w:rsid w:val="00E746D1"/>
    <w:rsid w:val="00E766EE"/>
    <w:rsid w:val="00E8797D"/>
    <w:rsid w:val="00E87BD7"/>
    <w:rsid w:val="00E97395"/>
    <w:rsid w:val="00EA28F3"/>
    <w:rsid w:val="00EA48CD"/>
    <w:rsid w:val="00ED1FBC"/>
    <w:rsid w:val="00EE7E86"/>
    <w:rsid w:val="00EF35AF"/>
    <w:rsid w:val="00EF5F53"/>
    <w:rsid w:val="00F0297C"/>
    <w:rsid w:val="00F1545C"/>
    <w:rsid w:val="00F2077C"/>
    <w:rsid w:val="00F43811"/>
    <w:rsid w:val="00F45CCC"/>
    <w:rsid w:val="00F627B5"/>
    <w:rsid w:val="00F64D1C"/>
    <w:rsid w:val="00F814FB"/>
    <w:rsid w:val="00F930D7"/>
    <w:rsid w:val="00F93296"/>
    <w:rsid w:val="00F947F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UnresolvedMention">
    <w:name w:val="Unresolved Mention"/>
    <w:basedOn w:val="a0"/>
    <w:uiPriority w:val="99"/>
    <w:semiHidden/>
    <w:unhideWhenUsed/>
    <w:rsid w:val="00F947F9"/>
    <w:rPr>
      <w:color w:val="605E5C"/>
      <w:shd w:val="clear" w:color="auto" w:fill="E1DFDD"/>
    </w:rPr>
  </w:style>
  <w:style w:type="character" w:styleId="af0">
    <w:name w:val="FollowedHyperlink"/>
    <w:basedOn w:val="a0"/>
    <w:uiPriority w:val="99"/>
    <w:semiHidden/>
    <w:unhideWhenUsed/>
    <w:rsid w:val="00F947F9"/>
    <w:rPr>
      <w:color w:val="954F72" w:themeColor="followedHyperlink"/>
      <w:u w:val="single"/>
    </w:rPr>
  </w:style>
  <w:style w:type="paragraph" w:styleId="af1">
    <w:name w:val="Normal (Web)"/>
    <w:basedOn w:val="a"/>
    <w:uiPriority w:val="99"/>
    <w:semiHidden/>
    <w:unhideWhenUsed/>
    <w:rsid w:val="003B4BBC"/>
    <w:pPr>
      <w:spacing w:before="100" w:beforeAutospacing="1" w:after="100" w:afterAutospacing="1"/>
    </w:pPr>
    <w:rPr>
      <w:sz w:val="24"/>
    </w:rPr>
  </w:style>
  <w:style w:type="character" w:styleId="af2">
    <w:name w:val="Strong"/>
    <w:basedOn w:val="a0"/>
    <w:uiPriority w:val="22"/>
    <w:qFormat/>
    <w:rsid w:val="00B7407F"/>
    <w:rPr>
      <w:b/>
      <w:bCs/>
    </w:rPr>
  </w:style>
  <w:style w:type="character" w:customStyle="1" w:styleId="apple-converted-space">
    <w:name w:val="apple-converted-space"/>
    <w:basedOn w:val="a0"/>
    <w:rsid w:val="008E6E78"/>
  </w:style>
  <w:style w:type="character" w:styleId="af3">
    <w:name w:val="Emphasis"/>
    <w:basedOn w:val="a0"/>
    <w:uiPriority w:val="20"/>
    <w:qFormat/>
    <w:rsid w:val="008E6E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79467">
      <w:bodyDiv w:val="1"/>
      <w:marLeft w:val="0"/>
      <w:marRight w:val="0"/>
      <w:marTop w:val="0"/>
      <w:marBottom w:val="0"/>
      <w:divBdr>
        <w:top w:val="none" w:sz="0" w:space="0" w:color="auto"/>
        <w:left w:val="none" w:sz="0" w:space="0" w:color="auto"/>
        <w:bottom w:val="none" w:sz="0" w:space="0" w:color="auto"/>
        <w:right w:val="none" w:sz="0" w:space="0" w:color="auto"/>
      </w:divBdr>
    </w:div>
    <w:div w:id="146167733">
      <w:bodyDiv w:val="1"/>
      <w:marLeft w:val="0"/>
      <w:marRight w:val="0"/>
      <w:marTop w:val="0"/>
      <w:marBottom w:val="0"/>
      <w:divBdr>
        <w:top w:val="none" w:sz="0" w:space="0" w:color="auto"/>
        <w:left w:val="none" w:sz="0" w:space="0" w:color="auto"/>
        <w:bottom w:val="none" w:sz="0" w:space="0" w:color="auto"/>
        <w:right w:val="none" w:sz="0" w:space="0" w:color="auto"/>
      </w:divBdr>
    </w:div>
    <w:div w:id="232936701">
      <w:bodyDiv w:val="1"/>
      <w:marLeft w:val="0"/>
      <w:marRight w:val="0"/>
      <w:marTop w:val="0"/>
      <w:marBottom w:val="0"/>
      <w:divBdr>
        <w:top w:val="none" w:sz="0" w:space="0" w:color="auto"/>
        <w:left w:val="none" w:sz="0" w:space="0" w:color="auto"/>
        <w:bottom w:val="none" w:sz="0" w:space="0" w:color="auto"/>
        <w:right w:val="none" w:sz="0" w:space="0" w:color="auto"/>
      </w:divBdr>
    </w:div>
    <w:div w:id="263420262">
      <w:bodyDiv w:val="1"/>
      <w:marLeft w:val="0"/>
      <w:marRight w:val="0"/>
      <w:marTop w:val="0"/>
      <w:marBottom w:val="0"/>
      <w:divBdr>
        <w:top w:val="none" w:sz="0" w:space="0" w:color="auto"/>
        <w:left w:val="none" w:sz="0" w:space="0" w:color="auto"/>
        <w:bottom w:val="none" w:sz="0" w:space="0" w:color="auto"/>
        <w:right w:val="none" w:sz="0" w:space="0" w:color="auto"/>
      </w:divBdr>
    </w:div>
    <w:div w:id="352070636">
      <w:bodyDiv w:val="1"/>
      <w:marLeft w:val="0"/>
      <w:marRight w:val="0"/>
      <w:marTop w:val="0"/>
      <w:marBottom w:val="0"/>
      <w:divBdr>
        <w:top w:val="none" w:sz="0" w:space="0" w:color="auto"/>
        <w:left w:val="none" w:sz="0" w:space="0" w:color="auto"/>
        <w:bottom w:val="none" w:sz="0" w:space="0" w:color="auto"/>
        <w:right w:val="none" w:sz="0" w:space="0" w:color="auto"/>
      </w:divBdr>
    </w:div>
    <w:div w:id="537933237">
      <w:bodyDiv w:val="1"/>
      <w:marLeft w:val="0"/>
      <w:marRight w:val="0"/>
      <w:marTop w:val="0"/>
      <w:marBottom w:val="0"/>
      <w:divBdr>
        <w:top w:val="none" w:sz="0" w:space="0" w:color="auto"/>
        <w:left w:val="none" w:sz="0" w:space="0" w:color="auto"/>
        <w:bottom w:val="none" w:sz="0" w:space="0" w:color="auto"/>
        <w:right w:val="none" w:sz="0" w:space="0" w:color="auto"/>
      </w:divBdr>
    </w:div>
    <w:div w:id="570316768">
      <w:bodyDiv w:val="1"/>
      <w:marLeft w:val="0"/>
      <w:marRight w:val="0"/>
      <w:marTop w:val="0"/>
      <w:marBottom w:val="0"/>
      <w:divBdr>
        <w:top w:val="none" w:sz="0" w:space="0" w:color="auto"/>
        <w:left w:val="none" w:sz="0" w:space="0" w:color="auto"/>
        <w:bottom w:val="none" w:sz="0" w:space="0" w:color="auto"/>
        <w:right w:val="none" w:sz="0" w:space="0" w:color="auto"/>
      </w:divBdr>
    </w:div>
    <w:div w:id="610019068">
      <w:bodyDiv w:val="1"/>
      <w:marLeft w:val="0"/>
      <w:marRight w:val="0"/>
      <w:marTop w:val="0"/>
      <w:marBottom w:val="0"/>
      <w:divBdr>
        <w:top w:val="none" w:sz="0" w:space="0" w:color="auto"/>
        <w:left w:val="none" w:sz="0" w:space="0" w:color="auto"/>
        <w:bottom w:val="none" w:sz="0" w:space="0" w:color="auto"/>
        <w:right w:val="none" w:sz="0" w:space="0" w:color="auto"/>
      </w:divBdr>
    </w:div>
    <w:div w:id="749497336">
      <w:bodyDiv w:val="1"/>
      <w:marLeft w:val="0"/>
      <w:marRight w:val="0"/>
      <w:marTop w:val="0"/>
      <w:marBottom w:val="0"/>
      <w:divBdr>
        <w:top w:val="none" w:sz="0" w:space="0" w:color="auto"/>
        <w:left w:val="none" w:sz="0" w:space="0" w:color="auto"/>
        <w:bottom w:val="none" w:sz="0" w:space="0" w:color="auto"/>
        <w:right w:val="none" w:sz="0" w:space="0" w:color="auto"/>
      </w:divBdr>
    </w:div>
    <w:div w:id="772551160">
      <w:bodyDiv w:val="1"/>
      <w:marLeft w:val="0"/>
      <w:marRight w:val="0"/>
      <w:marTop w:val="0"/>
      <w:marBottom w:val="0"/>
      <w:divBdr>
        <w:top w:val="none" w:sz="0" w:space="0" w:color="auto"/>
        <w:left w:val="none" w:sz="0" w:space="0" w:color="auto"/>
        <w:bottom w:val="none" w:sz="0" w:space="0" w:color="auto"/>
        <w:right w:val="none" w:sz="0" w:space="0" w:color="auto"/>
      </w:divBdr>
    </w:div>
    <w:div w:id="788550886">
      <w:bodyDiv w:val="1"/>
      <w:marLeft w:val="0"/>
      <w:marRight w:val="0"/>
      <w:marTop w:val="0"/>
      <w:marBottom w:val="0"/>
      <w:divBdr>
        <w:top w:val="none" w:sz="0" w:space="0" w:color="auto"/>
        <w:left w:val="none" w:sz="0" w:space="0" w:color="auto"/>
        <w:bottom w:val="none" w:sz="0" w:space="0" w:color="auto"/>
        <w:right w:val="none" w:sz="0" w:space="0" w:color="auto"/>
      </w:divBdr>
    </w:div>
    <w:div w:id="858356602">
      <w:bodyDiv w:val="1"/>
      <w:marLeft w:val="0"/>
      <w:marRight w:val="0"/>
      <w:marTop w:val="0"/>
      <w:marBottom w:val="0"/>
      <w:divBdr>
        <w:top w:val="none" w:sz="0" w:space="0" w:color="auto"/>
        <w:left w:val="none" w:sz="0" w:space="0" w:color="auto"/>
        <w:bottom w:val="none" w:sz="0" w:space="0" w:color="auto"/>
        <w:right w:val="none" w:sz="0" w:space="0" w:color="auto"/>
      </w:divBdr>
    </w:div>
    <w:div w:id="878007248">
      <w:bodyDiv w:val="1"/>
      <w:marLeft w:val="0"/>
      <w:marRight w:val="0"/>
      <w:marTop w:val="0"/>
      <w:marBottom w:val="0"/>
      <w:divBdr>
        <w:top w:val="none" w:sz="0" w:space="0" w:color="auto"/>
        <w:left w:val="none" w:sz="0" w:space="0" w:color="auto"/>
        <w:bottom w:val="none" w:sz="0" w:space="0" w:color="auto"/>
        <w:right w:val="none" w:sz="0" w:space="0" w:color="auto"/>
      </w:divBdr>
    </w:div>
    <w:div w:id="991057967">
      <w:bodyDiv w:val="1"/>
      <w:marLeft w:val="0"/>
      <w:marRight w:val="0"/>
      <w:marTop w:val="0"/>
      <w:marBottom w:val="0"/>
      <w:divBdr>
        <w:top w:val="none" w:sz="0" w:space="0" w:color="auto"/>
        <w:left w:val="none" w:sz="0" w:space="0" w:color="auto"/>
        <w:bottom w:val="none" w:sz="0" w:space="0" w:color="auto"/>
        <w:right w:val="none" w:sz="0" w:space="0" w:color="auto"/>
      </w:divBdr>
    </w:div>
    <w:div w:id="1039940366">
      <w:bodyDiv w:val="1"/>
      <w:marLeft w:val="0"/>
      <w:marRight w:val="0"/>
      <w:marTop w:val="0"/>
      <w:marBottom w:val="0"/>
      <w:divBdr>
        <w:top w:val="none" w:sz="0" w:space="0" w:color="auto"/>
        <w:left w:val="none" w:sz="0" w:space="0" w:color="auto"/>
        <w:bottom w:val="none" w:sz="0" w:space="0" w:color="auto"/>
        <w:right w:val="none" w:sz="0" w:space="0" w:color="auto"/>
      </w:divBdr>
    </w:div>
    <w:div w:id="1078287776">
      <w:bodyDiv w:val="1"/>
      <w:marLeft w:val="0"/>
      <w:marRight w:val="0"/>
      <w:marTop w:val="0"/>
      <w:marBottom w:val="0"/>
      <w:divBdr>
        <w:top w:val="none" w:sz="0" w:space="0" w:color="auto"/>
        <w:left w:val="none" w:sz="0" w:space="0" w:color="auto"/>
        <w:bottom w:val="none" w:sz="0" w:space="0" w:color="auto"/>
        <w:right w:val="none" w:sz="0" w:space="0" w:color="auto"/>
      </w:divBdr>
    </w:div>
    <w:div w:id="1139803711">
      <w:bodyDiv w:val="1"/>
      <w:marLeft w:val="0"/>
      <w:marRight w:val="0"/>
      <w:marTop w:val="0"/>
      <w:marBottom w:val="0"/>
      <w:divBdr>
        <w:top w:val="none" w:sz="0" w:space="0" w:color="auto"/>
        <w:left w:val="none" w:sz="0" w:space="0" w:color="auto"/>
        <w:bottom w:val="none" w:sz="0" w:space="0" w:color="auto"/>
        <w:right w:val="none" w:sz="0" w:space="0" w:color="auto"/>
      </w:divBdr>
    </w:div>
    <w:div w:id="1266302488">
      <w:bodyDiv w:val="1"/>
      <w:marLeft w:val="0"/>
      <w:marRight w:val="0"/>
      <w:marTop w:val="0"/>
      <w:marBottom w:val="0"/>
      <w:divBdr>
        <w:top w:val="none" w:sz="0" w:space="0" w:color="auto"/>
        <w:left w:val="none" w:sz="0" w:space="0" w:color="auto"/>
        <w:bottom w:val="none" w:sz="0" w:space="0" w:color="auto"/>
        <w:right w:val="none" w:sz="0" w:space="0" w:color="auto"/>
      </w:divBdr>
    </w:div>
    <w:div w:id="1315602145">
      <w:bodyDiv w:val="1"/>
      <w:marLeft w:val="0"/>
      <w:marRight w:val="0"/>
      <w:marTop w:val="0"/>
      <w:marBottom w:val="0"/>
      <w:divBdr>
        <w:top w:val="none" w:sz="0" w:space="0" w:color="auto"/>
        <w:left w:val="none" w:sz="0" w:space="0" w:color="auto"/>
        <w:bottom w:val="none" w:sz="0" w:space="0" w:color="auto"/>
        <w:right w:val="none" w:sz="0" w:space="0" w:color="auto"/>
      </w:divBdr>
    </w:div>
    <w:div w:id="1412511094">
      <w:bodyDiv w:val="1"/>
      <w:marLeft w:val="0"/>
      <w:marRight w:val="0"/>
      <w:marTop w:val="0"/>
      <w:marBottom w:val="0"/>
      <w:divBdr>
        <w:top w:val="none" w:sz="0" w:space="0" w:color="auto"/>
        <w:left w:val="none" w:sz="0" w:space="0" w:color="auto"/>
        <w:bottom w:val="none" w:sz="0" w:space="0" w:color="auto"/>
        <w:right w:val="none" w:sz="0" w:space="0" w:color="auto"/>
      </w:divBdr>
    </w:div>
    <w:div w:id="1466116415">
      <w:bodyDiv w:val="1"/>
      <w:marLeft w:val="0"/>
      <w:marRight w:val="0"/>
      <w:marTop w:val="0"/>
      <w:marBottom w:val="0"/>
      <w:divBdr>
        <w:top w:val="none" w:sz="0" w:space="0" w:color="auto"/>
        <w:left w:val="none" w:sz="0" w:space="0" w:color="auto"/>
        <w:bottom w:val="none" w:sz="0" w:space="0" w:color="auto"/>
        <w:right w:val="none" w:sz="0" w:space="0" w:color="auto"/>
      </w:divBdr>
    </w:div>
    <w:div w:id="1550263034">
      <w:bodyDiv w:val="1"/>
      <w:marLeft w:val="0"/>
      <w:marRight w:val="0"/>
      <w:marTop w:val="0"/>
      <w:marBottom w:val="0"/>
      <w:divBdr>
        <w:top w:val="none" w:sz="0" w:space="0" w:color="auto"/>
        <w:left w:val="none" w:sz="0" w:space="0" w:color="auto"/>
        <w:bottom w:val="none" w:sz="0" w:space="0" w:color="auto"/>
        <w:right w:val="none" w:sz="0" w:space="0" w:color="auto"/>
      </w:divBdr>
    </w:div>
    <w:div w:id="1624193002">
      <w:bodyDiv w:val="1"/>
      <w:marLeft w:val="0"/>
      <w:marRight w:val="0"/>
      <w:marTop w:val="0"/>
      <w:marBottom w:val="0"/>
      <w:divBdr>
        <w:top w:val="none" w:sz="0" w:space="0" w:color="auto"/>
        <w:left w:val="none" w:sz="0" w:space="0" w:color="auto"/>
        <w:bottom w:val="none" w:sz="0" w:space="0" w:color="auto"/>
        <w:right w:val="none" w:sz="0" w:space="0" w:color="auto"/>
      </w:divBdr>
    </w:div>
    <w:div w:id="1649626781">
      <w:bodyDiv w:val="1"/>
      <w:marLeft w:val="0"/>
      <w:marRight w:val="0"/>
      <w:marTop w:val="0"/>
      <w:marBottom w:val="0"/>
      <w:divBdr>
        <w:top w:val="none" w:sz="0" w:space="0" w:color="auto"/>
        <w:left w:val="none" w:sz="0" w:space="0" w:color="auto"/>
        <w:bottom w:val="none" w:sz="0" w:space="0" w:color="auto"/>
        <w:right w:val="none" w:sz="0" w:space="0" w:color="auto"/>
      </w:divBdr>
    </w:div>
    <w:div w:id="1663579505">
      <w:bodyDiv w:val="1"/>
      <w:marLeft w:val="0"/>
      <w:marRight w:val="0"/>
      <w:marTop w:val="0"/>
      <w:marBottom w:val="0"/>
      <w:divBdr>
        <w:top w:val="none" w:sz="0" w:space="0" w:color="auto"/>
        <w:left w:val="none" w:sz="0" w:space="0" w:color="auto"/>
        <w:bottom w:val="none" w:sz="0" w:space="0" w:color="auto"/>
        <w:right w:val="none" w:sz="0" w:space="0" w:color="auto"/>
      </w:divBdr>
    </w:div>
    <w:div w:id="1679195282">
      <w:bodyDiv w:val="1"/>
      <w:marLeft w:val="0"/>
      <w:marRight w:val="0"/>
      <w:marTop w:val="0"/>
      <w:marBottom w:val="0"/>
      <w:divBdr>
        <w:top w:val="none" w:sz="0" w:space="0" w:color="auto"/>
        <w:left w:val="none" w:sz="0" w:space="0" w:color="auto"/>
        <w:bottom w:val="none" w:sz="0" w:space="0" w:color="auto"/>
        <w:right w:val="none" w:sz="0" w:space="0" w:color="auto"/>
      </w:divBdr>
    </w:div>
    <w:div w:id="1697777081">
      <w:bodyDiv w:val="1"/>
      <w:marLeft w:val="0"/>
      <w:marRight w:val="0"/>
      <w:marTop w:val="0"/>
      <w:marBottom w:val="0"/>
      <w:divBdr>
        <w:top w:val="none" w:sz="0" w:space="0" w:color="auto"/>
        <w:left w:val="none" w:sz="0" w:space="0" w:color="auto"/>
        <w:bottom w:val="none" w:sz="0" w:space="0" w:color="auto"/>
        <w:right w:val="none" w:sz="0" w:space="0" w:color="auto"/>
      </w:divBdr>
    </w:div>
    <w:div w:id="1826313629">
      <w:bodyDiv w:val="1"/>
      <w:marLeft w:val="0"/>
      <w:marRight w:val="0"/>
      <w:marTop w:val="0"/>
      <w:marBottom w:val="0"/>
      <w:divBdr>
        <w:top w:val="none" w:sz="0" w:space="0" w:color="auto"/>
        <w:left w:val="none" w:sz="0" w:space="0" w:color="auto"/>
        <w:bottom w:val="none" w:sz="0" w:space="0" w:color="auto"/>
        <w:right w:val="none" w:sz="0" w:space="0" w:color="auto"/>
      </w:divBdr>
    </w:div>
    <w:div w:id="1881087896">
      <w:bodyDiv w:val="1"/>
      <w:marLeft w:val="0"/>
      <w:marRight w:val="0"/>
      <w:marTop w:val="0"/>
      <w:marBottom w:val="0"/>
      <w:divBdr>
        <w:top w:val="none" w:sz="0" w:space="0" w:color="auto"/>
        <w:left w:val="none" w:sz="0" w:space="0" w:color="auto"/>
        <w:bottom w:val="none" w:sz="0" w:space="0" w:color="auto"/>
        <w:right w:val="none" w:sz="0" w:space="0" w:color="auto"/>
      </w:divBdr>
    </w:div>
    <w:div w:id="19010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depts/los/convention_agreements/texts/unclos/unclos_e.pdf" TargetMode="External"/><Relationship Id="rId13" Type="http://schemas.openxmlformats.org/officeDocument/2006/relationships/hyperlink" Target="https://www.mfa.gov.tr/turkiye_s-perception-of-the-aegean-sea.en.mfa" TargetMode="External"/><Relationship Id="rId18" Type="http://schemas.openxmlformats.org/officeDocument/2006/relationships/hyperlink" Target="https://www.mfa.gr/en/foreign-policy/foreign-policy-issues/issues-of-greek-turkish-relations/" TargetMode="External"/><Relationship Id="rId26" Type="http://schemas.openxmlformats.org/officeDocument/2006/relationships/hyperlink" Target="https://www.mfa.gr/en/foreign-policy/foreign-policy-issues/issues-of-greek-turkish-relations/" TargetMode="External"/><Relationship Id="rId3" Type="http://schemas.openxmlformats.org/officeDocument/2006/relationships/styles" Target="styles.xml"/><Relationship Id="rId21" Type="http://schemas.openxmlformats.org/officeDocument/2006/relationships/hyperlink" Target="https://legal.un.org/ilc/texts/instruments/english/conventions/1_1_1969.pdf" TargetMode="External"/><Relationship Id="rId7" Type="http://schemas.openxmlformats.org/officeDocument/2006/relationships/endnotes" Target="endnotes.xml"/><Relationship Id="rId12" Type="http://schemas.openxmlformats.org/officeDocument/2006/relationships/hyperlink" Target="https://www.turkeyanalyst.org/publications/turkey-analyst-articles/item/648-turkey%E2%80%99s-blue-homeland-doctrine-signaling-perpetual-conflict-in-the-mediterranean-and-rough-waters-ahead.html" TargetMode="External"/><Relationship Id="rId17" Type="http://schemas.openxmlformats.org/officeDocument/2006/relationships/hyperlink" Target="https://treaties.un.org/Pages/showDetails.aspx?objid=080000028028c6f9" TargetMode="External"/><Relationship Id="rId25" Type="http://schemas.openxmlformats.org/officeDocument/2006/relationships/hyperlink" Target="https://www.mfa.gr/en/foreign-policy/foreign-policy-issues/issues-of-greek-turkish-relations/athens-declaration-on-friendly-relations-and-good-neighbourliness/" TargetMode="External"/><Relationship Id="rId2" Type="http://schemas.openxmlformats.org/officeDocument/2006/relationships/numbering" Target="numbering.xml"/><Relationship Id="rId16" Type="http://schemas.openxmlformats.org/officeDocument/2006/relationships/hyperlink" Target="https://treaties.fcdo.gov.uk/data/Library2/pdf/TS0016.1923.pdf" TargetMode="External"/><Relationship Id="rId20" Type="http://schemas.openxmlformats.org/officeDocument/2006/relationships/hyperlink" Target="https://treaties.un.org/pages/showDetails.aspx?objid=080000028016698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rgipark.org.tr/en/pub/bs/article/51021" TargetMode="External"/><Relationship Id="rId24" Type="http://schemas.openxmlformats.org/officeDocument/2006/relationships/hyperlink" Target="https://www.ifri.org/en/studies/mavi-vatan-blue-homeland-origins-influences-and-limits-ambitious-doctrine-turkey" TargetMode="External"/><Relationship Id="rId5" Type="http://schemas.openxmlformats.org/officeDocument/2006/relationships/webSettings" Target="webSettings.xml"/><Relationship Id="rId15" Type="http://schemas.openxmlformats.org/officeDocument/2006/relationships/hyperlink" Target="https://treaties.un.org/Pages/showDetails.aspx?objid=080000028056605a" TargetMode="External"/><Relationship Id="rId23" Type="http://schemas.openxmlformats.org/officeDocument/2006/relationships/hyperlink" Target="https://www.mfa.gr/en/foreign-policy/foreign-policy-issues/issues-of-greek-turkish-relations/athens-declaration-on-friendly-relations-and-good-neighbourliness/" TargetMode="External"/><Relationship Id="rId28" Type="http://schemas.openxmlformats.org/officeDocument/2006/relationships/hyperlink" Target="https://treaties.un.org/doc/Publication/UNTS/LON/Volume%20173/v173.pdf" TargetMode="External"/><Relationship Id="rId10" Type="http://schemas.openxmlformats.org/officeDocument/2006/relationships/hyperlink" Target="https://www.mfa.gr/en/foreign-policy/foreign-policy-issues/issues-of-greek-turkish-relations/" TargetMode="External"/><Relationship Id="rId19" Type="http://schemas.openxmlformats.org/officeDocument/2006/relationships/hyperlink" Target="https://www.mfa.gov.tr/background-note-on-aegean-disputes.en.mfa" TargetMode="External"/><Relationship Id="rId4" Type="http://schemas.openxmlformats.org/officeDocument/2006/relationships/settings" Target="settings.xml"/><Relationship Id="rId9" Type="http://schemas.openxmlformats.org/officeDocument/2006/relationships/hyperlink" Target="https://www.mfa.gov.tr/background-note-on-aegean-disputes.en.mfa" TargetMode="External"/><Relationship Id="rId14" Type="http://schemas.openxmlformats.org/officeDocument/2006/relationships/hyperlink" Target="https://www.mfa.gov.tr/maritime-issues---aegean-sea---turkey_s-views-regarding-the-settlement-of-the-aegean-issues.en.mfa" TargetMode="External"/><Relationship Id="rId22" Type="http://schemas.openxmlformats.org/officeDocument/2006/relationships/hyperlink" Target="https://www.un.org/en/about-us/un-charter/full-text" TargetMode="External"/><Relationship Id="rId27" Type="http://schemas.openxmlformats.org/officeDocument/2006/relationships/hyperlink" Target="https://www.icj-cij.org/case/62/judgment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145FC-1F77-4AF6-B0B7-D3492528E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4779</Words>
  <Characters>27246</Characters>
  <Application>Microsoft Office Word</Application>
  <DocSecurity>0</DocSecurity>
  <Lines>227</Lines>
  <Paragraphs>63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Кръстю Кръстев</cp:lastModifiedBy>
  <cp:revision>4</cp:revision>
  <dcterms:created xsi:type="dcterms:W3CDTF">2026-09-16T07:17:00Z</dcterms:created>
  <dcterms:modified xsi:type="dcterms:W3CDTF">2026-09-16T07:42:00Z</dcterms:modified>
</cp:coreProperties>
</file>