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E3821" w14:textId="51CD316F" w:rsidR="009C4934" w:rsidRDefault="00EC1F49" w:rsidP="009C4934">
      <w:pPr>
        <w:jc w:val="center"/>
        <w:rPr>
          <w:rFonts w:ascii="Times New Roman" w:hAnsi="Times New Roman" w:cs="Times New Roman"/>
          <w:b/>
          <w:sz w:val="32"/>
          <w:szCs w:val="32"/>
        </w:rPr>
      </w:pPr>
      <w:r>
        <w:rPr>
          <w:rFonts w:ascii="Times New Roman" w:hAnsi="Times New Roman" w:cs="Times New Roman"/>
          <w:b/>
          <w:sz w:val="32"/>
          <w:szCs w:val="32"/>
        </w:rPr>
        <w:t xml:space="preserve">СОЦИАЛНИ ИНОВАЦИИ </w:t>
      </w:r>
      <w:r w:rsidR="00CC3DA3">
        <w:rPr>
          <w:rFonts w:ascii="Times New Roman" w:hAnsi="Times New Roman" w:cs="Times New Roman"/>
          <w:b/>
          <w:sz w:val="32"/>
          <w:szCs w:val="32"/>
        </w:rPr>
        <w:t>И ГРАЖДАНСКА СИГУРНОСТ</w:t>
      </w:r>
    </w:p>
    <w:p w14:paraId="305C3E0E" w14:textId="77777777" w:rsidR="009C4934" w:rsidRPr="00D50A5A" w:rsidRDefault="009C4934" w:rsidP="009C4934">
      <w:pPr>
        <w:jc w:val="center"/>
        <w:rPr>
          <w:rFonts w:ascii="Times New Roman" w:hAnsi="Times New Roman" w:cs="Times New Roman"/>
          <w:b/>
          <w:sz w:val="32"/>
          <w:szCs w:val="32"/>
        </w:rPr>
      </w:pPr>
      <w:r>
        <w:rPr>
          <w:rFonts w:ascii="Times New Roman" w:hAnsi="Times New Roman" w:cs="Times New Roman"/>
          <w:b/>
          <w:sz w:val="32"/>
          <w:szCs w:val="32"/>
        </w:rPr>
        <w:t>Мария Илчева</w:t>
      </w:r>
    </w:p>
    <w:p w14:paraId="5DB71505" w14:textId="63E65182" w:rsidR="00EC1F49" w:rsidRPr="00CC3DA3" w:rsidRDefault="00EC1F49" w:rsidP="009C4934">
      <w:pPr>
        <w:jc w:val="center"/>
        <w:rPr>
          <w:rFonts w:ascii="Times New Roman" w:hAnsi="Times New Roman" w:cs="Times New Roman"/>
          <w:b/>
          <w:sz w:val="32"/>
          <w:szCs w:val="32"/>
          <w:lang w:val="en-US"/>
        </w:rPr>
      </w:pPr>
      <w:r w:rsidRPr="00EC1F49">
        <w:rPr>
          <w:rFonts w:ascii="Times New Roman" w:hAnsi="Times New Roman" w:cs="Times New Roman"/>
          <w:b/>
          <w:sz w:val="32"/>
          <w:szCs w:val="32"/>
          <w:lang w:val="en-US"/>
        </w:rPr>
        <w:t xml:space="preserve">SOCIAL INNOVATIONS </w:t>
      </w:r>
      <w:r w:rsidR="00CC3DA3">
        <w:rPr>
          <w:rFonts w:ascii="Times New Roman" w:hAnsi="Times New Roman" w:cs="Times New Roman"/>
          <w:b/>
          <w:sz w:val="32"/>
          <w:szCs w:val="32"/>
          <w:lang w:val="en-US"/>
        </w:rPr>
        <w:t xml:space="preserve">AND </w:t>
      </w:r>
      <w:r w:rsidR="00133864">
        <w:rPr>
          <w:rFonts w:ascii="Times New Roman" w:hAnsi="Times New Roman" w:cs="Times New Roman"/>
          <w:b/>
          <w:sz w:val="32"/>
          <w:szCs w:val="32"/>
          <w:lang w:val="en-US"/>
        </w:rPr>
        <w:t xml:space="preserve">CIVIL </w:t>
      </w:r>
      <w:r w:rsidR="00CC3DA3">
        <w:rPr>
          <w:rFonts w:ascii="Times New Roman" w:hAnsi="Times New Roman" w:cs="Times New Roman"/>
          <w:b/>
          <w:sz w:val="32"/>
          <w:szCs w:val="32"/>
          <w:lang w:val="en-US"/>
        </w:rPr>
        <w:t>SECURITY</w:t>
      </w:r>
    </w:p>
    <w:p w14:paraId="7810F80E" w14:textId="269282F7" w:rsidR="009C4934" w:rsidRPr="00D50A5A" w:rsidRDefault="009C4934" w:rsidP="009C4934">
      <w:pPr>
        <w:jc w:val="center"/>
        <w:rPr>
          <w:rFonts w:ascii="Times New Roman" w:hAnsi="Times New Roman" w:cs="Times New Roman"/>
          <w:b/>
          <w:sz w:val="32"/>
          <w:szCs w:val="32"/>
        </w:rPr>
      </w:pPr>
      <w:r>
        <w:rPr>
          <w:rFonts w:ascii="Times New Roman" w:hAnsi="Times New Roman" w:cs="Times New Roman"/>
          <w:b/>
          <w:sz w:val="32"/>
          <w:szCs w:val="32"/>
          <w:lang w:val="en-US"/>
        </w:rPr>
        <w:t>Maria</w:t>
      </w:r>
      <w:r w:rsidRPr="00097871">
        <w:rPr>
          <w:rFonts w:ascii="Times New Roman" w:hAnsi="Times New Roman" w:cs="Times New Roman"/>
          <w:b/>
          <w:sz w:val="32"/>
          <w:szCs w:val="32"/>
          <w:lang w:val="ru-RU"/>
        </w:rPr>
        <w:t xml:space="preserve"> </w:t>
      </w:r>
      <w:r>
        <w:rPr>
          <w:rFonts w:ascii="Times New Roman" w:hAnsi="Times New Roman" w:cs="Times New Roman"/>
          <w:b/>
          <w:sz w:val="32"/>
          <w:szCs w:val="32"/>
          <w:lang w:val="en-US"/>
        </w:rPr>
        <w:t>Ilcheva</w:t>
      </w:r>
    </w:p>
    <w:p w14:paraId="537A6961" w14:textId="77777777" w:rsidR="0052081B" w:rsidRDefault="009C4934" w:rsidP="009C4934">
      <w:pPr>
        <w:ind w:firstLine="708"/>
        <w:jc w:val="both"/>
        <w:rPr>
          <w:rFonts w:ascii="Times New Roman" w:hAnsi="Times New Roman" w:cs="Times New Roman"/>
          <w:i/>
          <w:sz w:val="24"/>
          <w:szCs w:val="24"/>
        </w:rPr>
      </w:pPr>
      <w:r>
        <w:rPr>
          <w:rFonts w:ascii="Times New Roman" w:hAnsi="Times New Roman" w:cs="Times New Roman"/>
          <w:b/>
          <w:i/>
          <w:sz w:val="24"/>
          <w:szCs w:val="24"/>
        </w:rPr>
        <w:t xml:space="preserve">Резюме: </w:t>
      </w:r>
      <w:r w:rsidR="00CC3DA3" w:rsidRPr="00CC3DA3">
        <w:rPr>
          <w:rFonts w:ascii="Times New Roman" w:hAnsi="Times New Roman" w:cs="Times New Roman"/>
          <w:i/>
          <w:sz w:val="24"/>
          <w:szCs w:val="24"/>
        </w:rPr>
        <w:t xml:space="preserve">В динамична среда на сигурност с многополюсни и комплексни заплахи постепенно се разширява разбирането за гражданската сигурност като интегративна рамка, която свързва сигурността на гражданите, непрекъснатостта на жизненоважните услуги и функционирането на демократичните институции като  обществена способност за реакция при кризи. В условията на трансформация на разбирането за гражданска сигурност  и новата парадигма на ЕС,  се налага търсене на иновативни инструменти и модели за изграждане на устойчиво общество, способно да функционира при комплексни и продължителни кризи. Авторът изследва взаимовръзката между социалните иновации и гражданската сигурност през призмата на доверието и социалния капитал, като ключови ресурси на националната сигурност. </w:t>
      </w:r>
    </w:p>
    <w:p w14:paraId="1035967B" w14:textId="589E7EFC" w:rsidR="00CC3DA3" w:rsidRDefault="009C4934" w:rsidP="009C4934">
      <w:pPr>
        <w:ind w:firstLine="708"/>
        <w:jc w:val="both"/>
        <w:rPr>
          <w:rFonts w:ascii="Times New Roman" w:hAnsi="Times New Roman" w:cs="Times New Roman"/>
          <w:bCs/>
          <w:i/>
          <w:sz w:val="24"/>
          <w:szCs w:val="24"/>
        </w:rPr>
      </w:pPr>
      <w:r>
        <w:rPr>
          <w:rFonts w:ascii="Times New Roman" w:hAnsi="Times New Roman" w:cs="Times New Roman"/>
          <w:b/>
          <w:i/>
          <w:sz w:val="24"/>
          <w:szCs w:val="24"/>
        </w:rPr>
        <w:t xml:space="preserve">Ключови думи: </w:t>
      </w:r>
      <w:r w:rsidR="00CC3DA3" w:rsidRPr="00CC3DA3">
        <w:rPr>
          <w:rFonts w:ascii="Times New Roman" w:hAnsi="Times New Roman" w:cs="Times New Roman"/>
          <w:bCs/>
          <w:i/>
          <w:sz w:val="24"/>
          <w:szCs w:val="24"/>
        </w:rPr>
        <w:t xml:space="preserve">гражданска сигурност, социални иновации, социален капитал </w:t>
      </w:r>
    </w:p>
    <w:p w14:paraId="015DE13A" w14:textId="77777777" w:rsidR="00133864" w:rsidRDefault="009C4934" w:rsidP="00EC1F49">
      <w:pPr>
        <w:ind w:firstLine="708"/>
        <w:jc w:val="both"/>
        <w:rPr>
          <w:rFonts w:ascii="Times New Roman" w:hAnsi="Times New Roman" w:cs="Times New Roman"/>
          <w:i/>
          <w:sz w:val="24"/>
          <w:szCs w:val="24"/>
          <w:lang w:val="en-US"/>
        </w:rPr>
      </w:pPr>
      <w:r w:rsidRPr="00A33D93">
        <w:rPr>
          <w:rFonts w:ascii="Times New Roman" w:hAnsi="Times New Roman" w:cs="Times New Roman"/>
          <w:b/>
          <w:i/>
          <w:sz w:val="24"/>
          <w:szCs w:val="24"/>
          <w:lang w:val="en-US"/>
        </w:rPr>
        <w:t xml:space="preserve">Abstract: </w:t>
      </w:r>
      <w:r w:rsidR="00133864" w:rsidRPr="00133864">
        <w:rPr>
          <w:rFonts w:ascii="Times New Roman" w:hAnsi="Times New Roman" w:cs="Times New Roman"/>
          <w:i/>
          <w:sz w:val="24"/>
          <w:szCs w:val="24"/>
          <w:lang w:val="en-US"/>
        </w:rPr>
        <w:t>In a dynamic security environment with multipolar and complex threats, the understanding of civil security as an integrative framework that connects the security of citizens, the continuity of vital services and the functioning of democratic institutions as a public capacity to respond to crises is gradually expanding. In the context of the transformation of the understanding of civilian security and the new paradigm of the EU, it is necessary to search for innovative tools and models for building a sustainable society capable of functioning in complex and prolonged crises. The author explores the relationship between social innovation and civil security through the prism of trust and social capital, as key resources of national security.</w:t>
      </w:r>
    </w:p>
    <w:p w14:paraId="115F0236" w14:textId="6A13A764" w:rsidR="00EC1F49" w:rsidRDefault="009C4934" w:rsidP="00EC1F49">
      <w:pPr>
        <w:ind w:firstLine="708"/>
        <w:jc w:val="both"/>
        <w:rPr>
          <w:rFonts w:ascii="Times New Roman" w:eastAsia="Calibri" w:hAnsi="Times New Roman" w:cs="Times New Roman"/>
          <w:i/>
          <w:sz w:val="24"/>
          <w:szCs w:val="24"/>
          <w:lang w:val="en-US"/>
        </w:rPr>
      </w:pPr>
      <w:r w:rsidRPr="00F46E15">
        <w:rPr>
          <w:rFonts w:ascii="Times New Roman" w:eastAsia="Calibri" w:hAnsi="Times New Roman" w:cs="Times New Roman"/>
          <w:b/>
          <w:i/>
          <w:sz w:val="24"/>
          <w:szCs w:val="24"/>
          <w:lang w:val="en-US"/>
        </w:rPr>
        <w:t>Key words</w:t>
      </w:r>
      <w:r w:rsidRPr="00F46E15">
        <w:rPr>
          <w:rFonts w:ascii="Times New Roman" w:eastAsia="Calibri" w:hAnsi="Times New Roman" w:cs="Times New Roman"/>
          <w:b/>
          <w:i/>
          <w:sz w:val="24"/>
          <w:szCs w:val="24"/>
        </w:rPr>
        <w:t>:</w:t>
      </w:r>
      <w:r w:rsidRPr="00F46E15">
        <w:rPr>
          <w:rFonts w:ascii="Times New Roman" w:eastAsia="Calibri" w:hAnsi="Times New Roman" w:cs="Times New Roman"/>
          <w:i/>
          <w:sz w:val="24"/>
          <w:szCs w:val="24"/>
        </w:rPr>
        <w:t xml:space="preserve"> </w:t>
      </w:r>
      <w:r w:rsidR="00133864">
        <w:rPr>
          <w:rFonts w:ascii="Times New Roman" w:eastAsia="Calibri" w:hAnsi="Times New Roman" w:cs="Times New Roman"/>
          <w:i/>
          <w:sz w:val="24"/>
          <w:szCs w:val="24"/>
          <w:lang w:val="en-US"/>
        </w:rPr>
        <w:t>civil</w:t>
      </w:r>
      <w:r w:rsidR="00CC3DA3">
        <w:rPr>
          <w:rFonts w:ascii="Times New Roman" w:eastAsia="Calibri" w:hAnsi="Times New Roman" w:cs="Times New Roman"/>
          <w:i/>
          <w:sz w:val="24"/>
          <w:szCs w:val="24"/>
          <w:lang w:val="en-US"/>
        </w:rPr>
        <w:t xml:space="preserve"> security, </w:t>
      </w:r>
      <w:r w:rsidR="00EC1F49" w:rsidRPr="00EC1F49">
        <w:rPr>
          <w:rFonts w:ascii="Times New Roman" w:eastAsia="Calibri" w:hAnsi="Times New Roman" w:cs="Times New Roman"/>
          <w:i/>
          <w:sz w:val="24"/>
          <w:szCs w:val="24"/>
          <w:lang w:val="en-US"/>
        </w:rPr>
        <w:t>social innovations</w:t>
      </w:r>
      <w:r w:rsidR="00CC3DA3">
        <w:rPr>
          <w:rFonts w:ascii="Times New Roman" w:eastAsia="Calibri" w:hAnsi="Times New Roman" w:cs="Times New Roman"/>
          <w:i/>
          <w:sz w:val="24"/>
          <w:szCs w:val="24"/>
          <w:lang w:val="en-US"/>
        </w:rPr>
        <w:t>, social capital</w:t>
      </w:r>
    </w:p>
    <w:p w14:paraId="4494AC4B" w14:textId="2383C666" w:rsidR="009C4934" w:rsidRDefault="009C4934" w:rsidP="00EC1F49">
      <w:pPr>
        <w:ind w:firstLine="708"/>
        <w:jc w:val="both"/>
        <w:rPr>
          <w:rFonts w:ascii="Times New Roman" w:eastAsia="Calibri" w:hAnsi="Times New Roman" w:cs="Times New Roman"/>
          <w:b/>
          <w:sz w:val="28"/>
          <w:szCs w:val="28"/>
        </w:rPr>
      </w:pPr>
      <w:r w:rsidRPr="00F46E15">
        <w:rPr>
          <w:rFonts w:ascii="Times New Roman" w:eastAsia="Calibri" w:hAnsi="Times New Roman" w:cs="Times New Roman"/>
          <w:b/>
          <w:sz w:val="28"/>
          <w:szCs w:val="28"/>
        </w:rPr>
        <w:t>УВОД</w:t>
      </w:r>
    </w:p>
    <w:p w14:paraId="0FEDEC75" w14:textId="4BD52744" w:rsidR="009B1885" w:rsidRPr="009B1885" w:rsidRDefault="009B1885" w:rsidP="009B1885">
      <w:pPr>
        <w:spacing w:after="0" w:line="240" w:lineRule="auto"/>
        <w:ind w:firstLine="708"/>
        <w:jc w:val="both"/>
        <w:rPr>
          <w:rFonts w:ascii="Times New Roman" w:eastAsia="Calibri" w:hAnsi="Times New Roman" w:cs="Times New Roman"/>
          <w:sz w:val="28"/>
          <w:szCs w:val="28"/>
        </w:rPr>
      </w:pPr>
      <w:r w:rsidRPr="009B1885">
        <w:rPr>
          <w:rFonts w:ascii="Times New Roman" w:eastAsia="Calibri" w:hAnsi="Times New Roman" w:cs="Times New Roman"/>
          <w:sz w:val="28"/>
          <w:szCs w:val="28"/>
        </w:rPr>
        <w:t>Съвременната среда за сигурност се характеризира с нарастваща сложност, взаимозависимост и трудно предвидимо развитие на рисковете. Военните конфликти, хибридните заплахи, кибератаките, климатичните бедствия, пандемиите, дезинформацията и прекъсването на жизненоважни услуги показват, че сигурността не може да бъде гарантирана единствено чрез традиционните институционални механизми. В този контекст гражданската сигурност се утвърждава като интегративна концепция, обединяваща защитата на гражданите, устойчивостта на критичната инфраструктура, непрекъснатостта на основните обществени функции и способността на институциите и общностите да реагират координирано при кризи</w:t>
      </w:r>
      <w:r>
        <w:rPr>
          <w:rFonts w:ascii="Times New Roman" w:eastAsia="Calibri" w:hAnsi="Times New Roman" w:cs="Times New Roman"/>
          <w:sz w:val="28"/>
          <w:szCs w:val="28"/>
        </w:rPr>
        <w:t xml:space="preserve"> </w:t>
      </w:r>
      <w:bookmarkStart w:id="0" w:name="_Hlk240200355"/>
      <w:r w:rsidRPr="009B1885">
        <w:rPr>
          <w:rFonts w:ascii="Times New Roman" w:eastAsia="Calibri" w:hAnsi="Times New Roman" w:cs="Times New Roman"/>
          <w:sz w:val="28"/>
          <w:szCs w:val="28"/>
        </w:rPr>
        <w:t>[1].</w:t>
      </w:r>
    </w:p>
    <w:bookmarkEnd w:id="0"/>
    <w:p w14:paraId="3594FE33" w14:textId="77777777" w:rsidR="009B1885" w:rsidRPr="009B1885" w:rsidRDefault="009B1885" w:rsidP="009B1885">
      <w:pPr>
        <w:spacing w:after="0" w:line="240" w:lineRule="auto"/>
        <w:ind w:firstLine="708"/>
        <w:jc w:val="both"/>
        <w:rPr>
          <w:rFonts w:ascii="Times New Roman" w:eastAsia="Calibri" w:hAnsi="Times New Roman" w:cs="Times New Roman"/>
          <w:sz w:val="28"/>
          <w:szCs w:val="28"/>
        </w:rPr>
      </w:pPr>
    </w:p>
    <w:p w14:paraId="2FE8BF1F" w14:textId="29D6E33F" w:rsidR="009B1885" w:rsidRPr="009B1885" w:rsidRDefault="009B1885" w:rsidP="009B1885">
      <w:pPr>
        <w:spacing w:after="0" w:line="240" w:lineRule="auto"/>
        <w:ind w:firstLine="708"/>
        <w:jc w:val="both"/>
        <w:rPr>
          <w:rFonts w:ascii="Times New Roman" w:eastAsia="Calibri" w:hAnsi="Times New Roman" w:cs="Times New Roman"/>
          <w:sz w:val="28"/>
          <w:szCs w:val="28"/>
        </w:rPr>
      </w:pPr>
      <w:r w:rsidRPr="009B1885">
        <w:rPr>
          <w:rFonts w:ascii="Times New Roman" w:eastAsia="Calibri" w:hAnsi="Times New Roman" w:cs="Times New Roman"/>
          <w:sz w:val="28"/>
          <w:szCs w:val="28"/>
        </w:rPr>
        <w:lastRenderedPageBreak/>
        <w:t>Необходимостта от повишаване на обществената устойчивост извежда на преден план ролята на социалните иновации като нови модели, практики и форми на взаимодействие, насочени към по-ефективно удовлетворяване на обществените потребности</w:t>
      </w:r>
      <w:r>
        <w:rPr>
          <w:rFonts w:ascii="Times New Roman" w:eastAsia="Calibri" w:hAnsi="Times New Roman" w:cs="Times New Roman"/>
          <w:sz w:val="28"/>
          <w:szCs w:val="28"/>
        </w:rPr>
        <w:t xml:space="preserve"> </w:t>
      </w:r>
      <w:r w:rsidRPr="009B1885">
        <w:rPr>
          <w:rFonts w:ascii="Times New Roman" w:eastAsia="Calibri" w:hAnsi="Times New Roman" w:cs="Times New Roman"/>
          <w:sz w:val="28"/>
          <w:szCs w:val="28"/>
        </w:rPr>
        <w:t>[</w:t>
      </w:r>
      <w:r>
        <w:rPr>
          <w:rFonts w:ascii="Times New Roman" w:eastAsia="Calibri" w:hAnsi="Times New Roman" w:cs="Times New Roman"/>
          <w:sz w:val="28"/>
          <w:szCs w:val="28"/>
        </w:rPr>
        <w:t>2</w:t>
      </w:r>
      <w:r w:rsidRPr="009B1885">
        <w:rPr>
          <w:rFonts w:ascii="Times New Roman" w:eastAsia="Calibri" w:hAnsi="Times New Roman" w:cs="Times New Roman"/>
          <w:sz w:val="28"/>
          <w:szCs w:val="28"/>
        </w:rPr>
        <w:t>]. Чрез мобилизиране на гражданското участие, развитие на партньорства и укрепване на доверието социалните иновации могат да допринесат за превръщането на гражданите от пасивни адресати на мерките за сигурност в активни участници в превенцията, подготовката и реакцията при извънредни ситуации.</w:t>
      </w:r>
    </w:p>
    <w:p w14:paraId="45EBE003" w14:textId="7D712C54" w:rsidR="00A356EA" w:rsidRDefault="009B1885" w:rsidP="009B1885">
      <w:pPr>
        <w:spacing w:after="0" w:line="240" w:lineRule="auto"/>
        <w:ind w:firstLine="708"/>
        <w:jc w:val="both"/>
        <w:rPr>
          <w:rFonts w:ascii="Times New Roman" w:eastAsia="Calibri" w:hAnsi="Times New Roman" w:cs="Times New Roman"/>
          <w:sz w:val="28"/>
          <w:szCs w:val="28"/>
        </w:rPr>
      </w:pPr>
      <w:r w:rsidRPr="009B1885">
        <w:rPr>
          <w:rFonts w:ascii="Times New Roman" w:eastAsia="Calibri" w:hAnsi="Times New Roman" w:cs="Times New Roman"/>
          <w:sz w:val="28"/>
          <w:szCs w:val="28"/>
        </w:rPr>
        <w:t>Настоящият доклад изследва взаимовръзката между социалните иновации и гражданската сигурност през призмата на доверието и социалния капитал като стратегически ресурси на обществената устойчивост. Основната теза е, че социалните иновации създават допълнителен капацитет за управление на комплексни и продължителни кризи, когато се основават на активно гражданско участие, междусекторно сътрудничество и устойчиво партньорство между публичните институции, гражданските организации, бизнеса и местните общности. В тази връзка се анализират инициативи за подобряване на гражданската готовност, които притежават потенциал да бъдат определени като социални иновации в областта на сигурността.</w:t>
      </w:r>
    </w:p>
    <w:p w14:paraId="2A7FF42D" w14:textId="77777777" w:rsidR="002E01D5" w:rsidRDefault="002E01D5" w:rsidP="00EE1294">
      <w:pPr>
        <w:spacing w:after="0" w:line="240" w:lineRule="auto"/>
        <w:ind w:firstLine="708"/>
        <w:jc w:val="both"/>
        <w:rPr>
          <w:rFonts w:ascii="Times New Roman" w:eastAsia="Calibri" w:hAnsi="Times New Roman" w:cs="Times New Roman"/>
          <w:sz w:val="28"/>
          <w:szCs w:val="28"/>
        </w:rPr>
      </w:pPr>
    </w:p>
    <w:p w14:paraId="5CF474F7" w14:textId="40295960" w:rsidR="00133864" w:rsidRPr="00133864" w:rsidRDefault="00747510" w:rsidP="00133864">
      <w:pPr>
        <w:spacing w:after="0"/>
        <w:ind w:firstLine="709"/>
        <w:jc w:val="both"/>
        <w:rPr>
          <w:rFonts w:ascii="Times New Roman" w:hAnsi="Times New Roman" w:cs="Times New Roman"/>
          <w:b/>
          <w:sz w:val="28"/>
          <w:szCs w:val="28"/>
          <w:lang w:val="en-US"/>
        </w:rPr>
      </w:pPr>
      <w:r>
        <w:rPr>
          <w:rFonts w:ascii="Times New Roman" w:hAnsi="Times New Roman" w:cs="Times New Roman"/>
          <w:b/>
          <w:sz w:val="28"/>
          <w:szCs w:val="28"/>
        </w:rPr>
        <w:t xml:space="preserve">1. </w:t>
      </w:r>
      <w:r w:rsidR="00133864" w:rsidRPr="00133864">
        <w:rPr>
          <w:rFonts w:ascii="Times New Roman" w:hAnsi="Times New Roman" w:cs="Times New Roman"/>
          <w:b/>
          <w:sz w:val="28"/>
          <w:szCs w:val="28"/>
        </w:rPr>
        <w:t>Еволюция на концепцията за гражданска сигурност</w:t>
      </w:r>
      <w:r w:rsidR="00133864">
        <w:rPr>
          <w:rFonts w:ascii="Times New Roman" w:hAnsi="Times New Roman" w:cs="Times New Roman"/>
          <w:b/>
          <w:sz w:val="28"/>
          <w:szCs w:val="28"/>
          <w:lang w:val="en-US"/>
        </w:rPr>
        <w:t>.</w:t>
      </w:r>
    </w:p>
    <w:p w14:paraId="75B89602" w14:textId="7685FA0B" w:rsidR="00BE7D64" w:rsidRPr="00BE7D64" w:rsidRDefault="00BE7D64" w:rsidP="00BE7D64">
      <w:pPr>
        <w:spacing w:after="0"/>
        <w:ind w:firstLine="709"/>
        <w:jc w:val="both"/>
        <w:rPr>
          <w:rFonts w:ascii="Times New Roman" w:hAnsi="Times New Roman" w:cs="Times New Roman"/>
          <w:bCs/>
          <w:sz w:val="28"/>
          <w:szCs w:val="28"/>
        </w:rPr>
      </w:pPr>
      <w:r w:rsidRPr="00BE7D64">
        <w:rPr>
          <w:rFonts w:ascii="Times New Roman" w:hAnsi="Times New Roman" w:cs="Times New Roman"/>
          <w:bCs/>
          <w:sz w:val="28"/>
          <w:szCs w:val="28"/>
        </w:rPr>
        <w:t>Концепцията за гражданска сигурност се развива в резултат от постепенното разширяване на разбирането за сигурността отвъд традиционната защита на държавата от военни заплахи. Съществен принос за тази промяна имат Бузан, Вевер и де Вилде, които обособяват военен, политически, обществен, икономически и екологичен сектор на сигурността</w:t>
      </w:r>
      <w:r>
        <w:rPr>
          <w:rFonts w:ascii="Times New Roman" w:hAnsi="Times New Roman" w:cs="Times New Roman"/>
          <w:bCs/>
          <w:sz w:val="28"/>
          <w:szCs w:val="28"/>
        </w:rPr>
        <w:t xml:space="preserve"> </w:t>
      </w:r>
      <w:r w:rsidRPr="00BE7D64">
        <w:rPr>
          <w:rFonts w:ascii="Times New Roman" w:hAnsi="Times New Roman" w:cs="Times New Roman"/>
          <w:bCs/>
          <w:sz w:val="28"/>
          <w:szCs w:val="28"/>
        </w:rPr>
        <w:t>[</w:t>
      </w:r>
      <w:r>
        <w:rPr>
          <w:rFonts w:ascii="Times New Roman" w:hAnsi="Times New Roman" w:cs="Times New Roman"/>
          <w:bCs/>
          <w:sz w:val="28"/>
          <w:szCs w:val="28"/>
        </w:rPr>
        <w:t>3</w:t>
      </w:r>
      <w:r w:rsidRPr="00BE7D64">
        <w:rPr>
          <w:rFonts w:ascii="Times New Roman" w:hAnsi="Times New Roman" w:cs="Times New Roman"/>
          <w:bCs/>
          <w:sz w:val="28"/>
          <w:szCs w:val="28"/>
        </w:rPr>
        <w:t>]. Техният подход показва, че източниците на несигурност могат да възникват в различни обществени системи и да засягат както суверенитета на държавата, така и идентичността, благосъстоянието и жизнените условия на гражданите. По този начин сигурността придобива многосекторен характер, а защитата на населението и жизненоважните обществени функции се превръща в самостоятелен предмет на публичните политики.</w:t>
      </w:r>
    </w:p>
    <w:p w14:paraId="05411213" w14:textId="6EF31196" w:rsidR="00BE7D64" w:rsidRPr="00BE7D64" w:rsidRDefault="00BE7D64" w:rsidP="00BE7D64">
      <w:pPr>
        <w:spacing w:after="0"/>
        <w:ind w:firstLine="709"/>
        <w:jc w:val="both"/>
        <w:rPr>
          <w:rFonts w:ascii="Times New Roman" w:hAnsi="Times New Roman" w:cs="Times New Roman"/>
          <w:bCs/>
          <w:sz w:val="28"/>
          <w:szCs w:val="28"/>
        </w:rPr>
      </w:pPr>
      <w:r w:rsidRPr="00BE7D64">
        <w:rPr>
          <w:rFonts w:ascii="Times New Roman" w:hAnsi="Times New Roman" w:cs="Times New Roman"/>
          <w:bCs/>
          <w:sz w:val="28"/>
          <w:szCs w:val="28"/>
        </w:rPr>
        <w:t>В европейски контекст Рафаел Босонг и Хендрик Хегеман развиват разбирането за гражданската сигурност като пространство на многостепенно и мрежово управление</w:t>
      </w:r>
      <w:r>
        <w:rPr>
          <w:rFonts w:ascii="Times New Roman" w:hAnsi="Times New Roman" w:cs="Times New Roman"/>
          <w:bCs/>
          <w:sz w:val="28"/>
          <w:szCs w:val="28"/>
        </w:rPr>
        <w:t xml:space="preserve"> </w:t>
      </w:r>
      <w:r w:rsidRPr="00BE7D64">
        <w:rPr>
          <w:rFonts w:ascii="Times New Roman" w:hAnsi="Times New Roman" w:cs="Times New Roman"/>
          <w:bCs/>
          <w:sz w:val="28"/>
          <w:szCs w:val="28"/>
        </w:rPr>
        <w:t>[</w:t>
      </w:r>
      <w:r>
        <w:rPr>
          <w:rFonts w:ascii="Times New Roman" w:hAnsi="Times New Roman" w:cs="Times New Roman"/>
          <w:bCs/>
          <w:sz w:val="28"/>
          <w:szCs w:val="28"/>
        </w:rPr>
        <w:t>4</w:t>
      </w:r>
      <w:r w:rsidRPr="00BE7D64">
        <w:rPr>
          <w:rFonts w:ascii="Times New Roman" w:hAnsi="Times New Roman" w:cs="Times New Roman"/>
          <w:bCs/>
          <w:sz w:val="28"/>
          <w:szCs w:val="28"/>
        </w:rPr>
        <w:t xml:space="preserve">]. Според този подход управлението на кризи и бедствия не се осъществява единствено от националната държава, а чрез взаимодействие между институциите на Европейския съюз, националните и местните власти, спасителните служби, частните оператори на критична инфраструктура и организациите на гражданското общество. Гражданската сигурност следователно се формира </w:t>
      </w:r>
      <w:r w:rsidRPr="00BE7D64">
        <w:rPr>
          <w:rFonts w:ascii="Times New Roman" w:hAnsi="Times New Roman" w:cs="Times New Roman"/>
          <w:bCs/>
          <w:sz w:val="28"/>
          <w:szCs w:val="28"/>
        </w:rPr>
        <w:lastRenderedPageBreak/>
        <w:t>като резултат от координацията между множество участници, разполагащи с различни компетентности, ресурси и отговорности.</w:t>
      </w:r>
    </w:p>
    <w:p w14:paraId="7BA970F9" w14:textId="208A3C12" w:rsidR="009B1885" w:rsidRDefault="00BE7D64" w:rsidP="00BE7D64">
      <w:pPr>
        <w:spacing w:after="0"/>
        <w:ind w:firstLine="709"/>
        <w:jc w:val="both"/>
        <w:rPr>
          <w:rFonts w:ascii="Times New Roman" w:hAnsi="Times New Roman" w:cs="Times New Roman"/>
          <w:bCs/>
          <w:sz w:val="28"/>
          <w:szCs w:val="28"/>
        </w:rPr>
      </w:pPr>
      <w:r w:rsidRPr="00BE7D64">
        <w:rPr>
          <w:rFonts w:ascii="Times New Roman" w:hAnsi="Times New Roman" w:cs="Times New Roman"/>
          <w:bCs/>
          <w:sz w:val="28"/>
          <w:szCs w:val="28"/>
        </w:rPr>
        <w:t>Последващото утвърждаване на устойчивостта като водещ принцип на политиките за сигурност допълнително променя ролята на гражданите и общностите. Джонатан Джоузеф разглежда устойчивостта като управленска концепция, при която част от отговорността за предвиждането, понасянето и преодоляването на рисковете се прехвърля от публичните институции към отделните граждани и местните общности</w:t>
      </w:r>
      <w:r>
        <w:rPr>
          <w:rFonts w:ascii="Times New Roman" w:hAnsi="Times New Roman" w:cs="Times New Roman"/>
          <w:bCs/>
          <w:sz w:val="28"/>
          <w:szCs w:val="28"/>
        </w:rPr>
        <w:t xml:space="preserve"> </w:t>
      </w:r>
      <w:r w:rsidR="00DA3753" w:rsidRPr="00DA3753">
        <w:rPr>
          <w:rFonts w:ascii="Times New Roman" w:hAnsi="Times New Roman" w:cs="Times New Roman"/>
          <w:bCs/>
          <w:sz w:val="28"/>
          <w:szCs w:val="28"/>
        </w:rPr>
        <w:t>[</w:t>
      </w:r>
      <w:r w:rsidR="00DA3753">
        <w:rPr>
          <w:rFonts w:ascii="Times New Roman" w:hAnsi="Times New Roman" w:cs="Times New Roman"/>
          <w:bCs/>
          <w:sz w:val="28"/>
          <w:szCs w:val="28"/>
        </w:rPr>
        <w:t>5</w:t>
      </w:r>
      <w:r w:rsidR="00DA3753" w:rsidRPr="00DA3753">
        <w:rPr>
          <w:rFonts w:ascii="Times New Roman" w:hAnsi="Times New Roman" w:cs="Times New Roman"/>
          <w:bCs/>
          <w:sz w:val="28"/>
          <w:szCs w:val="28"/>
        </w:rPr>
        <w:t>].</w:t>
      </w:r>
      <w:r w:rsidRPr="00BE7D64">
        <w:rPr>
          <w:rFonts w:ascii="Times New Roman" w:hAnsi="Times New Roman" w:cs="Times New Roman"/>
          <w:bCs/>
          <w:sz w:val="28"/>
          <w:szCs w:val="28"/>
        </w:rPr>
        <w:t xml:space="preserve"> Това създава възможности за мобилизиране на социален капитал, взаимопомощ и самоорганизация, но поставя и критичния въпрос дали разширяването на индивидуалната отговорност не прикрива оттегляне или недостатъчен капацитет на държавата.</w:t>
      </w:r>
    </w:p>
    <w:p w14:paraId="30968CB7" w14:textId="319752CA" w:rsidR="009B1885" w:rsidRDefault="00BE7D64" w:rsidP="009B1885">
      <w:pPr>
        <w:spacing w:after="0"/>
        <w:ind w:firstLine="709"/>
        <w:jc w:val="both"/>
        <w:rPr>
          <w:rFonts w:ascii="Times New Roman" w:hAnsi="Times New Roman" w:cs="Times New Roman"/>
          <w:bCs/>
          <w:sz w:val="28"/>
          <w:szCs w:val="28"/>
        </w:rPr>
      </w:pPr>
      <w:r w:rsidRPr="00BE7D64">
        <w:rPr>
          <w:rFonts w:ascii="Times New Roman" w:hAnsi="Times New Roman" w:cs="Times New Roman"/>
          <w:bCs/>
          <w:sz w:val="28"/>
          <w:szCs w:val="28"/>
        </w:rPr>
        <w:t>В съвременното разбиране гражданската сигурност обединява институционалната защита, устойчивостта на критичните услуги и активната готовност на населението, като предполага балансирано разпределение на отговорностите между държавата, бизнеса и гражданското общество.</w:t>
      </w:r>
      <w:r>
        <w:rPr>
          <w:rFonts w:ascii="Times New Roman" w:hAnsi="Times New Roman" w:cs="Times New Roman"/>
          <w:bCs/>
          <w:sz w:val="28"/>
          <w:szCs w:val="28"/>
        </w:rPr>
        <w:t xml:space="preserve"> </w:t>
      </w:r>
    </w:p>
    <w:p w14:paraId="6EDBD3EA" w14:textId="194DC1BB" w:rsidR="00133864" w:rsidRDefault="00133864" w:rsidP="00133864">
      <w:pPr>
        <w:spacing w:after="0"/>
        <w:ind w:firstLine="709"/>
        <w:jc w:val="both"/>
        <w:rPr>
          <w:rFonts w:ascii="Times New Roman" w:hAnsi="Times New Roman" w:cs="Times New Roman"/>
          <w:bCs/>
          <w:sz w:val="28"/>
          <w:szCs w:val="28"/>
        </w:rPr>
      </w:pPr>
      <w:r w:rsidRPr="00133864">
        <w:rPr>
          <w:rFonts w:ascii="Times New Roman" w:hAnsi="Times New Roman" w:cs="Times New Roman"/>
          <w:bCs/>
          <w:sz w:val="28"/>
          <w:szCs w:val="28"/>
        </w:rPr>
        <w:t xml:space="preserve">В отговор </w:t>
      </w:r>
      <w:r w:rsidR="00BE7D64">
        <w:rPr>
          <w:rFonts w:ascii="Times New Roman" w:hAnsi="Times New Roman" w:cs="Times New Roman"/>
          <w:bCs/>
          <w:sz w:val="28"/>
          <w:szCs w:val="28"/>
        </w:rPr>
        <w:t xml:space="preserve">на нарастващите заплахи и многополюсни кризи, </w:t>
      </w:r>
      <w:r w:rsidRPr="00133864">
        <w:rPr>
          <w:rFonts w:ascii="Times New Roman" w:hAnsi="Times New Roman" w:cs="Times New Roman"/>
          <w:bCs/>
          <w:sz w:val="28"/>
          <w:szCs w:val="28"/>
        </w:rPr>
        <w:t>Европейския съюз и НАТО постепенно формират нова парадигма, основана не само върху защитата от конкретни заплахи, а върху изграждането на цялостна обществена устойчивост. В нейния център стои способността на държавата и обществото да предвиждат, предотвратяват, понасят, управляват и преодоляват кризи, като същевременно запазват функционирането на основните институции и жизненоважните услуги</w:t>
      </w:r>
      <w:r>
        <w:rPr>
          <w:rFonts w:ascii="Times New Roman" w:hAnsi="Times New Roman" w:cs="Times New Roman"/>
          <w:bCs/>
          <w:sz w:val="28"/>
          <w:szCs w:val="28"/>
          <w:lang w:val="en-US"/>
        </w:rPr>
        <w:t>.</w:t>
      </w:r>
      <w:r w:rsidR="00404019" w:rsidRPr="00404019">
        <w:rPr>
          <w:rFonts w:ascii="Times New Roman" w:hAnsi="Times New Roman" w:cs="Times New Roman"/>
          <w:bCs/>
          <w:sz w:val="28"/>
          <w:szCs w:val="28"/>
        </w:rPr>
        <w:t>Основата на подхода на НАТО са непрекъснатостта на управлението, устойчивостта на жизненоважните услуги и гражданската подкрепа за колективната отбрана</w:t>
      </w:r>
      <w:r w:rsidR="00404019">
        <w:rPr>
          <w:rFonts w:ascii="Times New Roman" w:hAnsi="Times New Roman" w:cs="Times New Roman"/>
          <w:bCs/>
          <w:sz w:val="28"/>
          <w:szCs w:val="28"/>
        </w:rPr>
        <w:t xml:space="preserve"> </w:t>
      </w:r>
      <w:bookmarkStart w:id="1" w:name="_Hlk240208555"/>
      <w:r w:rsidR="00404019" w:rsidRPr="00404019">
        <w:rPr>
          <w:rFonts w:ascii="Times New Roman" w:hAnsi="Times New Roman" w:cs="Times New Roman"/>
          <w:bCs/>
          <w:sz w:val="28"/>
          <w:szCs w:val="28"/>
        </w:rPr>
        <w:t>[</w:t>
      </w:r>
      <w:r w:rsidR="00DA3753">
        <w:rPr>
          <w:rFonts w:ascii="Times New Roman" w:hAnsi="Times New Roman" w:cs="Times New Roman"/>
          <w:bCs/>
          <w:sz w:val="28"/>
          <w:szCs w:val="28"/>
        </w:rPr>
        <w:t>6</w:t>
      </w:r>
      <w:r w:rsidR="00404019" w:rsidRPr="00404019">
        <w:rPr>
          <w:rFonts w:ascii="Times New Roman" w:hAnsi="Times New Roman" w:cs="Times New Roman"/>
          <w:bCs/>
          <w:sz w:val="28"/>
          <w:szCs w:val="28"/>
        </w:rPr>
        <w:t xml:space="preserve">]. </w:t>
      </w:r>
      <w:r w:rsidR="00404019">
        <w:rPr>
          <w:rFonts w:ascii="Times New Roman" w:hAnsi="Times New Roman" w:cs="Times New Roman"/>
          <w:bCs/>
          <w:sz w:val="28"/>
          <w:szCs w:val="28"/>
        </w:rPr>
        <w:t xml:space="preserve"> </w:t>
      </w:r>
    </w:p>
    <w:bookmarkEnd w:id="1"/>
    <w:p w14:paraId="685F57C2" w14:textId="735A4155" w:rsidR="00BE7D64" w:rsidRDefault="00C41587" w:rsidP="00B26202">
      <w:pPr>
        <w:ind w:firstLine="360"/>
        <w:jc w:val="both"/>
        <w:rPr>
          <w:rFonts w:ascii="Times New Roman" w:hAnsi="Times New Roman" w:cs="Times New Roman"/>
          <w:bCs/>
          <w:sz w:val="28"/>
          <w:szCs w:val="28"/>
        </w:rPr>
      </w:pPr>
      <w:r w:rsidRPr="00C41587">
        <w:rPr>
          <w:rFonts w:ascii="Times New Roman" w:hAnsi="Times New Roman" w:cs="Times New Roman"/>
          <w:bCs/>
          <w:sz w:val="28"/>
          <w:szCs w:val="28"/>
        </w:rPr>
        <w:t>Новата европейска рамка за гражданска сигурност се формира в отговор на качествено променената среда, в която военни конфликти, хибридни операции, кибератаки, дезинформация, климатични бедствия, пандемии и прекъсвания на критични доставки могат да възникват едновременно и да предизвикват каскадни последици. Нейната концептуална основа е развита в доклада на Саули Ниинистьо от 2024 г., а основните препоръки впоследствие са институционализирани чрез Стратегията за Съюз на готовност и стратегията ProtectEU от 2025 г.</w:t>
      </w:r>
      <w:r w:rsidR="00DA3753">
        <w:rPr>
          <w:rFonts w:ascii="Times New Roman" w:hAnsi="Times New Roman" w:cs="Times New Roman"/>
          <w:bCs/>
          <w:sz w:val="28"/>
          <w:szCs w:val="28"/>
        </w:rPr>
        <w:t xml:space="preserve"> </w:t>
      </w:r>
      <w:r w:rsidRPr="00C41587">
        <w:rPr>
          <w:rFonts w:ascii="Times New Roman" w:hAnsi="Times New Roman" w:cs="Times New Roman"/>
          <w:bCs/>
          <w:sz w:val="28"/>
          <w:szCs w:val="28"/>
        </w:rPr>
        <w:t xml:space="preserve"> </w:t>
      </w:r>
      <w:r w:rsidR="00DA3753" w:rsidRPr="00DA3753">
        <w:rPr>
          <w:rFonts w:ascii="Times New Roman" w:hAnsi="Times New Roman" w:cs="Times New Roman"/>
          <w:bCs/>
          <w:sz w:val="28"/>
          <w:szCs w:val="28"/>
        </w:rPr>
        <w:t>[</w:t>
      </w:r>
      <w:r w:rsidR="00DA3753">
        <w:rPr>
          <w:rFonts w:ascii="Times New Roman" w:hAnsi="Times New Roman" w:cs="Times New Roman"/>
          <w:bCs/>
          <w:sz w:val="28"/>
          <w:szCs w:val="28"/>
        </w:rPr>
        <w:t>1,7</w:t>
      </w:r>
      <w:r w:rsidR="00DA3753" w:rsidRPr="00DA3753">
        <w:rPr>
          <w:rFonts w:ascii="Times New Roman" w:hAnsi="Times New Roman" w:cs="Times New Roman"/>
          <w:bCs/>
          <w:sz w:val="28"/>
          <w:szCs w:val="28"/>
        </w:rPr>
        <w:t xml:space="preserve">].  </w:t>
      </w:r>
    </w:p>
    <w:p w14:paraId="7C689D55" w14:textId="3E4011D2" w:rsidR="00C41587" w:rsidRDefault="00C41587" w:rsidP="00B26202">
      <w:pPr>
        <w:ind w:firstLine="360"/>
        <w:jc w:val="both"/>
        <w:rPr>
          <w:rFonts w:ascii="Times New Roman" w:hAnsi="Times New Roman" w:cs="Times New Roman"/>
          <w:sz w:val="28"/>
          <w:szCs w:val="28"/>
        </w:rPr>
      </w:pPr>
      <w:r w:rsidRPr="00C41587">
        <w:rPr>
          <w:rFonts w:ascii="Times New Roman" w:hAnsi="Times New Roman" w:cs="Times New Roman"/>
          <w:sz w:val="28"/>
          <w:szCs w:val="28"/>
        </w:rPr>
        <w:t xml:space="preserve">Централното послание на доклада на Ниинистьо е необходимостта от преминаване от фрагментирана и предимно реактивна защита към всеобхватна готовност. Тя се основава на подход към всички видове опасности и обединява гражданската защита, вътрешната сигурност, </w:t>
      </w:r>
      <w:r w:rsidRPr="00C41587">
        <w:rPr>
          <w:rFonts w:ascii="Times New Roman" w:hAnsi="Times New Roman" w:cs="Times New Roman"/>
          <w:sz w:val="28"/>
          <w:szCs w:val="28"/>
        </w:rPr>
        <w:lastRenderedPageBreak/>
        <w:t>отбраната, здравеопазването, икономическата сигурност и устойчивостта на критичната инфраструктура.</w:t>
      </w:r>
      <w:r>
        <w:rPr>
          <w:rFonts w:ascii="Times New Roman" w:hAnsi="Times New Roman" w:cs="Times New Roman"/>
          <w:sz w:val="28"/>
          <w:szCs w:val="28"/>
        </w:rPr>
        <w:t xml:space="preserve"> </w:t>
      </w:r>
      <w:r w:rsidRPr="00C41587">
        <w:rPr>
          <w:rFonts w:ascii="Times New Roman" w:hAnsi="Times New Roman" w:cs="Times New Roman"/>
          <w:sz w:val="28"/>
          <w:szCs w:val="28"/>
        </w:rPr>
        <w:t>Друг водещ принцип е съчетаването на подходите „цялото управление“ и „цялото общество“. Отговорността за сигурността не се ограничава до специализираните държавни институции, а се разпределя между европейските и националните органи, местните власти, бизнеса, гражданските организации, научната общност, медиите и гражданите</w:t>
      </w:r>
      <w:r w:rsidR="0081388A" w:rsidRPr="0081388A">
        <w:rPr>
          <w:rFonts w:ascii="Times New Roman" w:hAnsi="Times New Roman" w:cs="Times New Roman"/>
          <w:sz w:val="28"/>
          <w:szCs w:val="28"/>
        </w:rPr>
        <w:t xml:space="preserve">[1].  </w:t>
      </w:r>
      <w:r w:rsidR="0081388A">
        <w:rPr>
          <w:rFonts w:ascii="Times New Roman" w:hAnsi="Times New Roman" w:cs="Times New Roman"/>
          <w:sz w:val="28"/>
          <w:szCs w:val="28"/>
        </w:rPr>
        <w:t xml:space="preserve"> </w:t>
      </w:r>
    </w:p>
    <w:p w14:paraId="4E98A8DA" w14:textId="30AA0655" w:rsidR="00C41587" w:rsidRDefault="00C41587" w:rsidP="00B26202">
      <w:pPr>
        <w:ind w:firstLine="360"/>
        <w:jc w:val="both"/>
        <w:rPr>
          <w:rFonts w:ascii="Times New Roman" w:hAnsi="Times New Roman" w:cs="Times New Roman"/>
          <w:sz w:val="28"/>
          <w:szCs w:val="28"/>
        </w:rPr>
      </w:pPr>
      <w:r w:rsidRPr="00C41587">
        <w:rPr>
          <w:rFonts w:ascii="Times New Roman" w:hAnsi="Times New Roman" w:cs="Times New Roman"/>
          <w:sz w:val="28"/>
          <w:szCs w:val="28"/>
        </w:rPr>
        <w:t>Докладът поставя гражданите в центъра на готовността. Населението следва да притежава знания, практически умения и ресурси за самостоятелно справяне в началния период на кризата. Тази постановка намира конкретно изражение в Стратегията на ЕС за Съюз на готовност от 2025 г., която предвижда обучение по готовност в образователните системи, достъпна кризисна комуникация, ежегодни инициативи за информираност и насоки за минимална 72-часова самостоятелност на домакинствата. Така гражданите се превръщат от пасивни получатели на защита в активни участници в производството на сигурност</w:t>
      </w:r>
      <w:r w:rsidR="00DA3753">
        <w:rPr>
          <w:rFonts w:ascii="Times New Roman" w:hAnsi="Times New Roman" w:cs="Times New Roman"/>
          <w:sz w:val="28"/>
          <w:szCs w:val="28"/>
        </w:rPr>
        <w:t xml:space="preserve"> </w:t>
      </w:r>
      <w:bookmarkStart w:id="2" w:name="_Hlk240210405"/>
      <w:r w:rsidR="00DA3753" w:rsidRPr="00DA3753">
        <w:rPr>
          <w:rFonts w:ascii="Times New Roman" w:hAnsi="Times New Roman" w:cs="Times New Roman"/>
          <w:sz w:val="28"/>
          <w:szCs w:val="28"/>
        </w:rPr>
        <w:t xml:space="preserve">[7].  </w:t>
      </w:r>
    </w:p>
    <w:bookmarkEnd w:id="2"/>
    <w:p w14:paraId="6DAFDE9F" w14:textId="3AD1AABA" w:rsidR="002B28F6" w:rsidRPr="0052081B" w:rsidRDefault="002B28F6" w:rsidP="00B26202">
      <w:pPr>
        <w:ind w:firstLine="360"/>
        <w:jc w:val="both"/>
        <w:rPr>
          <w:rFonts w:ascii="Times New Roman" w:hAnsi="Times New Roman" w:cs="Times New Roman"/>
          <w:b/>
          <w:bCs/>
          <w:sz w:val="28"/>
          <w:szCs w:val="28"/>
        </w:rPr>
      </w:pPr>
      <w:r w:rsidRPr="0052081B">
        <w:rPr>
          <w:rFonts w:ascii="Times New Roman" w:hAnsi="Times New Roman" w:cs="Times New Roman"/>
          <w:b/>
          <w:bCs/>
          <w:sz w:val="28"/>
          <w:szCs w:val="28"/>
        </w:rPr>
        <w:t xml:space="preserve">2. </w:t>
      </w:r>
      <w:r w:rsidR="00694DA7">
        <w:rPr>
          <w:rFonts w:ascii="Times New Roman" w:hAnsi="Times New Roman" w:cs="Times New Roman"/>
          <w:b/>
          <w:bCs/>
          <w:sz w:val="28"/>
          <w:szCs w:val="28"/>
        </w:rPr>
        <w:t>Доверието</w:t>
      </w:r>
      <w:r w:rsidRPr="0052081B">
        <w:rPr>
          <w:rFonts w:ascii="Times New Roman" w:hAnsi="Times New Roman" w:cs="Times New Roman"/>
          <w:b/>
          <w:bCs/>
          <w:sz w:val="28"/>
          <w:szCs w:val="28"/>
        </w:rPr>
        <w:t xml:space="preserve"> и обществена</w:t>
      </w:r>
      <w:r w:rsidR="00694DA7">
        <w:rPr>
          <w:rFonts w:ascii="Times New Roman" w:hAnsi="Times New Roman" w:cs="Times New Roman"/>
          <w:b/>
          <w:bCs/>
          <w:sz w:val="28"/>
          <w:szCs w:val="28"/>
        </w:rPr>
        <w:t>та</w:t>
      </w:r>
      <w:r w:rsidRPr="0052081B">
        <w:rPr>
          <w:rFonts w:ascii="Times New Roman" w:hAnsi="Times New Roman" w:cs="Times New Roman"/>
          <w:b/>
          <w:bCs/>
          <w:sz w:val="28"/>
          <w:szCs w:val="28"/>
        </w:rPr>
        <w:t xml:space="preserve"> устойчивост</w:t>
      </w:r>
      <w:r w:rsidR="00694DA7">
        <w:rPr>
          <w:rFonts w:ascii="Times New Roman" w:hAnsi="Times New Roman" w:cs="Times New Roman"/>
          <w:b/>
          <w:bCs/>
          <w:sz w:val="28"/>
          <w:szCs w:val="28"/>
        </w:rPr>
        <w:t xml:space="preserve"> като ресурси на гражданската сигурност</w:t>
      </w:r>
      <w:r w:rsidR="00D46546">
        <w:rPr>
          <w:rFonts w:ascii="Times New Roman" w:hAnsi="Times New Roman" w:cs="Times New Roman"/>
          <w:b/>
          <w:bCs/>
          <w:sz w:val="28"/>
          <w:szCs w:val="28"/>
        </w:rPr>
        <w:t>.</w:t>
      </w:r>
    </w:p>
    <w:p w14:paraId="63E17272" w14:textId="01594CC5" w:rsidR="00BB309B" w:rsidRDefault="00BB309B" w:rsidP="00B26202">
      <w:pPr>
        <w:ind w:firstLine="360"/>
        <w:jc w:val="both"/>
        <w:rPr>
          <w:rFonts w:ascii="Times New Roman" w:hAnsi="Times New Roman" w:cs="Times New Roman"/>
          <w:sz w:val="28"/>
          <w:szCs w:val="28"/>
        </w:rPr>
      </w:pPr>
      <w:r w:rsidRPr="00BB309B">
        <w:rPr>
          <w:rFonts w:ascii="Times New Roman" w:hAnsi="Times New Roman" w:cs="Times New Roman"/>
          <w:sz w:val="28"/>
          <w:szCs w:val="28"/>
        </w:rPr>
        <w:t xml:space="preserve">В съвременната среда на комплексни, взаимосвързани и трудно предвидими заплахи гражданската сигурност не може да бъде сведена единствено до институционална защита на населението. Тя представлява съвместна способност на публичните институции, гражданите, местните общности, бизнеса и организациите на гражданското общество да предвиждат рисковете, да ограничават тяхното въздействие, да поддържат жизненоважните обществени функции и да се възстановяват след </w:t>
      </w:r>
      <w:r w:rsidRPr="0081388A">
        <w:rPr>
          <w:rFonts w:ascii="Times New Roman" w:hAnsi="Times New Roman" w:cs="Times New Roman"/>
          <w:sz w:val="28"/>
          <w:szCs w:val="28"/>
        </w:rPr>
        <w:t>кризи</w:t>
      </w:r>
      <w:r w:rsidR="00694DA7" w:rsidRPr="0081388A">
        <w:rPr>
          <w:rFonts w:ascii="Times New Roman" w:hAnsi="Times New Roman" w:cs="Times New Roman"/>
          <w:sz w:val="28"/>
          <w:szCs w:val="28"/>
        </w:rPr>
        <w:t xml:space="preserve"> [8].</w:t>
      </w:r>
      <w:r w:rsidR="00694DA7" w:rsidRPr="00694DA7">
        <w:rPr>
          <w:rFonts w:ascii="Times New Roman" w:hAnsi="Times New Roman" w:cs="Times New Roman"/>
          <w:sz w:val="28"/>
          <w:szCs w:val="28"/>
        </w:rPr>
        <w:t xml:space="preserve">  </w:t>
      </w:r>
      <w:r w:rsidR="00694DA7">
        <w:rPr>
          <w:rFonts w:ascii="Times New Roman" w:hAnsi="Times New Roman" w:cs="Times New Roman"/>
          <w:sz w:val="28"/>
          <w:szCs w:val="28"/>
        </w:rPr>
        <w:t xml:space="preserve"> </w:t>
      </w:r>
      <w:r w:rsidRPr="00BB309B">
        <w:rPr>
          <w:rFonts w:ascii="Times New Roman" w:hAnsi="Times New Roman" w:cs="Times New Roman"/>
          <w:sz w:val="28"/>
          <w:szCs w:val="28"/>
        </w:rPr>
        <w:t>В тази система доверието и обществената устойчивост изпълняват ролята на взаимно свързани стратегически ресурси.</w:t>
      </w:r>
    </w:p>
    <w:p w14:paraId="5631AF85" w14:textId="7D02980F" w:rsidR="00BB309B" w:rsidRDefault="00BB309B" w:rsidP="00BB309B">
      <w:pPr>
        <w:ind w:firstLine="360"/>
        <w:jc w:val="both"/>
        <w:rPr>
          <w:rFonts w:ascii="Times New Roman" w:hAnsi="Times New Roman" w:cs="Times New Roman"/>
          <w:sz w:val="28"/>
          <w:szCs w:val="28"/>
        </w:rPr>
      </w:pPr>
      <w:r w:rsidRPr="00BB309B">
        <w:rPr>
          <w:rFonts w:ascii="Times New Roman" w:hAnsi="Times New Roman" w:cs="Times New Roman"/>
          <w:sz w:val="28"/>
          <w:szCs w:val="28"/>
        </w:rPr>
        <w:t>Доверието</w:t>
      </w:r>
      <w:r w:rsidR="00694DA7">
        <w:rPr>
          <w:rFonts w:ascii="Times New Roman" w:hAnsi="Times New Roman" w:cs="Times New Roman"/>
          <w:sz w:val="28"/>
          <w:szCs w:val="28"/>
        </w:rPr>
        <w:t xml:space="preserve"> е ключов елемент на теориите за социалния капитал, но в същото време може да се разглежда като</w:t>
      </w:r>
      <w:r w:rsidRPr="00BB309B">
        <w:rPr>
          <w:rFonts w:ascii="Times New Roman" w:hAnsi="Times New Roman" w:cs="Times New Roman"/>
          <w:sz w:val="28"/>
          <w:szCs w:val="28"/>
        </w:rPr>
        <w:t xml:space="preserve"> условие за гражданска сигурност</w:t>
      </w:r>
      <w:r w:rsidR="00694DA7">
        <w:rPr>
          <w:rFonts w:ascii="Times New Roman" w:hAnsi="Times New Roman" w:cs="Times New Roman"/>
          <w:sz w:val="28"/>
          <w:szCs w:val="28"/>
        </w:rPr>
        <w:t xml:space="preserve">. </w:t>
      </w:r>
      <w:r w:rsidRPr="00BB309B">
        <w:rPr>
          <w:rFonts w:ascii="Times New Roman" w:hAnsi="Times New Roman" w:cs="Times New Roman"/>
          <w:sz w:val="28"/>
          <w:szCs w:val="28"/>
        </w:rPr>
        <w:t>Доверието може да бъде разграничено в две основни измерения. Институционалното доверие изразява увереността на гражданите, че публичните органи са компетентни, действат добросъвестно, справедливо и прозрачно. Междуличностното и общностното доверие се проявява в готовността на хората да си сътрудничат, да обменят информация и ресурси и да оказват взаимопомощ. Двете измерения се допълват: институциите създават легитимни правила и надеждна информация, а социалните мрежи превръщат тези правила и информация в колективно действие.</w:t>
      </w:r>
      <w:r w:rsidR="00694DA7">
        <w:rPr>
          <w:rFonts w:ascii="Times New Roman" w:hAnsi="Times New Roman" w:cs="Times New Roman"/>
          <w:sz w:val="28"/>
          <w:szCs w:val="28"/>
        </w:rPr>
        <w:t xml:space="preserve"> Важно е да </w:t>
      </w:r>
      <w:r w:rsidR="00694DA7">
        <w:rPr>
          <w:rFonts w:ascii="Times New Roman" w:hAnsi="Times New Roman" w:cs="Times New Roman"/>
          <w:sz w:val="28"/>
          <w:szCs w:val="28"/>
        </w:rPr>
        <w:lastRenderedPageBreak/>
        <w:t>се отбележи, че п</w:t>
      </w:r>
      <w:r w:rsidRPr="00BB309B">
        <w:rPr>
          <w:rFonts w:ascii="Times New Roman" w:hAnsi="Times New Roman" w:cs="Times New Roman"/>
          <w:sz w:val="28"/>
          <w:szCs w:val="28"/>
        </w:rPr>
        <w:t>ри извънредни ситуации доверието намалява несигурността и разходите за координация.</w:t>
      </w:r>
    </w:p>
    <w:p w14:paraId="40CC9499" w14:textId="6237CDB3" w:rsidR="00BB309B" w:rsidRDefault="00BB309B" w:rsidP="00BB309B">
      <w:pPr>
        <w:ind w:firstLine="360"/>
        <w:jc w:val="both"/>
        <w:rPr>
          <w:rFonts w:ascii="Times New Roman" w:hAnsi="Times New Roman" w:cs="Times New Roman"/>
          <w:sz w:val="28"/>
          <w:szCs w:val="28"/>
        </w:rPr>
      </w:pPr>
      <w:r w:rsidRPr="00BB309B">
        <w:rPr>
          <w:rFonts w:ascii="Times New Roman" w:hAnsi="Times New Roman" w:cs="Times New Roman"/>
          <w:sz w:val="28"/>
          <w:szCs w:val="28"/>
        </w:rPr>
        <w:t xml:space="preserve">Обществената устойчивост представлява способността на обществото да понася сътресения, да поддържа жизненоважните си функции, да се адаптира към променените условия и при необходимост да трансформира институциите и обществените отношения. В </w:t>
      </w:r>
      <w:r w:rsidR="00694DA7">
        <w:rPr>
          <w:rFonts w:ascii="Times New Roman" w:hAnsi="Times New Roman" w:cs="Times New Roman"/>
          <w:sz w:val="28"/>
          <w:szCs w:val="28"/>
        </w:rPr>
        <w:t>концепцията</w:t>
      </w:r>
      <w:r w:rsidRPr="00BB309B">
        <w:rPr>
          <w:rFonts w:ascii="Times New Roman" w:hAnsi="Times New Roman" w:cs="Times New Roman"/>
          <w:sz w:val="28"/>
          <w:szCs w:val="28"/>
        </w:rPr>
        <w:t xml:space="preserve"> </w:t>
      </w:r>
      <w:r w:rsidRPr="0081388A">
        <w:rPr>
          <w:rFonts w:ascii="Times New Roman" w:hAnsi="Times New Roman" w:cs="Times New Roman"/>
          <w:sz w:val="28"/>
          <w:szCs w:val="28"/>
        </w:rPr>
        <w:t>на Norris et al. (2008)</w:t>
      </w:r>
      <w:r w:rsidRPr="00BB309B">
        <w:rPr>
          <w:rFonts w:ascii="Times New Roman" w:hAnsi="Times New Roman" w:cs="Times New Roman"/>
          <w:sz w:val="28"/>
          <w:szCs w:val="28"/>
        </w:rPr>
        <w:t xml:space="preserve"> устойчивостта възниква чрез свързването на адаптивни ресурси, сред които икономическото развитие, информацията и комуникацията, компетентността на общността и социалният капитал</w:t>
      </w:r>
      <w:r w:rsidR="00694DA7">
        <w:rPr>
          <w:rFonts w:ascii="Times New Roman" w:hAnsi="Times New Roman" w:cs="Times New Roman"/>
          <w:sz w:val="28"/>
          <w:szCs w:val="28"/>
        </w:rPr>
        <w:t xml:space="preserve"> </w:t>
      </w:r>
      <w:r w:rsidR="00694DA7" w:rsidRPr="00694DA7">
        <w:rPr>
          <w:rFonts w:ascii="Times New Roman" w:hAnsi="Times New Roman" w:cs="Times New Roman"/>
          <w:sz w:val="28"/>
          <w:szCs w:val="28"/>
        </w:rPr>
        <w:t>[</w:t>
      </w:r>
      <w:r w:rsidR="00694DA7">
        <w:rPr>
          <w:rFonts w:ascii="Times New Roman" w:hAnsi="Times New Roman" w:cs="Times New Roman"/>
          <w:sz w:val="28"/>
          <w:szCs w:val="28"/>
        </w:rPr>
        <w:t>9</w:t>
      </w:r>
      <w:r w:rsidR="00694DA7" w:rsidRPr="00694DA7">
        <w:rPr>
          <w:rFonts w:ascii="Times New Roman" w:hAnsi="Times New Roman" w:cs="Times New Roman"/>
          <w:sz w:val="28"/>
          <w:szCs w:val="28"/>
        </w:rPr>
        <w:t>].</w:t>
      </w:r>
      <w:r w:rsidRPr="00BB309B">
        <w:rPr>
          <w:rFonts w:ascii="Times New Roman" w:hAnsi="Times New Roman" w:cs="Times New Roman"/>
          <w:sz w:val="28"/>
          <w:szCs w:val="28"/>
        </w:rPr>
        <w:t xml:space="preserve"> Следователно устойчивостта не е само характеристика на материалната инфраструктура, а резултат от отношенията между хората, организациите и институциите.</w:t>
      </w:r>
      <w:r w:rsidR="00694DA7">
        <w:rPr>
          <w:rFonts w:ascii="Times New Roman" w:hAnsi="Times New Roman" w:cs="Times New Roman"/>
          <w:sz w:val="28"/>
          <w:szCs w:val="28"/>
        </w:rPr>
        <w:t xml:space="preserve"> Затова о</w:t>
      </w:r>
      <w:r w:rsidR="00694DA7" w:rsidRPr="00694DA7">
        <w:rPr>
          <w:rFonts w:ascii="Times New Roman" w:hAnsi="Times New Roman" w:cs="Times New Roman"/>
          <w:sz w:val="28"/>
          <w:szCs w:val="28"/>
        </w:rPr>
        <w:t xml:space="preserve">бществената устойчивост </w:t>
      </w:r>
      <w:r w:rsidR="00694DA7">
        <w:rPr>
          <w:rFonts w:ascii="Times New Roman" w:hAnsi="Times New Roman" w:cs="Times New Roman"/>
          <w:sz w:val="28"/>
          <w:szCs w:val="28"/>
        </w:rPr>
        <w:t xml:space="preserve">може да се разглежда като </w:t>
      </w:r>
      <w:r w:rsidR="00694DA7" w:rsidRPr="00694DA7">
        <w:rPr>
          <w:rFonts w:ascii="Times New Roman" w:hAnsi="Times New Roman" w:cs="Times New Roman"/>
          <w:sz w:val="28"/>
          <w:szCs w:val="28"/>
        </w:rPr>
        <w:t>резултат и процес</w:t>
      </w:r>
      <w:r w:rsidR="00694DA7">
        <w:rPr>
          <w:rFonts w:ascii="Times New Roman" w:hAnsi="Times New Roman" w:cs="Times New Roman"/>
          <w:sz w:val="28"/>
          <w:szCs w:val="28"/>
        </w:rPr>
        <w:t xml:space="preserve"> на гражданската сигурност. </w:t>
      </w:r>
    </w:p>
    <w:p w14:paraId="07CA96E1" w14:textId="704FBEDF" w:rsidR="00BB309B" w:rsidRDefault="00BB309B" w:rsidP="00BB309B">
      <w:pPr>
        <w:ind w:firstLine="360"/>
        <w:jc w:val="both"/>
        <w:rPr>
          <w:rFonts w:ascii="Times New Roman" w:hAnsi="Times New Roman" w:cs="Times New Roman"/>
          <w:sz w:val="28"/>
          <w:szCs w:val="28"/>
        </w:rPr>
      </w:pPr>
      <w:r w:rsidRPr="00BB309B">
        <w:rPr>
          <w:rFonts w:ascii="Times New Roman" w:hAnsi="Times New Roman" w:cs="Times New Roman"/>
          <w:sz w:val="28"/>
          <w:szCs w:val="28"/>
        </w:rPr>
        <w:t xml:space="preserve">Концептуалната връзка </w:t>
      </w:r>
      <w:r w:rsidR="00694DA7">
        <w:rPr>
          <w:rFonts w:ascii="Times New Roman" w:hAnsi="Times New Roman" w:cs="Times New Roman"/>
          <w:sz w:val="28"/>
          <w:szCs w:val="28"/>
        </w:rPr>
        <w:t>между доверието и обществената устойчивост, като ресурси на гражданската сигурност има</w:t>
      </w:r>
      <w:r w:rsidRPr="00BB309B">
        <w:rPr>
          <w:rFonts w:ascii="Times New Roman" w:hAnsi="Times New Roman" w:cs="Times New Roman"/>
          <w:sz w:val="28"/>
          <w:szCs w:val="28"/>
        </w:rPr>
        <w:t xml:space="preserve"> двупосочен характер. От една страна, доверието създава предпоставки за устойчивост, защото улеснява координацията, обмена на информация, спазването на правилата и мобилизирането на обществените ресурси. От друга страна, справедливото и ефективно управление на кризите укрепва доверието в институциите и солидарността между гражданите. Когато публичните органи комуникират навременно, разпределят помощта справедливо и включват местните общности във вземането на решения, кризата може да се превърне във фактор за консолидиране на обществото</w:t>
      </w:r>
      <w:r>
        <w:rPr>
          <w:rFonts w:ascii="Times New Roman" w:hAnsi="Times New Roman" w:cs="Times New Roman"/>
          <w:sz w:val="28"/>
          <w:szCs w:val="28"/>
        </w:rPr>
        <w:t>.</w:t>
      </w:r>
      <w:r w:rsidR="00694DA7">
        <w:rPr>
          <w:rFonts w:ascii="Times New Roman" w:hAnsi="Times New Roman" w:cs="Times New Roman"/>
          <w:sz w:val="28"/>
          <w:szCs w:val="28"/>
        </w:rPr>
        <w:t xml:space="preserve"> </w:t>
      </w:r>
      <w:r w:rsidRPr="00BB309B">
        <w:rPr>
          <w:rFonts w:ascii="Times New Roman" w:hAnsi="Times New Roman" w:cs="Times New Roman"/>
          <w:sz w:val="28"/>
          <w:szCs w:val="28"/>
        </w:rPr>
        <w:t xml:space="preserve">В тази рамка доверието изпълнява ролята на свързващ механизъм, а обществената устойчивост </w:t>
      </w:r>
      <w:r w:rsidR="00694DA7">
        <w:rPr>
          <w:rFonts w:ascii="Times New Roman" w:hAnsi="Times New Roman" w:cs="Times New Roman"/>
          <w:sz w:val="28"/>
          <w:szCs w:val="28"/>
        </w:rPr>
        <w:t xml:space="preserve">може да се разглежда като </w:t>
      </w:r>
      <w:r w:rsidRPr="00BB309B">
        <w:rPr>
          <w:rFonts w:ascii="Times New Roman" w:hAnsi="Times New Roman" w:cs="Times New Roman"/>
          <w:sz w:val="28"/>
          <w:szCs w:val="28"/>
        </w:rPr>
        <w:t>системна способност и резултат. Гражданската сигурност възниква от тяхното взаимодействие: без доверие институциите трудно могат да мобилизират обществото, а без устойчиви институции и услуги доверието не може да бъде запазено.</w:t>
      </w:r>
    </w:p>
    <w:p w14:paraId="2C5462B4" w14:textId="224524EC" w:rsidR="00404019" w:rsidRDefault="00404019" w:rsidP="00B26202">
      <w:pPr>
        <w:ind w:firstLine="360"/>
        <w:jc w:val="both"/>
        <w:rPr>
          <w:rFonts w:ascii="Times New Roman" w:hAnsi="Times New Roman" w:cs="Times New Roman"/>
          <w:sz w:val="28"/>
          <w:szCs w:val="28"/>
        </w:rPr>
      </w:pPr>
      <w:r w:rsidRPr="00404019">
        <w:rPr>
          <w:rFonts w:ascii="Times New Roman" w:hAnsi="Times New Roman" w:cs="Times New Roman"/>
          <w:sz w:val="28"/>
          <w:szCs w:val="28"/>
        </w:rPr>
        <w:t>Европейската комисия определя социалните иновации като нови идеи, които удовлетворяват социални потребности и едновременно създават нови социални отношения и форми на сътрудничество. Следователно технологичната новост сама по себе си не е достатъчна. Съществен е начинът, по който се променят ролите, достъпът до ресурси и способността на обществото да действа (European Commission, n.d.; Murray, Caulier-Grice, &amp; Mulgan, 2010). В контекста на бедствията социалната потребност е двойна</w:t>
      </w:r>
      <w:r w:rsidR="002B28F6">
        <w:rPr>
          <w:rFonts w:ascii="Times New Roman" w:hAnsi="Times New Roman" w:cs="Times New Roman"/>
          <w:sz w:val="28"/>
          <w:szCs w:val="28"/>
        </w:rPr>
        <w:t xml:space="preserve">, като намира израз в </w:t>
      </w:r>
      <w:r w:rsidRPr="00404019">
        <w:rPr>
          <w:rFonts w:ascii="Times New Roman" w:hAnsi="Times New Roman" w:cs="Times New Roman"/>
          <w:sz w:val="28"/>
          <w:szCs w:val="28"/>
        </w:rPr>
        <w:t>намаляване на непосредствения риск и преодоляване на зависимостта от професионалните служби през първите часове на прекъсване или масово събитие.</w:t>
      </w:r>
      <w:r w:rsidRPr="00404019">
        <w:t xml:space="preserve"> </w:t>
      </w:r>
      <w:r w:rsidRPr="00404019">
        <w:rPr>
          <w:rFonts w:ascii="Times New Roman" w:hAnsi="Times New Roman" w:cs="Times New Roman"/>
          <w:sz w:val="28"/>
          <w:szCs w:val="28"/>
        </w:rPr>
        <w:t xml:space="preserve">Стратегията на ЕС за Съюз на </w:t>
      </w:r>
      <w:r w:rsidRPr="00404019">
        <w:rPr>
          <w:rFonts w:ascii="Times New Roman" w:hAnsi="Times New Roman" w:cs="Times New Roman"/>
          <w:sz w:val="28"/>
          <w:szCs w:val="28"/>
        </w:rPr>
        <w:lastRenderedPageBreak/>
        <w:t xml:space="preserve">готовност поставя гражданите в центъра на обществената устойчивост и предвижда насоки за минимум 72 часа самостоятелност, включване на готовността в образованието и укрепване на културата на обучение и учения. Тази ориентация съответства на подхода „цялото общество“: институциите запазват координиращата и професионалната роля, но домакинствата, местните власти, гражданските организации, образователните структури и доброволците стават активни носители на превенция и </w:t>
      </w:r>
      <w:r w:rsidRPr="0081388A">
        <w:rPr>
          <w:rFonts w:ascii="Times New Roman" w:hAnsi="Times New Roman" w:cs="Times New Roman"/>
          <w:sz w:val="28"/>
          <w:szCs w:val="28"/>
        </w:rPr>
        <w:t xml:space="preserve">първоначална реакция </w:t>
      </w:r>
      <w:bookmarkStart w:id="3" w:name="_Hlk240204120"/>
      <w:r w:rsidRPr="0081388A">
        <w:rPr>
          <w:rFonts w:ascii="Times New Roman" w:hAnsi="Times New Roman" w:cs="Times New Roman"/>
          <w:sz w:val="28"/>
          <w:szCs w:val="28"/>
        </w:rPr>
        <w:t>[</w:t>
      </w:r>
      <w:r w:rsidR="00694DA7" w:rsidRPr="0081388A">
        <w:rPr>
          <w:rFonts w:ascii="Times New Roman" w:hAnsi="Times New Roman" w:cs="Times New Roman"/>
          <w:sz w:val="28"/>
          <w:szCs w:val="28"/>
        </w:rPr>
        <w:t>8</w:t>
      </w:r>
      <w:r w:rsidRPr="0081388A">
        <w:rPr>
          <w:rFonts w:ascii="Times New Roman" w:hAnsi="Times New Roman" w:cs="Times New Roman"/>
          <w:sz w:val="28"/>
          <w:szCs w:val="28"/>
        </w:rPr>
        <w:t xml:space="preserve">]. </w:t>
      </w:r>
      <w:bookmarkEnd w:id="3"/>
      <w:r w:rsidR="002B28F6" w:rsidRPr="0081388A">
        <w:rPr>
          <w:rFonts w:ascii="Times New Roman" w:hAnsi="Times New Roman" w:cs="Times New Roman"/>
          <w:sz w:val="28"/>
          <w:szCs w:val="28"/>
        </w:rPr>
        <w:t>Социалният</w:t>
      </w:r>
      <w:r w:rsidR="002B28F6" w:rsidRPr="002B28F6">
        <w:rPr>
          <w:rFonts w:ascii="Times New Roman" w:hAnsi="Times New Roman" w:cs="Times New Roman"/>
          <w:sz w:val="28"/>
          <w:szCs w:val="28"/>
        </w:rPr>
        <w:t xml:space="preserve"> капитал, доверието, гражданското участие и междусекторното сътрудничество са не само подкрепящи фактори, а основни ресурси за изграждането на тази способност.</w:t>
      </w:r>
    </w:p>
    <w:p w14:paraId="31FE7561" w14:textId="1E884A7C" w:rsidR="002B28F6" w:rsidRDefault="00694DA7" w:rsidP="00B26202">
      <w:pPr>
        <w:ind w:firstLine="360"/>
        <w:jc w:val="both"/>
        <w:rPr>
          <w:rFonts w:ascii="Times New Roman" w:hAnsi="Times New Roman" w:cs="Times New Roman"/>
          <w:b/>
          <w:bCs/>
          <w:sz w:val="28"/>
          <w:szCs w:val="28"/>
        </w:rPr>
      </w:pPr>
      <w:r>
        <w:rPr>
          <w:rFonts w:ascii="Times New Roman" w:hAnsi="Times New Roman" w:cs="Times New Roman"/>
          <w:b/>
          <w:bCs/>
          <w:sz w:val="28"/>
          <w:szCs w:val="28"/>
        </w:rPr>
        <w:t>3</w:t>
      </w:r>
      <w:r w:rsidR="002B28F6">
        <w:rPr>
          <w:rFonts w:ascii="Times New Roman" w:hAnsi="Times New Roman" w:cs="Times New Roman"/>
          <w:b/>
          <w:bCs/>
          <w:sz w:val="28"/>
          <w:szCs w:val="28"/>
        </w:rPr>
        <w:t>. Инициативи за подобряване на гражданската готовност за реакция при кризисни ситуации като социални иновации.</w:t>
      </w:r>
    </w:p>
    <w:p w14:paraId="33AB54B2" w14:textId="5BC9D96A" w:rsidR="002B28F6" w:rsidRDefault="002B28F6" w:rsidP="00B26202">
      <w:pPr>
        <w:ind w:firstLine="360"/>
        <w:jc w:val="both"/>
        <w:rPr>
          <w:rFonts w:ascii="Times New Roman" w:hAnsi="Times New Roman" w:cs="Times New Roman"/>
          <w:sz w:val="28"/>
          <w:szCs w:val="28"/>
        </w:rPr>
      </w:pPr>
      <w:r w:rsidRPr="002B28F6">
        <w:rPr>
          <w:rFonts w:ascii="Times New Roman" w:hAnsi="Times New Roman" w:cs="Times New Roman"/>
          <w:sz w:val="28"/>
          <w:szCs w:val="28"/>
        </w:rPr>
        <w:t xml:space="preserve">В рамките на изследването са разгледани три инициативи за подобряване на гражданската готовност за реакция при кризи и бедствени ситуации, които имат елементи на социални иновации. За целта </w:t>
      </w:r>
      <w:r w:rsidR="00A36751">
        <w:rPr>
          <w:rFonts w:ascii="Times New Roman" w:hAnsi="Times New Roman" w:cs="Times New Roman"/>
          <w:sz w:val="28"/>
          <w:szCs w:val="28"/>
        </w:rPr>
        <w:t>е формулирана</w:t>
      </w:r>
      <w:r>
        <w:rPr>
          <w:rFonts w:ascii="Times New Roman" w:hAnsi="Times New Roman" w:cs="Times New Roman"/>
          <w:sz w:val="28"/>
          <w:szCs w:val="28"/>
        </w:rPr>
        <w:t xml:space="preserve"> </w:t>
      </w:r>
      <w:r w:rsidRPr="002B28F6">
        <w:rPr>
          <w:rFonts w:ascii="Times New Roman" w:hAnsi="Times New Roman" w:cs="Times New Roman"/>
          <w:sz w:val="28"/>
          <w:szCs w:val="28"/>
        </w:rPr>
        <w:t>аналитичн</w:t>
      </w:r>
      <w:r w:rsidR="00A36751">
        <w:rPr>
          <w:rFonts w:ascii="Times New Roman" w:hAnsi="Times New Roman" w:cs="Times New Roman"/>
          <w:sz w:val="28"/>
          <w:szCs w:val="28"/>
        </w:rPr>
        <w:t>а рамка с</w:t>
      </w:r>
      <w:r w:rsidRPr="002B28F6">
        <w:rPr>
          <w:rFonts w:ascii="Times New Roman" w:hAnsi="Times New Roman" w:cs="Times New Roman"/>
          <w:sz w:val="28"/>
          <w:szCs w:val="28"/>
        </w:rPr>
        <w:t xml:space="preserve"> критерии, спрямо които да се провери</w:t>
      </w:r>
      <w:r>
        <w:rPr>
          <w:rFonts w:ascii="Times New Roman" w:hAnsi="Times New Roman" w:cs="Times New Roman"/>
          <w:sz w:val="28"/>
          <w:szCs w:val="28"/>
        </w:rPr>
        <w:t xml:space="preserve"> наличието на достатъчно ключови характеристики</w:t>
      </w:r>
      <w:r w:rsidR="00872D30">
        <w:rPr>
          <w:rFonts w:ascii="Times New Roman" w:hAnsi="Times New Roman" w:cs="Times New Roman"/>
          <w:sz w:val="28"/>
          <w:szCs w:val="28"/>
        </w:rPr>
        <w:t xml:space="preserve">, определящи инициативите като </w:t>
      </w:r>
      <w:r>
        <w:rPr>
          <w:rFonts w:ascii="Times New Roman" w:hAnsi="Times New Roman" w:cs="Times New Roman"/>
          <w:sz w:val="28"/>
          <w:szCs w:val="28"/>
        </w:rPr>
        <w:t xml:space="preserve">социални </w:t>
      </w:r>
      <w:r w:rsidRPr="00D46546">
        <w:rPr>
          <w:rFonts w:ascii="Times New Roman" w:hAnsi="Times New Roman" w:cs="Times New Roman"/>
          <w:sz w:val="28"/>
          <w:szCs w:val="28"/>
        </w:rPr>
        <w:t>иновации</w:t>
      </w:r>
      <w:r w:rsidR="0081388A" w:rsidRPr="00D46546">
        <w:rPr>
          <w:rFonts w:ascii="Times New Roman" w:hAnsi="Times New Roman" w:cs="Times New Roman"/>
          <w:sz w:val="28"/>
          <w:szCs w:val="28"/>
        </w:rPr>
        <w:t xml:space="preserve"> [10].</w:t>
      </w:r>
    </w:p>
    <w:p w14:paraId="5DF90B60" w14:textId="52C1AFD1" w:rsidR="00872D30" w:rsidRPr="00872D30" w:rsidRDefault="00872D30" w:rsidP="00872D30">
      <w:pPr>
        <w:ind w:firstLine="360"/>
        <w:jc w:val="center"/>
        <w:rPr>
          <w:rFonts w:ascii="Times New Roman" w:hAnsi="Times New Roman" w:cs="Times New Roman"/>
          <w:b/>
          <w:bCs/>
          <w:sz w:val="24"/>
          <w:szCs w:val="24"/>
        </w:rPr>
      </w:pPr>
      <w:r w:rsidRPr="00872D30">
        <w:rPr>
          <w:rFonts w:ascii="Times New Roman" w:hAnsi="Times New Roman" w:cs="Times New Roman"/>
          <w:b/>
          <w:bCs/>
          <w:sz w:val="24"/>
          <w:szCs w:val="24"/>
        </w:rPr>
        <w:t>Таблица № 1. Авторска аналитична рамка с критерии за социални иновации</w:t>
      </w:r>
    </w:p>
    <w:tbl>
      <w:tblPr>
        <w:tblStyle w:val="a8"/>
        <w:tblW w:w="9360" w:type="dxa"/>
        <w:jc w:val="center"/>
        <w:tblLayout w:type="fixed"/>
        <w:tblLook w:val="04A0" w:firstRow="1" w:lastRow="0" w:firstColumn="1" w:lastColumn="0" w:noHBand="0" w:noVBand="1"/>
      </w:tblPr>
      <w:tblGrid>
        <w:gridCol w:w="3912"/>
        <w:gridCol w:w="5448"/>
      </w:tblGrid>
      <w:tr w:rsidR="00872D30" w14:paraId="22C4AB86" w14:textId="77777777" w:rsidTr="00872D30">
        <w:trPr>
          <w:cantSplit/>
          <w:jc w:val="center"/>
        </w:trPr>
        <w:tc>
          <w:tcPr>
            <w:tcW w:w="2520" w:type="dxa"/>
            <w:shd w:val="clear" w:color="auto" w:fill="5B9BD5" w:themeFill="accent1"/>
            <w:tcMar>
              <w:top w:w="70" w:type="dxa"/>
              <w:left w:w="90" w:type="dxa"/>
              <w:bottom w:w="70" w:type="dxa"/>
              <w:right w:w="90" w:type="dxa"/>
            </w:tcMar>
            <w:vAlign w:val="center"/>
          </w:tcPr>
          <w:p w14:paraId="02C71585" w14:textId="77777777" w:rsidR="00872D30" w:rsidRPr="00872D30" w:rsidRDefault="00872D30" w:rsidP="00872D30">
            <w:pPr>
              <w:jc w:val="center"/>
              <w:rPr>
                <w:rFonts w:ascii="Times New Roman" w:hAnsi="Times New Roman" w:cs="Times New Roman"/>
                <w:sz w:val="24"/>
                <w:szCs w:val="24"/>
              </w:rPr>
            </w:pPr>
            <w:r w:rsidRPr="00872D30">
              <w:rPr>
                <w:rFonts w:ascii="Times New Roman" w:hAnsi="Times New Roman" w:cs="Times New Roman"/>
                <w:b/>
                <w:color w:val="FFFFFF"/>
                <w:sz w:val="24"/>
                <w:szCs w:val="24"/>
              </w:rPr>
              <w:t>Критерий</w:t>
            </w:r>
          </w:p>
        </w:tc>
        <w:tc>
          <w:tcPr>
            <w:tcW w:w="6840" w:type="dxa"/>
            <w:shd w:val="clear" w:color="auto" w:fill="5B9BD5" w:themeFill="accent1"/>
            <w:tcMar>
              <w:top w:w="70" w:type="dxa"/>
              <w:left w:w="90" w:type="dxa"/>
              <w:bottom w:w="70" w:type="dxa"/>
              <w:right w:w="90" w:type="dxa"/>
            </w:tcMar>
            <w:vAlign w:val="center"/>
          </w:tcPr>
          <w:p w14:paraId="2A9149B0" w14:textId="12D91782" w:rsidR="00872D30" w:rsidRPr="00872D30" w:rsidRDefault="00A36751" w:rsidP="00872D30">
            <w:pPr>
              <w:jc w:val="center"/>
              <w:rPr>
                <w:rFonts w:ascii="Times New Roman" w:hAnsi="Times New Roman" w:cs="Times New Roman"/>
                <w:sz w:val="24"/>
                <w:szCs w:val="24"/>
              </w:rPr>
            </w:pPr>
            <w:r>
              <w:rPr>
                <w:rFonts w:ascii="Times New Roman" w:hAnsi="Times New Roman" w:cs="Times New Roman"/>
                <w:b/>
                <w:color w:val="FFFFFF"/>
                <w:sz w:val="24"/>
                <w:szCs w:val="24"/>
              </w:rPr>
              <w:t>Ключови характеристики</w:t>
            </w:r>
          </w:p>
        </w:tc>
      </w:tr>
      <w:tr w:rsidR="00872D30" w14:paraId="39E9E5E3" w14:textId="77777777" w:rsidTr="00313D85">
        <w:trPr>
          <w:cantSplit/>
          <w:jc w:val="center"/>
        </w:trPr>
        <w:tc>
          <w:tcPr>
            <w:tcW w:w="4896" w:type="dxa"/>
            <w:tcMar>
              <w:top w:w="70" w:type="dxa"/>
              <w:left w:w="90" w:type="dxa"/>
              <w:bottom w:w="70" w:type="dxa"/>
              <w:right w:w="90" w:type="dxa"/>
            </w:tcMar>
            <w:vAlign w:val="center"/>
          </w:tcPr>
          <w:p w14:paraId="6DF50234"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b/>
                <w:sz w:val="24"/>
                <w:szCs w:val="24"/>
              </w:rPr>
              <w:t>Социална релевантност</w:t>
            </w:r>
          </w:p>
        </w:tc>
        <w:tc>
          <w:tcPr>
            <w:tcW w:w="4896" w:type="dxa"/>
            <w:tcMar>
              <w:top w:w="70" w:type="dxa"/>
              <w:left w:w="90" w:type="dxa"/>
              <w:bottom w:w="70" w:type="dxa"/>
              <w:right w:w="90" w:type="dxa"/>
            </w:tcMar>
            <w:vAlign w:val="center"/>
          </w:tcPr>
          <w:p w14:paraId="6B626C84"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sz w:val="24"/>
                <w:szCs w:val="24"/>
              </w:rPr>
              <w:t>Отговор на ясно установена потребност от знания, координация и самозащита.</w:t>
            </w:r>
          </w:p>
        </w:tc>
      </w:tr>
      <w:tr w:rsidR="00872D30" w14:paraId="51CE685B" w14:textId="77777777" w:rsidTr="00313D85">
        <w:trPr>
          <w:cantSplit/>
          <w:jc w:val="center"/>
        </w:trPr>
        <w:tc>
          <w:tcPr>
            <w:tcW w:w="4896" w:type="dxa"/>
            <w:tcMar>
              <w:top w:w="70" w:type="dxa"/>
              <w:left w:w="90" w:type="dxa"/>
              <w:bottom w:w="70" w:type="dxa"/>
              <w:right w:w="90" w:type="dxa"/>
            </w:tcMar>
            <w:vAlign w:val="center"/>
          </w:tcPr>
          <w:p w14:paraId="5D24F886"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b/>
                <w:sz w:val="24"/>
                <w:szCs w:val="24"/>
              </w:rPr>
              <w:t>Относителна новост</w:t>
            </w:r>
          </w:p>
        </w:tc>
        <w:tc>
          <w:tcPr>
            <w:tcW w:w="4896" w:type="dxa"/>
            <w:tcMar>
              <w:top w:w="70" w:type="dxa"/>
              <w:left w:w="90" w:type="dxa"/>
              <w:bottom w:w="70" w:type="dxa"/>
              <w:right w:w="90" w:type="dxa"/>
            </w:tcMar>
            <w:vAlign w:val="center"/>
          </w:tcPr>
          <w:p w14:paraId="6E5F1C52"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sz w:val="24"/>
                <w:szCs w:val="24"/>
              </w:rPr>
              <w:t>Нов или съществено адаптиран модел в конкретната институционална и териториална среда.</w:t>
            </w:r>
          </w:p>
        </w:tc>
      </w:tr>
      <w:tr w:rsidR="00872D30" w14:paraId="79C35E8C" w14:textId="77777777" w:rsidTr="00313D85">
        <w:trPr>
          <w:cantSplit/>
          <w:jc w:val="center"/>
        </w:trPr>
        <w:tc>
          <w:tcPr>
            <w:tcW w:w="4896" w:type="dxa"/>
            <w:tcMar>
              <w:top w:w="70" w:type="dxa"/>
              <w:left w:w="90" w:type="dxa"/>
              <w:bottom w:w="70" w:type="dxa"/>
              <w:right w:w="90" w:type="dxa"/>
            </w:tcMar>
            <w:vAlign w:val="center"/>
          </w:tcPr>
          <w:p w14:paraId="76863A8E"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b/>
                <w:sz w:val="24"/>
                <w:szCs w:val="24"/>
              </w:rPr>
              <w:t>Съвместно създаване</w:t>
            </w:r>
          </w:p>
        </w:tc>
        <w:tc>
          <w:tcPr>
            <w:tcW w:w="4896" w:type="dxa"/>
            <w:tcMar>
              <w:top w:w="70" w:type="dxa"/>
              <w:left w:w="90" w:type="dxa"/>
              <w:bottom w:w="70" w:type="dxa"/>
              <w:right w:w="90" w:type="dxa"/>
            </w:tcMar>
            <w:vAlign w:val="center"/>
          </w:tcPr>
          <w:p w14:paraId="16814F14"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sz w:val="24"/>
                <w:szCs w:val="24"/>
              </w:rPr>
              <w:t>Реално взаимодействие между публични органи, граждански организации, местни общности и граждани.</w:t>
            </w:r>
          </w:p>
        </w:tc>
      </w:tr>
      <w:tr w:rsidR="00872D30" w14:paraId="657C5496" w14:textId="77777777" w:rsidTr="00313D85">
        <w:trPr>
          <w:cantSplit/>
          <w:jc w:val="center"/>
        </w:trPr>
        <w:tc>
          <w:tcPr>
            <w:tcW w:w="4896" w:type="dxa"/>
            <w:tcMar>
              <w:top w:w="70" w:type="dxa"/>
              <w:left w:w="90" w:type="dxa"/>
              <w:bottom w:w="70" w:type="dxa"/>
              <w:right w:w="90" w:type="dxa"/>
            </w:tcMar>
            <w:vAlign w:val="center"/>
          </w:tcPr>
          <w:p w14:paraId="570F081C"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b/>
                <w:sz w:val="24"/>
                <w:szCs w:val="24"/>
              </w:rPr>
              <w:t>Овластяване</w:t>
            </w:r>
          </w:p>
        </w:tc>
        <w:tc>
          <w:tcPr>
            <w:tcW w:w="4896" w:type="dxa"/>
            <w:tcMar>
              <w:top w:w="70" w:type="dxa"/>
              <w:left w:w="90" w:type="dxa"/>
              <w:bottom w:w="70" w:type="dxa"/>
              <w:right w:w="90" w:type="dxa"/>
            </w:tcMar>
            <w:vAlign w:val="center"/>
          </w:tcPr>
          <w:p w14:paraId="76B6FFB2"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sz w:val="24"/>
                <w:szCs w:val="24"/>
              </w:rPr>
              <w:t>Преминаване от пасивно информиране към практически умения, увереност, роли и способност за действие.</w:t>
            </w:r>
          </w:p>
        </w:tc>
      </w:tr>
      <w:tr w:rsidR="00872D30" w14:paraId="584ECBA4" w14:textId="77777777" w:rsidTr="00313D85">
        <w:trPr>
          <w:cantSplit/>
          <w:jc w:val="center"/>
        </w:trPr>
        <w:tc>
          <w:tcPr>
            <w:tcW w:w="4896" w:type="dxa"/>
            <w:tcMar>
              <w:top w:w="70" w:type="dxa"/>
              <w:left w:w="90" w:type="dxa"/>
              <w:bottom w:w="70" w:type="dxa"/>
              <w:right w:w="90" w:type="dxa"/>
            </w:tcMar>
            <w:vAlign w:val="center"/>
          </w:tcPr>
          <w:p w14:paraId="6DC5E152"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b/>
                <w:sz w:val="24"/>
                <w:szCs w:val="24"/>
              </w:rPr>
              <w:t>Устойчивост и доказателства</w:t>
            </w:r>
          </w:p>
        </w:tc>
        <w:tc>
          <w:tcPr>
            <w:tcW w:w="4896" w:type="dxa"/>
            <w:tcMar>
              <w:top w:w="70" w:type="dxa"/>
              <w:left w:w="90" w:type="dxa"/>
              <w:bottom w:w="70" w:type="dxa"/>
              <w:right w:w="90" w:type="dxa"/>
            </w:tcMar>
            <w:vAlign w:val="center"/>
          </w:tcPr>
          <w:p w14:paraId="5B61F708"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sz w:val="24"/>
                <w:szCs w:val="24"/>
              </w:rPr>
              <w:t>Повторяемост, организационна опора, обратна връзка и измерване на резултати.</w:t>
            </w:r>
          </w:p>
        </w:tc>
      </w:tr>
      <w:tr w:rsidR="00872D30" w14:paraId="5DB1A4DF" w14:textId="77777777" w:rsidTr="00313D85">
        <w:trPr>
          <w:cantSplit/>
          <w:jc w:val="center"/>
        </w:trPr>
        <w:tc>
          <w:tcPr>
            <w:tcW w:w="4896" w:type="dxa"/>
            <w:tcMar>
              <w:top w:w="70" w:type="dxa"/>
              <w:left w:w="90" w:type="dxa"/>
              <w:bottom w:w="70" w:type="dxa"/>
              <w:right w:w="90" w:type="dxa"/>
            </w:tcMar>
            <w:vAlign w:val="center"/>
          </w:tcPr>
          <w:p w14:paraId="61E73555" w14:textId="53B0F36A" w:rsidR="00872D30" w:rsidRPr="00872D30" w:rsidRDefault="004076C4" w:rsidP="00313D85">
            <w:pPr>
              <w:rPr>
                <w:rFonts w:ascii="Times New Roman" w:hAnsi="Times New Roman" w:cs="Times New Roman"/>
                <w:sz w:val="24"/>
                <w:szCs w:val="24"/>
              </w:rPr>
            </w:pPr>
            <w:r>
              <w:rPr>
                <w:rFonts w:ascii="Times New Roman" w:hAnsi="Times New Roman" w:cs="Times New Roman"/>
                <w:b/>
                <w:sz w:val="24"/>
                <w:szCs w:val="24"/>
              </w:rPr>
              <w:t xml:space="preserve">Трансфер на добра практика </w:t>
            </w:r>
            <w:r w:rsidR="00872D30" w:rsidRPr="00872D30">
              <w:rPr>
                <w:rFonts w:ascii="Times New Roman" w:hAnsi="Times New Roman" w:cs="Times New Roman"/>
                <w:b/>
                <w:sz w:val="24"/>
                <w:szCs w:val="24"/>
              </w:rPr>
              <w:t>и приобщаване</w:t>
            </w:r>
          </w:p>
        </w:tc>
        <w:tc>
          <w:tcPr>
            <w:tcW w:w="4896" w:type="dxa"/>
            <w:tcMar>
              <w:top w:w="70" w:type="dxa"/>
              <w:left w:w="90" w:type="dxa"/>
              <w:bottom w:w="70" w:type="dxa"/>
              <w:right w:w="90" w:type="dxa"/>
            </w:tcMar>
            <w:vAlign w:val="center"/>
          </w:tcPr>
          <w:p w14:paraId="7DF5E726" w14:textId="77777777" w:rsidR="00872D30" w:rsidRPr="00872D30" w:rsidRDefault="00872D30" w:rsidP="00313D85">
            <w:pPr>
              <w:rPr>
                <w:rFonts w:ascii="Times New Roman" w:hAnsi="Times New Roman" w:cs="Times New Roman"/>
                <w:sz w:val="24"/>
                <w:szCs w:val="24"/>
              </w:rPr>
            </w:pPr>
            <w:r w:rsidRPr="00872D30">
              <w:rPr>
                <w:rFonts w:ascii="Times New Roman" w:hAnsi="Times New Roman" w:cs="Times New Roman"/>
                <w:sz w:val="24"/>
                <w:szCs w:val="24"/>
              </w:rPr>
              <w:t>Възможност за адаптиране към други места и достигане до хора с различни потребности.</w:t>
            </w:r>
          </w:p>
        </w:tc>
      </w:tr>
    </w:tbl>
    <w:p w14:paraId="3BF1513B" w14:textId="75C52499" w:rsidR="00872D30" w:rsidRDefault="00872D30" w:rsidP="00B26202">
      <w:pPr>
        <w:ind w:firstLine="360"/>
        <w:jc w:val="both"/>
        <w:rPr>
          <w:rFonts w:ascii="Times New Roman" w:hAnsi="Times New Roman" w:cs="Times New Roman"/>
          <w:sz w:val="28"/>
          <w:szCs w:val="28"/>
        </w:rPr>
      </w:pPr>
    </w:p>
    <w:p w14:paraId="03703704" w14:textId="39788E98" w:rsidR="00A36751" w:rsidRDefault="00AD0A03" w:rsidP="00B26202">
      <w:pPr>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Първият пример на инициатива за </w:t>
      </w:r>
      <w:r w:rsidRPr="00AD0A03">
        <w:rPr>
          <w:rFonts w:ascii="Times New Roman" w:hAnsi="Times New Roman" w:cs="Times New Roman"/>
          <w:sz w:val="28"/>
          <w:szCs w:val="28"/>
        </w:rPr>
        <w:t>подобряване на гражданската готовност за реакция при кризисни ситуации к</w:t>
      </w:r>
      <w:r>
        <w:rPr>
          <w:rFonts w:ascii="Times New Roman" w:hAnsi="Times New Roman" w:cs="Times New Roman"/>
          <w:sz w:val="28"/>
          <w:szCs w:val="28"/>
        </w:rPr>
        <w:t>оято може да се определи като</w:t>
      </w:r>
      <w:r w:rsidRPr="00AD0A03">
        <w:rPr>
          <w:rFonts w:ascii="Times New Roman" w:hAnsi="Times New Roman" w:cs="Times New Roman"/>
          <w:sz w:val="28"/>
          <w:szCs w:val="28"/>
        </w:rPr>
        <w:t xml:space="preserve"> социалн</w:t>
      </w:r>
      <w:r>
        <w:rPr>
          <w:rFonts w:ascii="Times New Roman" w:hAnsi="Times New Roman" w:cs="Times New Roman"/>
          <w:sz w:val="28"/>
          <w:szCs w:val="28"/>
        </w:rPr>
        <w:t>а</w:t>
      </w:r>
      <w:r w:rsidRPr="00AD0A03">
        <w:rPr>
          <w:rFonts w:ascii="Times New Roman" w:hAnsi="Times New Roman" w:cs="Times New Roman"/>
          <w:sz w:val="28"/>
          <w:szCs w:val="28"/>
        </w:rPr>
        <w:t xml:space="preserve"> иноваци</w:t>
      </w:r>
      <w:r>
        <w:rPr>
          <w:rFonts w:ascii="Times New Roman" w:hAnsi="Times New Roman" w:cs="Times New Roman"/>
          <w:sz w:val="28"/>
          <w:szCs w:val="28"/>
        </w:rPr>
        <w:t xml:space="preserve">я е от Финландия. </w:t>
      </w:r>
      <w:r w:rsidR="00255DC9" w:rsidRPr="00255DC9">
        <w:rPr>
          <w:rFonts w:ascii="Times New Roman" w:hAnsi="Times New Roman" w:cs="Times New Roman"/>
          <w:sz w:val="28"/>
          <w:szCs w:val="28"/>
        </w:rPr>
        <w:t>Финландската инициатива „72 часа“ представлява национален модел за повишаване на гражданската готовност, основан на препоръката всяко домакинство да може да се справя самостоятелно най-малко три денонощия при прекъсване на електроснабдяването, водоснабдяването, комуникациите, снабдяването с храни или други жизненоважни услуги. Моделът включва практически знания за осигуряване на вода, храна, лекарства, отопление, комуникация и надеждна информация, както и умения за оказване на помощ и запазване на психическа устойчивост. Около препоръката е изградена достъпна система за обучение на населението, включваща присъствени курсове, онлайн ресурси, информационни кампании и обучени инструктори. Инициативата се финансира от Националната агенция за сигурност на доставките и се координира от Финландската национална спасителна асоциация в партньорство с публични институции и организации на гражданското общество</w:t>
      </w:r>
      <w:r>
        <w:rPr>
          <w:rFonts w:ascii="Times New Roman" w:hAnsi="Times New Roman" w:cs="Times New Roman"/>
          <w:sz w:val="28"/>
          <w:szCs w:val="28"/>
        </w:rPr>
        <w:t xml:space="preserve"> </w:t>
      </w:r>
      <w:bookmarkStart w:id="4" w:name="_Hlk240206811"/>
      <w:r w:rsidRPr="00AD0A03">
        <w:rPr>
          <w:rFonts w:ascii="Times New Roman" w:hAnsi="Times New Roman" w:cs="Times New Roman"/>
          <w:sz w:val="28"/>
          <w:szCs w:val="28"/>
        </w:rPr>
        <w:t>[</w:t>
      </w:r>
      <w:r w:rsidR="0081388A">
        <w:rPr>
          <w:rFonts w:ascii="Times New Roman" w:hAnsi="Times New Roman" w:cs="Times New Roman"/>
          <w:sz w:val="28"/>
          <w:szCs w:val="28"/>
        </w:rPr>
        <w:t>11</w:t>
      </w:r>
      <w:r w:rsidRPr="00AD0A03">
        <w:rPr>
          <w:rFonts w:ascii="Times New Roman" w:hAnsi="Times New Roman" w:cs="Times New Roman"/>
          <w:sz w:val="28"/>
          <w:szCs w:val="28"/>
        </w:rPr>
        <w:t>].</w:t>
      </w:r>
    </w:p>
    <w:bookmarkEnd w:id="4"/>
    <w:p w14:paraId="615DD0AB" w14:textId="12ED743F" w:rsidR="00AD0A03" w:rsidRDefault="00AD0A03" w:rsidP="00B26202">
      <w:pPr>
        <w:ind w:firstLine="360"/>
        <w:jc w:val="both"/>
        <w:rPr>
          <w:rFonts w:ascii="Times New Roman" w:hAnsi="Times New Roman" w:cs="Times New Roman"/>
          <w:sz w:val="28"/>
          <w:szCs w:val="28"/>
        </w:rPr>
      </w:pPr>
      <w:r w:rsidRPr="00AD0A03">
        <w:rPr>
          <w:rFonts w:ascii="Times New Roman" w:hAnsi="Times New Roman" w:cs="Times New Roman"/>
          <w:sz w:val="28"/>
          <w:szCs w:val="28"/>
        </w:rPr>
        <w:t>Системата може да бъде определена като социална иновация, тъй като преобразува традиционния модел на гражданска защита, при който населението е предимно получател на институционална помощ. Чрез обучение, самоорганизация и споделена отговорност гражданите и домакинствата се превръщат в активни носители на капацитет за реакция. Индивидуалната готовност намалява първоначалното натоварване върху спасителните служби и позволява ограничените публични ресурси да бъдат насочени към най-уязвимите групи. По този начин „72 часа“ свързва личната подготвеност, взаимопомощта, доверието и институционалната координация в единен модел на обществена устойчивост. Финландският подход придобива и по-широко европейско значение, тъй като Стратегията на ЕС за Съюз на готовност от 2025 г. също поставя цел за минимална 72-часова самостоятелност на населението при кризи.</w:t>
      </w:r>
    </w:p>
    <w:p w14:paraId="45F96117" w14:textId="53DFA68F" w:rsidR="0052081B" w:rsidRDefault="0023202A" w:rsidP="00B26202">
      <w:pPr>
        <w:ind w:firstLine="360"/>
        <w:jc w:val="both"/>
        <w:rPr>
          <w:rFonts w:ascii="Times New Roman" w:hAnsi="Times New Roman" w:cs="Times New Roman"/>
          <w:sz w:val="28"/>
          <w:szCs w:val="28"/>
        </w:rPr>
      </w:pPr>
      <w:r>
        <w:rPr>
          <w:rFonts w:ascii="Times New Roman" w:hAnsi="Times New Roman" w:cs="Times New Roman"/>
          <w:sz w:val="28"/>
          <w:szCs w:val="28"/>
        </w:rPr>
        <w:t xml:space="preserve">Втората инициатива е от Португалия, където е популярна с наименованието </w:t>
      </w:r>
      <w:r w:rsidRPr="0023202A">
        <w:rPr>
          <w:rFonts w:ascii="Times New Roman" w:hAnsi="Times New Roman" w:cs="Times New Roman"/>
          <w:sz w:val="28"/>
          <w:szCs w:val="28"/>
        </w:rPr>
        <w:t>„Безопасно село“ и „Безопасни хора“</w:t>
      </w:r>
      <w:r>
        <w:rPr>
          <w:rFonts w:ascii="Times New Roman" w:hAnsi="Times New Roman" w:cs="Times New Roman"/>
          <w:sz w:val="28"/>
          <w:szCs w:val="28"/>
        </w:rPr>
        <w:t xml:space="preserve">. </w:t>
      </w:r>
      <w:r w:rsidR="0052081B" w:rsidRPr="0052081B">
        <w:rPr>
          <w:rFonts w:ascii="Times New Roman" w:hAnsi="Times New Roman" w:cs="Times New Roman"/>
          <w:sz w:val="28"/>
          <w:szCs w:val="28"/>
        </w:rPr>
        <w:t>Португалската програма „Безопасно село – безопасни хора</w:t>
      </w:r>
      <w:r w:rsidR="0052081B">
        <w:rPr>
          <w:rFonts w:ascii="Times New Roman" w:hAnsi="Times New Roman" w:cs="Times New Roman"/>
          <w:sz w:val="28"/>
          <w:szCs w:val="28"/>
        </w:rPr>
        <w:t xml:space="preserve">“ </w:t>
      </w:r>
      <w:r w:rsidR="0052081B" w:rsidRPr="0052081B">
        <w:rPr>
          <w:rFonts w:ascii="Times New Roman" w:hAnsi="Times New Roman" w:cs="Times New Roman"/>
          <w:sz w:val="28"/>
          <w:szCs w:val="28"/>
        </w:rPr>
        <w:t xml:space="preserve">е въведена през 2018 г. след опустошителните горски пожари от 2017 г. с цел повишаване на готовността и защитата на населението в малките и отдалечените селски общности. Под координацията на Националния орган за извънредни ситуации и гражданска защита и в партньорство с общините и местните структури програмата съчетава институционалните механизми за гражданска защита с активното участие на жителите. Основните мерки включват оценяване на местния </w:t>
      </w:r>
      <w:r w:rsidR="0052081B" w:rsidRPr="0052081B">
        <w:rPr>
          <w:rFonts w:ascii="Times New Roman" w:hAnsi="Times New Roman" w:cs="Times New Roman"/>
          <w:sz w:val="28"/>
          <w:szCs w:val="28"/>
        </w:rPr>
        <w:lastRenderedPageBreak/>
        <w:t>риск, определяне на маршрути за евакуация, места за убежище и сборни пунктове, провеждане на информационни кампании и практически учения, както и определяне на местен координатор по сигурността, който подпомага комуникацията между населението и компетентните органи</w:t>
      </w:r>
      <w:r w:rsidR="0052081B">
        <w:rPr>
          <w:rFonts w:ascii="Times New Roman" w:hAnsi="Times New Roman" w:cs="Times New Roman"/>
          <w:sz w:val="28"/>
          <w:szCs w:val="28"/>
        </w:rPr>
        <w:t xml:space="preserve"> </w:t>
      </w:r>
      <w:r w:rsidR="0052081B" w:rsidRPr="0052081B">
        <w:rPr>
          <w:rFonts w:ascii="Times New Roman" w:hAnsi="Times New Roman" w:cs="Times New Roman"/>
          <w:sz w:val="28"/>
          <w:szCs w:val="28"/>
        </w:rPr>
        <w:t>[</w:t>
      </w:r>
      <w:r w:rsidR="0081388A">
        <w:rPr>
          <w:rFonts w:ascii="Times New Roman" w:hAnsi="Times New Roman" w:cs="Times New Roman"/>
          <w:sz w:val="28"/>
          <w:szCs w:val="28"/>
        </w:rPr>
        <w:t>12</w:t>
      </w:r>
      <w:r w:rsidR="0052081B" w:rsidRPr="0052081B">
        <w:rPr>
          <w:rFonts w:ascii="Times New Roman" w:hAnsi="Times New Roman" w:cs="Times New Roman"/>
          <w:sz w:val="28"/>
          <w:szCs w:val="28"/>
        </w:rPr>
        <w:t>].</w:t>
      </w:r>
      <w:r w:rsidR="0052081B" w:rsidRPr="0052081B">
        <w:t xml:space="preserve"> </w:t>
      </w:r>
      <w:r w:rsidR="0052081B" w:rsidRPr="0052081B">
        <w:rPr>
          <w:rFonts w:ascii="Times New Roman" w:hAnsi="Times New Roman" w:cs="Times New Roman"/>
          <w:sz w:val="28"/>
          <w:szCs w:val="28"/>
        </w:rPr>
        <w:t xml:space="preserve">Кампанията "Безопасно село, безопасни хора" </w:t>
      </w:r>
      <w:r w:rsidR="0052081B">
        <w:rPr>
          <w:rFonts w:ascii="Times New Roman" w:hAnsi="Times New Roman" w:cs="Times New Roman"/>
          <w:sz w:val="28"/>
          <w:szCs w:val="28"/>
        </w:rPr>
        <w:t>включва</w:t>
      </w:r>
      <w:r w:rsidR="0052081B" w:rsidRPr="0052081B">
        <w:rPr>
          <w:rFonts w:ascii="Times New Roman" w:hAnsi="Times New Roman" w:cs="Times New Roman"/>
          <w:sz w:val="28"/>
          <w:szCs w:val="28"/>
        </w:rPr>
        <w:t xml:space="preserve"> прилагането на мерки за готовност в голям мащаб. </w:t>
      </w:r>
      <w:r w:rsidR="0052081B">
        <w:rPr>
          <w:rFonts w:ascii="Times New Roman" w:hAnsi="Times New Roman" w:cs="Times New Roman"/>
          <w:sz w:val="28"/>
          <w:szCs w:val="28"/>
        </w:rPr>
        <w:t xml:space="preserve">При реализация на програмата са </w:t>
      </w:r>
      <w:r w:rsidR="0052081B" w:rsidRPr="0052081B">
        <w:rPr>
          <w:rFonts w:ascii="Times New Roman" w:hAnsi="Times New Roman" w:cs="Times New Roman"/>
          <w:sz w:val="28"/>
          <w:szCs w:val="28"/>
        </w:rPr>
        <w:t>създадени повече от 2 800 убежища</w:t>
      </w:r>
      <w:r w:rsidR="0052081B">
        <w:rPr>
          <w:rFonts w:ascii="Times New Roman" w:hAnsi="Times New Roman" w:cs="Times New Roman"/>
          <w:sz w:val="28"/>
          <w:szCs w:val="28"/>
        </w:rPr>
        <w:t xml:space="preserve">, създадени са </w:t>
      </w:r>
      <w:r w:rsidR="0052081B" w:rsidRPr="0052081B">
        <w:rPr>
          <w:rFonts w:ascii="Times New Roman" w:hAnsi="Times New Roman" w:cs="Times New Roman"/>
          <w:sz w:val="28"/>
          <w:szCs w:val="28"/>
        </w:rPr>
        <w:t xml:space="preserve">местни механизми за предупреждение, а 12 000 граждани участваха в над 400 учения. </w:t>
      </w:r>
      <w:r w:rsidR="0052081B">
        <w:rPr>
          <w:rFonts w:ascii="Times New Roman" w:hAnsi="Times New Roman" w:cs="Times New Roman"/>
          <w:sz w:val="28"/>
          <w:szCs w:val="28"/>
        </w:rPr>
        <w:t xml:space="preserve">Значимо постижение на програмата е тестването на </w:t>
      </w:r>
      <w:r w:rsidR="0052081B" w:rsidRPr="0052081B">
        <w:rPr>
          <w:rFonts w:ascii="Times New Roman" w:hAnsi="Times New Roman" w:cs="Times New Roman"/>
          <w:sz w:val="28"/>
          <w:szCs w:val="28"/>
        </w:rPr>
        <w:t>над 900 плана за евакуация</w:t>
      </w:r>
      <w:r w:rsidR="0052081B">
        <w:rPr>
          <w:rFonts w:ascii="Times New Roman" w:hAnsi="Times New Roman" w:cs="Times New Roman"/>
          <w:sz w:val="28"/>
          <w:szCs w:val="28"/>
        </w:rPr>
        <w:t xml:space="preserve"> на населението в селски райони.</w:t>
      </w:r>
    </w:p>
    <w:p w14:paraId="1A600A83" w14:textId="482AC3DB" w:rsidR="0052081B" w:rsidRDefault="0052081B" w:rsidP="00B26202">
      <w:pPr>
        <w:ind w:firstLine="360"/>
        <w:jc w:val="both"/>
        <w:rPr>
          <w:rFonts w:ascii="Times New Roman" w:hAnsi="Times New Roman" w:cs="Times New Roman"/>
          <w:sz w:val="28"/>
          <w:szCs w:val="28"/>
        </w:rPr>
      </w:pPr>
      <w:r w:rsidRPr="0052081B">
        <w:rPr>
          <w:rFonts w:ascii="Times New Roman" w:hAnsi="Times New Roman" w:cs="Times New Roman"/>
          <w:sz w:val="28"/>
          <w:szCs w:val="28"/>
        </w:rPr>
        <w:t>Програмата представлява социална иновация, защото променя ролята на местната общност от пасивен получател на помощ в активен участник в превенцията и управлението на риска. Нейната иновативност се изразява не толкова в използването на нови технологии, колкото в създаването на устойчив модел на местна самоорганизация, споделена отговорност и съвместно производство на сигурност. Чрез мобилизиране на местното знание, доброволчеството, доверието и взаимопомощта инициативата изгражда социален капитал и повишава способността на уязвимите общности да реагират координирано при горски пожари и други бедствия. Така „Безопасно село – безопасни хора“ показва как гражданската готовност може да бъде развивана като социална практика, която допълва действията на публичните институции и укрепва обществената устойчивост.</w:t>
      </w:r>
    </w:p>
    <w:p w14:paraId="0C9BF48E" w14:textId="616F7F9C" w:rsidR="00D80CF2" w:rsidRDefault="00385514" w:rsidP="00D80CF2">
      <w:pPr>
        <w:ind w:firstLine="360"/>
        <w:jc w:val="both"/>
        <w:rPr>
          <w:rFonts w:ascii="Times New Roman" w:hAnsi="Times New Roman" w:cs="Times New Roman"/>
          <w:sz w:val="28"/>
          <w:szCs w:val="28"/>
        </w:rPr>
      </w:pPr>
      <w:r>
        <w:rPr>
          <w:rFonts w:ascii="Times New Roman" w:hAnsi="Times New Roman" w:cs="Times New Roman"/>
          <w:sz w:val="28"/>
          <w:szCs w:val="28"/>
        </w:rPr>
        <w:t xml:space="preserve">Третият пример е от България, където също </w:t>
      </w:r>
      <w:r w:rsidR="00A408B1">
        <w:rPr>
          <w:rFonts w:ascii="Times New Roman" w:hAnsi="Times New Roman" w:cs="Times New Roman"/>
          <w:sz w:val="28"/>
          <w:szCs w:val="28"/>
        </w:rPr>
        <w:t>могат да се очертаят начинаещи инициативи</w:t>
      </w:r>
      <w:r>
        <w:rPr>
          <w:rFonts w:ascii="Times New Roman" w:hAnsi="Times New Roman" w:cs="Times New Roman"/>
          <w:sz w:val="28"/>
          <w:szCs w:val="28"/>
        </w:rPr>
        <w:t xml:space="preserve"> на социални иновации в гражданската сигурност. </w:t>
      </w:r>
      <w:r w:rsidR="00D80CF2">
        <w:rPr>
          <w:rFonts w:ascii="Times New Roman" w:hAnsi="Times New Roman" w:cs="Times New Roman"/>
          <w:sz w:val="28"/>
          <w:szCs w:val="28"/>
        </w:rPr>
        <w:t xml:space="preserve">Инициативата е свързана с </w:t>
      </w:r>
      <w:r w:rsidR="00D80CF2" w:rsidRPr="00D80CF2">
        <w:rPr>
          <w:rFonts w:ascii="Times New Roman" w:hAnsi="Times New Roman" w:cs="Times New Roman"/>
          <w:sz w:val="28"/>
          <w:szCs w:val="28"/>
        </w:rPr>
        <w:t>обучение на „спонтанни“ доброволци</w:t>
      </w:r>
      <w:r w:rsidR="00D80CF2">
        <w:rPr>
          <w:rFonts w:ascii="Times New Roman" w:hAnsi="Times New Roman" w:cs="Times New Roman"/>
          <w:sz w:val="28"/>
          <w:szCs w:val="28"/>
        </w:rPr>
        <w:t xml:space="preserve">, което е стартирало през </w:t>
      </w:r>
      <w:r w:rsidR="00D80CF2" w:rsidRPr="00D80CF2">
        <w:rPr>
          <w:rFonts w:ascii="Times New Roman" w:hAnsi="Times New Roman" w:cs="Times New Roman"/>
          <w:sz w:val="28"/>
          <w:szCs w:val="28"/>
        </w:rPr>
        <w:t xml:space="preserve">2025 г. </w:t>
      </w:r>
      <w:r w:rsidR="00D80CF2">
        <w:rPr>
          <w:rFonts w:ascii="Times New Roman" w:hAnsi="Times New Roman" w:cs="Times New Roman"/>
          <w:sz w:val="28"/>
          <w:szCs w:val="28"/>
        </w:rPr>
        <w:t xml:space="preserve">в област </w:t>
      </w:r>
      <w:r w:rsidR="00D80CF2" w:rsidRPr="00D80CF2">
        <w:rPr>
          <w:rFonts w:ascii="Times New Roman" w:hAnsi="Times New Roman" w:cs="Times New Roman"/>
          <w:sz w:val="28"/>
          <w:szCs w:val="28"/>
        </w:rPr>
        <w:t xml:space="preserve">Русе </w:t>
      </w:r>
      <w:r w:rsidR="00D80CF2">
        <w:rPr>
          <w:rFonts w:ascii="Times New Roman" w:hAnsi="Times New Roman" w:cs="Times New Roman"/>
          <w:sz w:val="28"/>
          <w:szCs w:val="28"/>
        </w:rPr>
        <w:t xml:space="preserve">под егидата на Регионална дирекция за пожарна безопасност и защита на населението. </w:t>
      </w:r>
      <w:r w:rsidR="00D80CF2" w:rsidRPr="00D80CF2">
        <w:rPr>
          <w:rFonts w:ascii="Times New Roman" w:hAnsi="Times New Roman" w:cs="Times New Roman"/>
          <w:sz w:val="28"/>
          <w:szCs w:val="28"/>
        </w:rPr>
        <w:t xml:space="preserve">РДПБЗН–Русе започва отворени обучения за граждани, които желаят да помагат при горски и полски пожари, но не са доброволци по Закона за защита при бедствия. Първите занятия са </w:t>
      </w:r>
      <w:r w:rsidR="00D80CF2">
        <w:rPr>
          <w:rFonts w:ascii="Times New Roman" w:hAnsi="Times New Roman" w:cs="Times New Roman"/>
          <w:sz w:val="28"/>
          <w:szCs w:val="28"/>
        </w:rPr>
        <w:t xml:space="preserve">проведени </w:t>
      </w:r>
      <w:r w:rsidR="00D80CF2" w:rsidRPr="00D80CF2">
        <w:rPr>
          <w:rFonts w:ascii="Times New Roman" w:hAnsi="Times New Roman" w:cs="Times New Roman"/>
          <w:sz w:val="28"/>
          <w:szCs w:val="28"/>
        </w:rPr>
        <w:t xml:space="preserve">в Русе и Ветово, с последващ график в </w:t>
      </w:r>
      <w:r w:rsidR="00D80CF2">
        <w:rPr>
          <w:rFonts w:ascii="Times New Roman" w:hAnsi="Times New Roman" w:cs="Times New Roman"/>
          <w:sz w:val="28"/>
          <w:szCs w:val="28"/>
        </w:rPr>
        <w:t xml:space="preserve">останалите </w:t>
      </w:r>
      <w:r w:rsidR="00D80CF2" w:rsidRPr="00D80CF2">
        <w:rPr>
          <w:rFonts w:ascii="Times New Roman" w:hAnsi="Times New Roman" w:cs="Times New Roman"/>
          <w:sz w:val="28"/>
          <w:szCs w:val="28"/>
        </w:rPr>
        <w:t xml:space="preserve">районните служби. Съдържанието </w:t>
      </w:r>
      <w:r w:rsidR="00D80CF2">
        <w:rPr>
          <w:rFonts w:ascii="Times New Roman" w:hAnsi="Times New Roman" w:cs="Times New Roman"/>
          <w:sz w:val="28"/>
          <w:szCs w:val="28"/>
        </w:rPr>
        <w:t xml:space="preserve">на обученията </w:t>
      </w:r>
      <w:r w:rsidR="00D80CF2" w:rsidRPr="00D80CF2">
        <w:rPr>
          <w:rFonts w:ascii="Times New Roman" w:hAnsi="Times New Roman" w:cs="Times New Roman"/>
          <w:sz w:val="28"/>
          <w:szCs w:val="28"/>
        </w:rPr>
        <w:t>включва лични предпазни средства, безопасност, пожарогасителна техника, шлангови линии и ръчни инструменти. Така се адресира реален риск</w:t>
      </w:r>
      <w:r w:rsidR="00D80CF2">
        <w:rPr>
          <w:rFonts w:ascii="Times New Roman" w:hAnsi="Times New Roman" w:cs="Times New Roman"/>
          <w:sz w:val="28"/>
          <w:szCs w:val="28"/>
        </w:rPr>
        <w:t>, свързан със</w:t>
      </w:r>
      <w:r w:rsidR="00D80CF2" w:rsidRPr="00D80CF2">
        <w:rPr>
          <w:rFonts w:ascii="Times New Roman" w:hAnsi="Times New Roman" w:cs="Times New Roman"/>
          <w:sz w:val="28"/>
          <w:szCs w:val="28"/>
        </w:rPr>
        <w:t xml:space="preserve"> спонтанната мобилизация при голям пожар</w:t>
      </w:r>
      <w:r w:rsidR="00D80CF2">
        <w:rPr>
          <w:rFonts w:ascii="Times New Roman" w:hAnsi="Times New Roman" w:cs="Times New Roman"/>
          <w:sz w:val="28"/>
          <w:szCs w:val="28"/>
        </w:rPr>
        <w:t>, която</w:t>
      </w:r>
      <w:r w:rsidR="00D80CF2" w:rsidRPr="00D80CF2">
        <w:rPr>
          <w:rFonts w:ascii="Times New Roman" w:hAnsi="Times New Roman" w:cs="Times New Roman"/>
          <w:sz w:val="28"/>
          <w:szCs w:val="28"/>
        </w:rPr>
        <w:t xml:space="preserve"> може да затрудни професионалните екипи, ако гражданите са неподготвени</w:t>
      </w:r>
      <w:r w:rsidR="00D80CF2">
        <w:rPr>
          <w:rFonts w:ascii="Times New Roman" w:hAnsi="Times New Roman" w:cs="Times New Roman"/>
          <w:sz w:val="28"/>
          <w:szCs w:val="28"/>
        </w:rPr>
        <w:t xml:space="preserve"> </w:t>
      </w:r>
      <w:r w:rsidR="00D80CF2" w:rsidRPr="00D80CF2">
        <w:rPr>
          <w:rFonts w:ascii="Times New Roman" w:hAnsi="Times New Roman" w:cs="Times New Roman"/>
          <w:sz w:val="28"/>
          <w:szCs w:val="28"/>
        </w:rPr>
        <w:t>[</w:t>
      </w:r>
      <w:r w:rsidR="0081388A">
        <w:rPr>
          <w:rFonts w:ascii="Times New Roman" w:hAnsi="Times New Roman" w:cs="Times New Roman"/>
          <w:sz w:val="28"/>
          <w:szCs w:val="28"/>
        </w:rPr>
        <w:t>13</w:t>
      </w:r>
      <w:r w:rsidR="00D80CF2" w:rsidRPr="00D80CF2">
        <w:rPr>
          <w:rFonts w:ascii="Times New Roman" w:hAnsi="Times New Roman" w:cs="Times New Roman"/>
          <w:sz w:val="28"/>
          <w:szCs w:val="28"/>
        </w:rPr>
        <w:t>].</w:t>
      </w:r>
      <w:r w:rsidR="00D80CF2">
        <w:rPr>
          <w:rFonts w:ascii="Times New Roman" w:hAnsi="Times New Roman" w:cs="Times New Roman"/>
          <w:sz w:val="28"/>
          <w:szCs w:val="28"/>
        </w:rPr>
        <w:t xml:space="preserve"> </w:t>
      </w:r>
    </w:p>
    <w:p w14:paraId="2BA894C2" w14:textId="0C615238" w:rsidR="0052081B" w:rsidRDefault="00D80CF2" w:rsidP="00D80CF2">
      <w:pPr>
        <w:ind w:firstLine="360"/>
        <w:jc w:val="both"/>
        <w:rPr>
          <w:rFonts w:ascii="Times New Roman" w:hAnsi="Times New Roman" w:cs="Times New Roman"/>
          <w:sz w:val="28"/>
          <w:szCs w:val="28"/>
        </w:rPr>
      </w:pPr>
      <w:r w:rsidRPr="00D80CF2">
        <w:rPr>
          <w:rFonts w:ascii="Times New Roman" w:hAnsi="Times New Roman" w:cs="Times New Roman"/>
          <w:sz w:val="28"/>
          <w:szCs w:val="28"/>
        </w:rPr>
        <w:t xml:space="preserve">Иновационният елемент е разширяването на превенцията отвъд формалните доброволни формирования. Публичната служба признава неформалния граждански ресурс и създава канал за предварително </w:t>
      </w:r>
      <w:r w:rsidRPr="00D80CF2">
        <w:rPr>
          <w:rFonts w:ascii="Times New Roman" w:hAnsi="Times New Roman" w:cs="Times New Roman"/>
          <w:sz w:val="28"/>
          <w:szCs w:val="28"/>
        </w:rPr>
        <w:lastRenderedPageBreak/>
        <w:t>практическо обучение. Отношението „служба–население“ преминава от еднопосочно информиране към изграждане на минимален безопасен капацитет.</w:t>
      </w:r>
    </w:p>
    <w:p w14:paraId="23398FB0" w14:textId="55CFA7AA" w:rsidR="00776366" w:rsidRPr="003115DC" w:rsidRDefault="00776366" w:rsidP="00B26202">
      <w:pPr>
        <w:ind w:firstLine="360"/>
        <w:jc w:val="both"/>
        <w:rPr>
          <w:rFonts w:ascii="Times New Roman" w:hAnsi="Times New Roman" w:cs="Times New Roman"/>
          <w:b/>
          <w:bCs/>
          <w:sz w:val="28"/>
          <w:szCs w:val="28"/>
        </w:rPr>
      </w:pPr>
      <w:r w:rsidRPr="003115DC">
        <w:rPr>
          <w:rFonts w:ascii="Times New Roman" w:hAnsi="Times New Roman" w:cs="Times New Roman"/>
          <w:b/>
          <w:bCs/>
          <w:sz w:val="28"/>
          <w:szCs w:val="28"/>
        </w:rPr>
        <w:t>З</w:t>
      </w:r>
      <w:r w:rsidR="003115DC" w:rsidRPr="003115DC">
        <w:rPr>
          <w:rFonts w:ascii="Times New Roman" w:hAnsi="Times New Roman" w:cs="Times New Roman"/>
          <w:b/>
          <w:bCs/>
          <w:sz w:val="28"/>
          <w:szCs w:val="28"/>
        </w:rPr>
        <w:t>АКЛЮЧЕНИЕ</w:t>
      </w:r>
    </w:p>
    <w:p w14:paraId="4072396C" w14:textId="1B557E51" w:rsidR="0052081B" w:rsidRDefault="0052081B" w:rsidP="009540EF">
      <w:pPr>
        <w:ind w:firstLine="360"/>
        <w:jc w:val="both"/>
        <w:rPr>
          <w:rFonts w:ascii="Times New Roman" w:hAnsi="Times New Roman" w:cs="Times New Roman"/>
          <w:sz w:val="28"/>
          <w:szCs w:val="28"/>
        </w:rPr>
      </w:pPr>
      <w:r w:rsidRPr="0052081B">
        <w:rPr>
          <w:rFonts w:ascii="Times New Roman" w:hAnsi="Times New Roman" w:cs="Times New Roman"/>
          <w:sz w:val="28"/>
          <w:szCs w:val="28"/>
        </w:rPr>
        <w:t xml:space="preserve">Анализът потвърждава, че инициативите за гражданска готовност могат обосновано да бъдат определени като социални иновации, когато едновременно удовлетворяват обществена потребност и променят начина, по който граждани, публични служби и местни организации си взаимодействат. Най-същественият принос не е разпространяването на </w:t>
      </w:r>
      <w:r>
        <w:rPr>
          <w:rFonts w:ascii="Times New Roman" w:hAnsi="Times New Roman" w:cs="Times New Roman"/>
          <w:sz w:val="28"/>
          <w:szCs w:val="28"/>
        </w:rPr>
        <w:t>знание и информация</w:t>
      </w:r>
      <w:r w:rsidRPr="0052081B">
        <w:rPr>
          <w:rFonts w:ascii="Times New Roman" w:hAnsi="Times New Roman" w:cs="Times New Roman"/>
          <w:sz w:val="28"/>
          <w:szCs w:val="28"/>
        </w:rPr>
        <w:t>, а създаването на практическа способност за координирано действие</w:t>
      </w:r>
      <w:r>
        <w:rPr>
          <w:rFonts w:ascii="Times New Roman" w:hAnsi="Times New Roman" w:cs="Times New Roman"/>
          <w:sz w:val="28"/>
          <w:szCs w:val="28"/>
        </w:rPr>
        <w:t xml:space="preserve">. По този начин на базата на доверие се изгражда обществена готовност и колективна способност за действие, които са ключови предпоставки за гражданска сигурност. </w:t>
      </w:r>
    </w:p>
    <w:p w14:paraId="5E9F06B8" w14:textId="0B24750F" w:rsidR="00D46546" w:rsidRPr="00D46546" w:rsidRDefault="0052081B" w:rsidP="00D46546">
      <w:pPr>
        <w:ind w:firstLine="360"/>
        <w:jc w:val="both"/>
        <w:rPr>
          <w:rFonts w:ascii="Times New Roman" w:hAnsi="Times New Roman" w:cs="Times New Roman"/>
          <w:sz w:val="28"/>
          <w:szCs w:val="28"/>
        </w:rPr>
      </w:pPr>
      <w:r>
        <w:rPr>
          <w:rFonts w:ascii="Times New Roman" w:hAnsi="Times New Roman" w:cs="Times New Roman"/>
          <w:sz w:val="28"/>
          <w:szCs w:val="28"/>
        </w:rPr>
        <w:t>Представените инициативи потвърждав</w:t>
      </w:r>
      <w:r w:rsidR="00385514">
        <w:rPr>
          <w:rFonts w:ascii="Times New Roman" w:hAnsi="Times New Roman" w:cs="Times New Roman"/>
          <w:sz w:val="28"/>
          <w:szCs w:val="28"/>
        </w:rPr>
        <w:t>ат</w:t>
      </w:r>
      <w:r>
        <w:rPr>
          <w:rFonts w:ascii="Times New Roman" w:hAnsi="Times New Roman" w:cs="Times New Roman"/>
          <w:sz w:val="28"/>
          <w:szCs w:val="28"/>
        </w:rPr>
        <w:t xml:space="preserve"> хипотезата, </w:t>
      </w:r>
      <w:r w:rsidR="00385514">
        <w:rPr>
          <w:rFonts w:ascii="Times New Roman" w:hAnsi="Times New Roman" w:cs="Times New Roman"/>
          <w:sz w:val="28"/>
          <w:szCs w:val="28"/>
        </w:rPr>
        <w:t>че г</w:t>
      </w:r>
      <w:r w:rsidR="00385514" w:rsidRPr="00385514">
        <w:rPr>
          <w:rFonts w:ascii="Times New Roman" w:hAnsi="Times New Roman" w:cs="Times New Roman"/>
          <w:sz w:val="28"/>
          <w:szCs w:val="28"/>
        </w:rPr>
        <w:t>ражданската готовност се превръща в социална иновация, когато гражданите не са само адресати на инструкции, а създатели, носители и разпространители на капацитет за действие в партньорство с публичните институции.</w:t>
      </w:r>
      <w:r w:rsidR="00385514">
        <w:rPr>
          <w:rFonts w:ascii="Times New Roman" w:hAnsi="Times New Roman" w:cs="Times New Roman"/>
          <w:sz w:val="28"/>
          <w:szCs w:val="28"/>
        </w:rPr>
        <w:t xml:space="preserve"> В този контекст </w:t>
      </w:r>
      <w:r w:rsidR="00385514" w:rsidRPr="00385514">
        <w:rPr>
          <w:rFonts w:ascii="Times New Roman" w:hAnsi="Times New Roman" w:cs="Times New Roman"/>
          <w:sz w:val="28"/>
          <w:szCs w:val="28"/>
        </w:rPr>
        <w:t xml:space="preserve">гражданската готовност следва да се разглежда като форма на социален капацитет и критичен нематериален ресурс на обществената устойчивост. </w:t>
      </w:r>
      <w:r w:rsidR="00D46546" w:rsidRPr="00D46546">
        <w:rPr>
          <w:rFonts w:ascii="Times New Roman" w:hAnsi="Times New Roman" w:cs="Times New Roman"/>
          <w:sz w:val="28"/>
          <w:szCs w:val="28"/>
        </w:rPr>
        <w:t>Доверието и обществената устойчивост се утвърждават като ключови нематериални ресурси, които определят способността на институциите, гражданите и местните общности да обменят надеждна информация, да координират действията си и да съхраняват жизненоважните обществени функции при кризи.</w:t>
      </w:r>
    </w:p>
    <w:p w14:paraId="68172B53" w14:textId="1DBEAEEF" w:rsidR="009540EF" w:rsidRDefault="00D46546" w:rsidP="00D46546">
      <w:pPr>
        <w:ind w:firstLine="360"/>
        <w:jc w:val="both"/>
        <w:rPr>
          <w:rFonts w:ascii="Times New Roman" w:hAnsi="Times New Roman" w:cs="Times New Roman"/>
          <w:sz w:val="28"/>
          <w:szCs w:val="28"/>
        </w:rPr>
      </w:pPr>
      <w:r w:rsidRPr="00D46546">
        <w:rPr>
          <w:rFonts w:ascii="Times New Roman" w:hAnsi="Times New Roman" w:cs="Times New Roman"/>
          <w:sz w:val="28"/>
          <w:szCs w:val="28"/>
        </w:rPr>
        <w:t>Социалните иновации са свързващият механизъм, чрез който доверието се преобразува в организирано гражданско участие, взаимопомощ и споделена отговорност, а тези процеси – в устойчив обществен капацитет. Разгледаните европейски практики показват, че включването на населението в обучението, превенцията и подготовката за извънредни ситуации намалява уязвимостта и допълва капацитета на публичните институции. Същевременно ефективното и справедливо управление на кризите укрепва институционалното доверие и създава положителна обратна връзка между гражданска готовност, социален капитал и обществена устойчивост.</w:t>
      </w:r>
      <w:r>
        <w:rPr>
          <w:rFonts w:ascii="Times New Roman" w:hAnsi="Times New Roman" w:cs="Times New Roman"/>
          <w:sz w:val="28"/>
          <w:szCs w:val="28"/>
        </w:rPr>
        <w:t xml:space="preserve"> </w:t>
      </w:r>
    </w:p>
    <w:p w14:paraId="3749CD42" w14:textId="77777777" w:rsidR="00D46546" w:rsidRDefault="00D46546" w:rsidP="00D46546">
      <w:pPr>
        <w:ind w:firstLine="360"/>
        <w:jc w:val="both"/>
        <w:rPr>
          <w:rFonts w:ascii="Times New Roman" w:hAnsi="Times New Roman" w:cs="Times New Roman"/>
          <w:sz w:val="28"/>
          <w:szCs w:val="28"/>
        </w:rPr>
      </w:pPr>
    </w:p>
    <w:p w14:paraId="72BAD358" w14:textId="77777777" w:rsidR="000472ED" w:rsidRPr="000472ED" w:rsidRDefault="000472ED" w:rsidP="000472ED">
      <w:pPr>
        <w:spacing w:after="0" w:line="240" w:lineRule="auto"/>
        <w:jc w:val="both"/>
        <w:rPr>
          <w:rFonts w:ascii="Times New Roman" w:eastAsia="Times New Roman" w:hAnsi="Times New Roman" w:cs="Times New Roman"/>
          <w:b/>
          <w:sz w:val="28"/>
          <w:szCs w:val="28"/>
          <w:lang w:eastAsia="bg-BG"/>
        </w:rPr>
      </w:pPr>
      <w:r w:rsidRPr="000472ED">
        <w:rPr>
          <w:rFonts w:ascii="Times New Roman" w:eastAsia="Times New Roman" w:hAnsi="Times New Roman" w:cs="Times New Roman"/>
          <w:b/>
          <w:sz w:val="28"/>
          <w:szCs w:val="28"/>
          <w:lang w:eastAsia="bg-BG"/>
        </w:rPr>
        <w:t>ЛИТЕРАТУРА:</w:t>
      </w:r>
    </w:p>
    <w:p w14:paraId="54EAAE2F" w14:textId="77777777" w:rsidR="00404019" w:rsidRPr="00404019" w:rsidRDefault="00404019" w:rsidP="00404019">
      <w:pPr>
        <w:pStyle w:val="a7"/>
        <w:numPr>
          <w:ilvl w:val="0"/>
          <w:numId w:val="2"/>
        </w:numPr>
        <w:rPr>
          <w:rFonts w:ascii="Times New Roman" w:eastAsia="Calibri" w:hAnsi="Times New Roman" w:cs="Times New Roman"/>
          <w:sz w:val="28"/>
          <w:szCs w:val="28"/>
        </w:rPr>
      </w:pPr>
      <w:r w:rsidRPr="00404019">
        <w:rPr>
          <w:rFonts w:ascii="Times New Roman" w:eastAsia="Calibri" w:hAnsi="Times New Roman" w:cs="Times New Roman"/>
          <w:sz w:val="28"/>
          <w:szCs w:val="28"/>
        </w:rPr>
        <w:lastRenderedPageBreak/>
        <w:t>Niinistö, S. (2024). Safer together: Strengthening Europe’s civilian and military preparedness and readiness. European Commission.</w:t>
      </w:r>
    </w:p>
    <w:p w14:paraId="48A6F5E1" w14:textId="77777777" w:rsidR="00404019" w:rsidRPr="00404019" w:rsidRDefault="00404019" w:rsidP="00404019">
      <w:pPr>
        <w:pStyle w:val="a7"/>
        <w:numPr>
          <w:ilvl w:val="0"/>
          <w:numId w:val="2"/>
        </w:numPr>
        <w:rPr>
          <w:rFonts w:ascii="Times New Roman" w:eastAsia="Calibri" w:hAnsi="Times New Roman" w:cs="Times New Roman"/>
          <w:sz w:val="28"/>
          <w:szCs w:val="28"/>
        </w:rPr>
      </w:pPr>
      <w:r w:rsidRPr="00404019">
        <w:rPr>
          <w:rFonts w:ascii="Times New Roman" w:eastAsia="Calibri" w:hAnsi="Times New Roman" w:cs="Times New Roman"/>
          <w:sz w:val="28"/>
          <w:szCs w:val="28"/>
        </w:rPr>
        <w:t>Murray, R., Caulier-Grice, J., &amp; Mulgan, G. (2010). The open book of social innovation. Nesta.</w:t>
      </w:r>
    </w:p>
    <w:p w14:paraId="79AAAE36" w14:textId="11468871" w:rsidR="00BE7D64" w:rsidRDefault="00BE7D64" w:rsidP="00404019">
      <w:pPr>
        <w:pStyle w:val="a7"/>
        <w:numPr>
          <w:ilvl w:val="0"/>
          <w:numId w:val="2"/>
        </w:numPr>
        <w:rPr>
          <w:rFonts w:ascii="Times New Roman" w:eastAsia="Calibri" w:hAnsi="Times New Roman" w:cs="Times New Roman"/>
          <w:sz w:val="28"/>
          <w:szCs w:val="28"/>
        </w:rPr>
      </w:pPr>
      <w:r w:rsidRPr="00BE7D64">
        <w:rPr>
          <w:rFonts w:ascii="Times New Roman" w:eastAsia="Calibri" w:hAnsi="Times New Roman" w:cs="Times New Roman"/>
          <w:sz w:val="28"/>
          <w:szCs w:val="28"/>
        </w:rPr>
        <w:t>Buzan, B., Wæver, O., &amp; de Wilde, J. (1998). Security: A new framework for analysis. Lynne Rienner Publishers</w:t>
      </w:r>
    </w:p>
    <w:p w14:paraId="61C8DAA4" w14:textId="07EDD3DE" w:rsidR="00BE7D64" w:rsidRDefault="00BE7D64" w:rsidP="00BE7D64">
      <w:pPr>
        <w:pStyle w:val="a7"/>
        <w:numPr>
          <w:ilvl w:val="0"/>
          <w:numId w:val="2"/>
        </w:numPr>
        <w:rPr>
          <w:rFonts w:ascii="Times New Roman" w:eastAsia="Calibri" w:hAnsi="Times New Roman" w:cs="Times New Roman"/>
          <w:sz w:val="28"/>
          <w:szCs w:val="28"/>
        </w:rPr>
      </w:pPr>
      <w:r w:rsidRPr="00BE7D64">
        <w:rPr>
          <w:rFonts w:ascii="Times New Roman" w:eastAsia="Calibri" w:hAnsi="Times New Roman" w:cs="Times New Roman"/>
          <w:sz w:val="28"/>
          <w:szCs w:val="28"/>
        </w:rPr>
        <w:t xml:space="preserve">Bossong, R., &amp; Hegemann, H. (Eds.). (2015). European civil security governance: Diversity and cooperation in crisis and disaster management. Palgrave Macmillan. </w:t>
      </w:r>
      <w:hyperlink r:id="rId8" w:history="1">
        <w:r w:rsidRPr="00377F31">
          <w:rPr>
            <w:rStyle w:val="a3"/>
            <w:rFonts w:ascii="Times New Roman" w:eastAsia="Calibri" w:hAnsi="Times New Roman" w:cs="Times New Roman"/>
            <w:sz w:val="28"/>
            <w:szCs w:val="28"/>
          </w:rPr>
          <w:t>https://doi.org/10.1057/9781137481114</w:t>
        </w:r>
      </w:hyperlink>
      <w:r>
        <w:rPr>
          <w:rFonts w:ascii="Times New Roman" w:eastAsia="Calibri" w:hAnsi="Times New Roman" w:cs="Times New Roman"/>
          <w:sz w:val="28"/>
          <w:szCs w:val="28"/>
        </w:rPr>
        <w:t xml:space="preserve"> </w:t>
      </w:r>
      <w:r w:rsidRPr="00BE7D64">
        <w:rPr>
          <w:rFonts w:ascii="Times New Roman" w:eastAsia="Calibri" w:hAnsi="Times New Roman" w:cs="Times New Roman"/>
          <w:sz w:val="28"/>
          <w:szCs w:val="28"/>
        </w:rPr>
        <w:t xml:space="preserve"> </w:t>
      </w:r>
    </w:p>
    <w:p w14:paraId="68BF7AD6" w14:textId="3E3995A2" w:rsidR="00BE7D64" w:rsidRPr="00BE7D64" w:rsidRDefault="00BE7D64" w:rsidP="00BE7D64">
      <w:pPr>
        <w:pStyle w:val="a7"/>
        <w:numPr>
          <w:ilvl w:val="0"/>
          <w:numId w:val="2"/>
        </w:numPr>
        <w:jc w:val="both"/>
        <w:rPr>
          <w:rFonts w:ascii="Times New Roman" w:eastAsia="Calibri" w:hAnsi="Times New Roman" w:cs="Times New Roman"/>
          <w:sz w:val="28"/>
          <w:szCs w:val="28"/>
        </w:rPr>
      </w:pPr>
      <w:r w:rsidRPr="00BE7D64">
        <w:rPr>
          <w:rFonts w:ascii="Times New Roman" w:eastAsia="Calibri" w:hAnsi="Times New Roman" w:cs="Times New Roman"/>
          <w:sz w:val="28"/>
          <w:szCs w:val="28"/>
        </w:rPr>
        <w:t xml:space="preserve">Joseph, J. (2013). Resilience as embedded neoliberalism: A governmentality approach. Resilience, 1(1), 38–52. </w:t>
      </w:r>
      <w:hyperlink r:id="rId9" w:history="1">
        <w:r w:rsidRPr="00377F31">
          <w:rPr>
            <w:rStyle w:val="a3"/>
            <w:rFonts w:ascii="Times New Roman" w:eastAsia="Calibri" w:hAnsi="Times New Roman" w:cs="Times New Roman"/>
            <w:sz w:val="28"/>
            <w:szCs w:val="28"/>
          </w:rPr>
          <w:t>https://doi.org/10.1080/21693293.2013.765741</w:t>
        </w:r>
      </w:hyperlink>
      <w:r>
        <w:rPr>
          <w:rFonts w:ascii="Times New Roman" w:eastAsia="Calibri" w:hAnsi="Times New Roman" w:cs="Times New Roman"/>
          <w:sz w:val="28"/>
          <w:szCs w:val="28"/>
        </w:rPr>
        <w:t xml:space="preserve"> </w:t>
      </w:r>
    </w:p>
    <w:p w14:paraId="418296CD" w14:textId="23EA5517" w:rsidR="00404019" w:rsidRDefault="00404019" w:rsidP="00404019">
      <w:pPr>
        <w:pStyle w:val="a7"/>
        <w:numPr>
          <w:ilvl w:val="0"/>
          <w:numId w:val="2"/>
        </w:numPr>
        <w:rPr>
          <w:rFonts w:ascii="Times New Roman" w:eastAsia="Calibri" w:hAnsi="Times New Roman" w:cs="Times New Roman"/>
          <w:sz w:val="28"/>
          <w:szCs w:val="28"/>
        </w:rPr>
      </w:pPr>
      <w:r w:rsidRPr="00404019">
        <w:rPr>
          <w:rFonts w:ascii="Times New Roman" w:eastAsia="Calibri" w:hAnsi="Times New Roman" w:cs="Times New Roman"/>
          <w:sz w:val="28"/>
          <w:szCs w:val="28"/>
        </w:rPr>
        <w:t>North Atlantic Treaty Organization. (2024). Resilience, civil preparedness and Article 3. NATO.</w:t>
      </w:r>
    </w:p>
    <w:p w14:paraId="57527F60" w14:textId="600C059C" w:rsidR="00AD0A03" w:rsidRDefault="00694DA7" w:rsidP="00404019">
      <w:pPr>
        <w:pStyle w:val="a7"/>
        <w:numPr>
          <w:ilvl w:val="0"/>
          <w:numId w:val="2"/>
        </w:numPr>
        <w:rPr>
          <w:rFonts w:ascii="Times New Roman" w:eastAsia="Calibri" w:hAnsi="Times New Roman" w:cs="Times New Roman"/>
          <w:sz w:val="28"/>
          <w:szCs w:val="28"/>
        </w:rPr>
      </w:pPr>
      <w:r w:rsidRPr="00694DA7">
        <w:rPr>
          <w:rFonts w:ascii="Times New Roman" w:eastAsia="Calibri" w:hAnsi="Times New Roman" w:cs="Times New Roman"/>
          <w:sz w:val="28"/>
          <w:szCs w:val="28"/>
        </w:rPr>
        <w:t>European Commission &amp; High Representative of the Union for Foreign Affairs and Security Policy. (2025). Joint communication on the European Preparedness Union Strategy (JOIN(2025) 130 final).</w:t>
      </w:r>
    </w:p>
    <w:p w14:paraId="5B938D30" w14:textId="77777777" w:rsidR="00694DA7" w:rsidRPr="00694DA7" w:rsidRDefault="00694DA7" w:rsidP="00694DA7">
      <w:pPr>
        <w:pStyle w:val="a7"/>
        <w:numPr>
          <w:ilvl w:val="0"/>
          <w:numId w:val="2"/>
        </w:numPr>
        <w:rPr>
          <w:rFonts w:ascii="Times New Roman" w:eastAsia="Calibri" w:hAnsi="Times New Roman" w:cs="Times New Roman"/>
          <w:sz w:val="28"/>
          <w:szCs w:val="28"/>
        </w:rPr>
      </w:pPr>
      <w:r w:rsidRPr="00694DA7">
        <w:rPr>
          <w:rFonts w:ascii="Times New Roman" w:eastAsia="Calibri" w:hAnsi="Times New Roman" w:cs="Times New Roman"/>
          <w:sz w:val="28"/>
          <w:szCs w:val="28"/>
        </w:rPr>
        <w:t>European Commission. (2025). ProtectEU: A European Internal Security Strategy (COM(2025) 148 final).</w:t>
      </w:r>
    </w:p>
    <w:p w14:paraId="6FAEE62C" w14:textId="4FEEDC0D" w:rsidR="00694DA7" w:rsidRDefault="00694DA7" w:rsidP="00543C17">
      <w:pPr>
        <w:pStyle w:val="a7"/>
        <w:numPr>
          <w:ilvl w:val="0"/>
          <w:numId w:val="2"/>
        </w:numPr>
        <w:spacing w:after="0" w:line="240" w:lineRule="auto"/>
        <w:jc w:val="both"/>
        <w:rPr>
          <w:rFonts w:ascii="Times New Roman" w:eastAsia="Calibri" w:hAnsi="Times New Roman" w:cs="Times New Roman"/>
          <w:sz w:val="28"/>
          <w:szCs w:val="28"/>
        </w:rPr>
      </w:pPr>
      <w:r w:rsidRPr="00694DA7">
        <w:rPr>
          <w:rFonts w:ascii="Times New Roman" w:eastAsia="Calibri" w:hAnsi="Times New Roman" w:cs="Times New Roman"/>
          <w:sz w:val="28"/>
          <w:szCs w:val="28"/>
        </w:rPr>
        <w:t xml:space="preserve">Norris, F. H., Stevens, S. P., Pfefferbaum, B., Wyche, K. F., &amp; Pfefferbaum, R. L. (2008). Community resilience as a metaphor, theory, set of capacities, and strategy for disaster readiness. American Journal of Community Psychology, 41(1–2), 127–150. </w:t>
      </w:r>
      <w:hyperlink r:id="rId10" w:history="1">
        <w:r w:rsidR="0081388A" w:rsidRPr="00377F31">
          <w:rPr>
            <w:rStyle w:val="a3"/>
            <w:rFonts w:ascii="Times New Roman" w:eastAsia="Calibri" w:hAnsi="Times New Roman" w:cs="Times New Roman"/>
            <w:sz w:val="28"/>
            <w:szCs w:val="28"/>
          </w:rPr>
          <w:t>https://doi.org/10.1007/s10464-007-9156-6</w:t>
        </w:r>
      </w:hyperlink>
    </w:p>
    <w:p w14:paraId="196B5597" w14:textId="2F8C17AA" w:rsidR="00436F2C" w:rsidRDefault="00436F2C" w:rsidP="00543C17">
      <w:pPr>
        <w:pStyle w:val="a7"/>
        <w:numPr>
          <w:ilvl w:val="0"/>
          <w:numId w:val="2"/>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Ilcheva M. </w:t>
      </w:r>
      <w:r w:rsidRPr="00436F2C">
        <w:rPr>
          <w:rFonts w:ascii="Times New Roman" w:eastAsia="Calibri" w:hAnsi="Times New Roman" w:cs="Times New Roman"/>
          <w:sz w:val="28"/>
          <w:szCs w:val="28"/>
        </w:rPr>
        <w:t xml:space="preserve">Application of Social Innovations for Improvement of Social Security in Bulgaria - Knowledge International Journal, Volume 59, Selected scientific papers, ISSN 2545 </w:t>
      </w:r>
      <w:r>
        <w:rPr>
          <w:rFonts w:ascii="Times New Roman" w:eastAsia="Calibri" w:hAnsi="Times New Roman" w:cs="Times New Roman"/>
          <w:sz w:val="28"/>
          <w:szCs w:val="28"/>
        </w:rPr>
        <w:t>–</w:t>
      </w:r>
      <w:r w:rsidRPr="00436F2C">
        <w:rPr>
          <w:rFonts w:ascii="Times New Roman" w:eastAsia="Calibri" w:hAnsi="Times New Roman" w:cs="Times New Roman"/>
          <w:sz w:val="28"/>
          <w:szCs w:val="28"/>
        </w:rPr>
        <w:t xml:space="preserve"> 4439</w:t>
      </w:r>
    </w:p>
    <w:p w14:paraId="223121F4" w14:textId="63499879" w:rsidR="00404019" w:rsidRDefault="00AD0A03" w:rsidP="00543C17">
      <w:pPr>
        <w:pStyle w:val="a7"/>
        <w:numPr>
          <w:ilvl w:val="0"/>
          <w:numId w:val="2"/>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Сайт на финландската система „72 часа“ </w:t>
      </w:r>
      <w:hyperlink r:id="rId11" w:history="1">
        <w:r w:rsidRPr="00377F31">
          <w:rPr>
            <w:rStyle w:val="a3"/>
            <w:rFonts w:ascii="Times New Roman" w:eastAsia="Calibri" w:hAnsi="Times New Roman" w:cs="Times New Roman"/>
            <w:sz w:val="28"/>
            <w:szCs w:val="28"/>
          </w:rPr>
          <w:t>https://72tuntia.fi/en/</w:t>
        </w:r>
      </w:hyperlink>
      <w:r>
        <w:rPr>
          <w:rFonts w:ascii="Times New Roman" w:eastAsia="Calibri" w:hAnsi="Times New Roman" w:cs="Times New Roman"/>
          <w:sz w:val="28"/>
          <w:szCs w:val="28"/>
        </w:rPr>
        <w:t xml:space="preserve"> </w:t>
      </w:r>
    </w:p>
    <w:p w14:paraId="0D181E5F" w14:textId="17984B1D" w:rsidR="00404019" w:rsidRDefault="00D342E7" w:rsidP="00543C17">
      <w:pPr>
        <w:pStyle w:val="a7"/>
        <w:numPr>
          <w:ilvl w:val="0"/>
          <w:numId w:val="2"/>
        </w:numPr>
        <w:spacing w:after="0" w:line="240" w:lineRule="auto"/>
        <w:jc w:val="both"/>
        <w:rPr>
          <w:rFonts w:ascii="Times New Roman" w:eastAsia="Calibri" w:hAnsi="Times New Roman" w:cs="Times New Roman"/>
          <w:sz w:val="28"/>
          <w:szCs w:val="28"/>
        </w:rPr>
      </w:pPr>
      <w:hyperlink r:id="rId12" w:history="1">
        <w:r w:rsidR="0052081B" w:rsidRPr="00377F31">
          <w:rPr>
            <w:rStyle w:val="a3"/>
            <w:rFonts w:ascii="Times New Roman" w:eastAsia="Calibri" w:hAnsi="Times New Roman" w:cs="Times New Roman"/>
            <w:sz w:val="28"/>
            <w:szCs w:val="28"/>
          </w:rPr>
          <w:t>https://civil-protection-knowledge-network.europa.eu/stories/safe-village-safe-people-working-local-community</w:t>
        </w:r>
      </w:hyperlink>
      <w:r w:rsidR="0052081B">
        <w:rPr>
          <w:rFonts w:ascii="Times New Roman" w:eastAsia="Calibri" w:hAnsi="Times New Roman" w:cs="Times New Roman"/>
          <w:sz w:val="28"/>
          <w:szCs w:val="28"/>
        </w:rPr>
        <w:t xml:space="preserve"> </w:t>
      </w:r>
    </w:p>
    <w:p w14:paraId="6A464B32" w14:textId="3AF87790" w:rsidR="00404019" w:rsidRDefault="00D80CF2" w:rsidP="00543C17">
      <w:pPr>
        <w:pStyle w:val="a7"/>
        <w:numPr>
          <w:ilvl w:val="0"/>
          <w:numId w:val="2"/>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Сайт на </w:t>
      </w:r>
      <w:r w:rsidRPr="00D80CF2">
        <w:rPr>
          <w:rFonts w:ascii="Times New Roman" w:eastAsia="Calibri" w:hAnsi="Times New Roman" w:cs="Times New Roman"/>
          <w:sz w:val="28"/>
          <w:szCs w:val="28"/>
        </w:rPr>
        <w:t>Министерство на вътрешните работи, РДПБЗН–Русе. (2025, 20 май). Първите обучения на доброволци за действия при горски и полски пожари се състояха в Русе и Ветово.</w:t>
      </w:r>
    </w:p>
    <w:p w14:paraId="270D0893" w14:textId="77777777" w:rsidR="00857CFC" w:rsidRPr="00857CFC" w:rsidRDefault="00857CFC" w:rsidP="00857CFC">
      <w:pPr>
        <w:spacing w:after="0" w:line="240" w:lineRule="auto"/>
        <w:jc w:val="both"/>
        <w:rPr>
          <w:rFonts w:ascii="Times New Roman" w:eastAsia="Calibri" w:hAnsi="Times New Roman" w:cs="Times New Roman"/>
          <w:sz w:val="28"/>
          <w:szCs w:val="28"/>
        </w:rPr>
      </w:pPr>
    </w:p>
    <w:p w14:paraId="4EF65AE3" w14:textId="1DF5DEA9" w:rsidR="000472ED" w:rsidRDefault="00606069" w:rsidP="00E816DB">
      <w:pPr>
        <w:ind w:firstLine="708"/>
        <w:jc w:val="both"/>
        <w:rPr>
          <w:rFonts w:ascii="Times New Roman" w:hAnsi="Times New Roman" w:cs="Times New Roman"/>
          <w:i/>
          <w:sz w:val="24"/>
          <w:szCs w:val="24"/>
        </w:rPr>
      </w:pPr>
      <w:r>
        <w:rPr>
          <w:rFonts w:ascii="Times New Roman" w:hAnsi="Times New Roman" w:cs="Times New Roman"/>
          <w:i/>
          <w:sz w:val="24"/>
          <w:szCs w:val="24"/>
        </w:rPr>
        <w:t xml:space="preserve">Автор: </w:t>
      </w:r>
      <w:r w:rsidR="00982B16">
        <w:rPr>
          <w:rFonts w:ascii="Times New Roman" w:hAnsi="Times New Roman" w:cs="Times New Roman"/>
          <w:i/>
          <w:sz w:val="24"/>
          <w:szCs w:val="24"/>
        </w:rPr>
        <w:t>Професор</w:t>
      </w:r>
      <w:r w:rsidR="003C2E9B">
        <w:rPr>
          <w:rFonts w:ascii="Times New Roman" w:hAnsi="Times New Roman" w:cs="Times New Roman"/>
          <w:i/>
          <w:sz w:val="24"/>
          <w:szCs w:val="24"/>
        </w:rPr>
        <w:t>,</w:t>
      </w:r>
      <w:r w:rsidR="00982B16">
        <w:rPr>
          <w:rFonts w:ascii="Times New Roman" w:hAnsi="Times New Roman" w:cs="Times New Roman"/>
          <w:i/>
          <w:sz w:val="24"/>
          <w:szCs w:val="24"/>
        </w:rPr>
        <w:t xml:space="preserve"> </w:t>
      </w:r>
      <w:r>
        <w:rPr>
          <w:rFonts w:ascii="Times New Roman" w:hAnsi="Times New Roman" w:cs="Times New Roman"/>
          <w:i/>
          <w:sz w:val="24"/>
          <w:szCs w:val="24"/>
        </w:rPr>
        <w:t xml:space="preserve">доктор на науките </w:t>
      </w:r>
      <w:r w:rsidR="000472ED">
        <w:rPr>
          <w:rFonts w:ascii="Times New Roman" w:hAnsi="Times New Roman" w:cs="Times New Roman"/>
          <w:i/>
          <w:sz w:val="24"/>
          <w:szCs w:val="24"/>
        </w:rPr>
        <w:t>Мария Кирилова Илчева</w:t>
      </w:r>
      <w:r w:rsidRPr="0089766B">
        <w:rPr>
          <w:rFonts w:ascii="Times New Roman" w:hAnsi="Times New Roman" w:cs="Times New Roman"/>
          <w:i/>
          <w:sz w:val="24"/>
          <w:szCs w:val="24"/>
        </w:rPr>
        <w:t xml:space="preserve"> </w:t>
      </w:r>
    </w:p>
    <w:p w14:paraId="5C098D15" w14:textId="6222D033" w:rsidR="000472ED" w:rsidRDefault="000472ED" w:rsidP="00E816DB">
      <w:pPr>
        <w:ind w:firstLine="708"/>
        <w:jc w:val="both"/>
        <w:rPr>
          <w:rFonts w:ascii="Times New Roman" w:hAnsi="Times New Roman" w:cs="Times New Roman"/>
          <w:i/>
          <w:sz w:val="24"/>
          <w:szCs w:val="24"/>
        </w:rPr>
      </w:pPr>
      <w:r>
        <w:rPr>
          <w:rFonts w:ascii="Times New Roman" w:hAnsi="Times New Roman" w:cs="Times New Roman"/>
          <w:i/>
          <w:sz w:val="24"/>
          <w:szCs w:val="24"/>
        </w:rPr>
        <w:t xml:space="preserve">Институция: </w:t>
      </w:r>
      <w:r w:rsidR="00606069" w:rsidRPr="0089766B">
        <w:rPr>
          <w:rFonts w:ascii="Times New Roman" w:hAnsi="Times New Roman" w:cs="Times New Roman"/>
          <w:i/>
          <w:sz w:val="24"/>
          <w:szCs w:val="24"/>
        </w:rPr>
        <w:t>ВТУ „Св. св. Кирил и Методий“, катедра „</w:t>
      </w:r>
      <w:r>
        <w:rPr>
          <w:rFonts w:ascii="Times New Roman" w:hAnsi="Times New Roman" w:cs="Times New Roman"/>
          <w:i/>
          <w:sz w:val="24"/>
          <w:szCs w:val="24"/>
        </w:rPr>
        <w:t>Национална сигурност</w:t>
      </w:r>
      <w:r w:rsidR="00982B16">
        <w:rPr>
          <w:rFonts w:ascii="Times New Roman" w:hAnsi="Times New Roman" w:cs="Times New Roman"/>
          <w:i/>
          <w:sz w:val="24"/>
          <w:szCs w:val="24"/>
        </w:rPr>
        <w:t xml:space="preserve"> и политически науки</w:t>
      </w:r>
      <w:r>
        <w:rPr>
          <w:rFonts w:ascii="Times New Roman" w:hAnsi="Times New Roman" w:cs="Times New Roman"/>
          <w:i/>
          <w:sz w:val="24"/>
          <w:szCs w:val="24"/>
        </w:rPr>
        <w:t>“;</w:t>
      </w:r>
      <w:r w:rsidR="001B62B8">
        <w:rPr>
          <w:rFonts w:ascii="Times New Roman" w:hAnsi="Times New Roman" w:cs="Times New Roman"/>
          <w:i/>
          <w:sz w:val="24"/>
          <w:szCs w:val="24"/>
        </w:rPr>
        <w:t xml:space="preserve"> </w:t>
      </w:r>
    </w:p>
    <w:p w14:paraId="75763791" w14:textId="77777777" w:rsidR="00333C9B" w:rsidRPr="00097871" w:rsidRDefault="000472ED" w:rsidP="00E816DB">
      <w:pPr>
        <w:ind w:firstLine="708"/>
        <w:jc w:val="both"/>
        <w:rPr>
          <w:rFonts w:ascii="Times New Roman" w:hAnsi="Times New Roman" w:cs="Times New Roman"/>
          <w:i/>
          <w:sz w:val="24"/>
          <w:szCs w:val="24"/>
          <w:lang w:val="ru-RU"/>
        </w:rPr>
      </w:pPr>
      <w:r>
        <w:rPr>
          <w:rFonts w:ascii="Times New Roman" w:hAnsi="Times New Roman" w:cs="Times New Roman"/>
          <w:i/>
          <w:sz w:val="24"/>
          <w:szCs w:val="24"/>
        </w:rPr>
        <w:t>Адрес за кореспонденция: Велико Търново, ул. „Княз Дондуков“ №19, т</w:t>
      </w:r>
      <w:r w:rsidR="00606069" w:rsidRPr="0089766B">
        <w:rPr>
          <w:rFonts w:ascii="Times New Roman" w:hAnsi="Times New Roman" w:cs="Times New Roman"/>
          <w:i/>
          <w:sz w:val="24"/>
          <w:szCs w:val="24"/>
        </w:rPr>
        <w:t xml:space="preserve">ел: 0888 331611, ел. поща: </w:t>
      </w:r>
      <w:hyperlink r:id="rId13" w:history="1">
        <w:r w:rsidR="00606069" w:rsidRPr="0089766B">
          <w:rPr>
            <w:rStyle w:val="a3"/>
            <w:rFonts w:ascii="Times New Roman" w:hAnsi="Times New Roman" w:cs="Times New Roman"/>
            <w:i/>
            <w:sz w:val="24"/>
            <w:szCs w:val="24"/>
            <w:lang w:val="en-US"/>
          </w:rPr>
          <w:t>m</w:t>
        </w:r>
        <w:r w:rsidR="00606069" w:rsidRPr="00097871">
          <w:rPr>
            <w:rStyle w:val="a3"/>
            <w:rFonts w:ascii="Times New Roman" w:hAnsi="Times New Roman" w:cs="Times New Roman"/>
            <w:i/>
            <w:sz w:val="24"/>
            <w:szCs w:val="24"/>
            <w:lang w:val="ru-RU"/>
          </w:rPr>
          <w:t>.</w:t>
        </w:r>
        <w:r w:rsidR="00606069" w:rsidRPr="0089766B">
          <w:rPr>
            <w:rStyle w:val="a3"/>
            <w:rFonts w:ascii="Times New Roman" w:hAnsi="Times New Roman" w:cs="Times New Roman"/>
            <w:i/>
            <w:sz w:val="24"/>
            <w:szCs w:val="24"/>
            <w:lang w:val="en-US"/>
          </w:rPr>
          <w:t>ilcheva</w:t>
        </w:r>
        <w:r w:rsidR="00606069" w:rsidRPr="00097871">
          <w:rPr>
            <w:rStyle w:val="a3"/>
            <w:rFonts w:ascii="Times New Roman" w:hAnsi="Times New Roman" w:cs="Times New Roman"/>
            <w:i/>
            <w:sz w:val="24"/>
            <w:szCs w:val="24"/>
            <w:lang w:val="ru-RU"/>
          </w:rPr>
          <w:t>@</w:t>
        </w:r>
        <w:r w:rsidR="00606069" w:rsidRPr="0089766B">
          <w:rPr>
            <w:rStyle w:val="a3"/>
            <w:rFonts w:ascii="Times New Roman" w:hAnsi="Times New Roman" w:cs="Times New Roman"/>
            <w:i/>
            <w:sz w:val="24"/>
            <w:szCs w:val="24"/>
            <w:lang w:val="en-US"/>
          </w:rPr>
          <w:t>ts</w:t>
        </w:r>
        <w:r w:rsidR="00606069" w:rsidRPr="00097871">
          <w:rPr>
            <w:rStyle w:val="a3"/>
            <w:rFonts w:ascii="Times New Roman" w:hAnsi="Times New Roman" w:cs="Times New Roman"/>
            <w:i/>
            <w:sz w:val="24"/>
            <w:szCs w:val="24"/>
            <w:lang w:val="ru-RU"/>
          </w:rPr>
          <w:t>.</w:t>
        </w:r>
        <w:r w:rsidR="00606069" w:rsidRPr="0089766B">
          <w:rPr>
            <w:rStyle w:val="a3"/>
            <w:rFonts w:ascii="Times New Roman" w:hAnsi="Times New Roman" w:cs="Times New Roman"/>
            <w:i/>
            <w:sz w:val="24"/>
            <w:szCs w:val="24"/>
            <w:lang w:val="en-US"/>
          </w:rPr>
          <w:t>uni</w:t>
        </w:r>
        <w:r w:rsidR="00606069" w:rsidRPr="00097871">
          <w:rPr>
            <w:rStyle w:val="a3"/>
            <w:rFonts w:ascii="Times New Roman" w:hAnsi="Times New Roman" w:cs="Times New Roman"/>
            <w:i/>
            <w:sz w:val="24"/>
            <w:szCs w:val="24"/>
            <w:lang w:val="ru-RU"/>
          </w:rPr>
          <w:t>-</w:t>
        </w:r>
        <w:r w:rsidR="00606069" w:rsidRPr="0089766B">
          <w:rPr>
            <w:rStyle w:val="a3"/>
            <w:rFonts w:ascii="Times New Roman" w:hAnsi="Times New Roman" w:cs="Times New Roman"/>
            <w:i/>
            <w:sz w:val="24"/>
            <w:szCs w:val="24"/>
            <w:lang w:val="en-US"/>
          </w:rPr>
          <w:t>vt</w:t>
        </w:r>
        <w:r w:rsidR="00606069" w:rsidRPr="00097871">
          <w:rPr>
            <w:rStyle w:val="a3"/>
            <w:rFonts w:ascii="Times New Roman" w:hAnsi="Times New Roman" w:cs="Times New Roman"/>
            <w:i/>
            <w:sz w:val="24"/>
            <w:szCs w:val="24"/>
            <w:lang w:val="ru-RU"/>
          </w:rPr>
          <w:t>.</w:t>
        </w:r>
        <w:r w:rsidR="00606069" w:rsidRPr="0089766B">
          <w:rPr>
            <w:rStyle w:val="a3"/>
            <w:rFonts w:ascii="Times New Roman" w:hAnsi="Times New Roman" w:cs="Times New Roman"/>
            <w:i/>
            <w:sz w:val="24"/>
            <w:szCs w:val="24"/>
            <w:lang w:val="en-US"/>
          </w:rPr>
          <w:t>bg</w:t>
        </w:r>
      </w:hyperlink>
      <w:r w:rsidR="00606069" w:rsidRPr="00097871">
        <w:rPr>
          <w:rFonts w:ascii="Times New Roman" w:hAnsi="Times New Roman" w:cs="Times New Roman"/>
          <w:i/>
          <w:sz w:val="24"/>
          <w:szCs w:val="24"/>
          <w:lang w:val="ru-RU"/>
        </w:rPr>
        <w:t xml:space="preserve">  </w:t>
      </w:r>
    </w:p>
    <w:p w14:paraId="533EA6D1" w14:textId="77777777" w:rsidR="00452FD5" w:rsidRPr="00097871" w:rsidRDefault="00452FD5" w:rsidP="00E816DB">
      <w:pPr>
        <w:ind w:firstLine="708"/>
        <w:jc w:val="both"/>
        <w:rPr>
          <w:rFonts w:ascii="Times New Roman" w:hAnsi="Times New Roman" w:cs="Times New Roman"/>
          <w:i/>
          <w:sz w:val="24"/>
          <w:szCs w:val="24"/>
          <w:lang w:val="ru-RU"/>
        </w:rPr>
      </w:pPr>
    </w:p>
    <w:sectPr w:rsidR="00452FD5" w:rsidRPr="000978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5F37C" w14:textId="77777777" w:rsidR="00D342E7" w:rsidRDefault="00D342E7" w:rsidP="008A6F11">
      <w:pPr>
        <w:spacing w:after="0" w:line="240" w:lineRule="auto"/>
      </w:pPr>
      <w:r>
        <w:separator/>
      </w:r>
    </w:p>
  </w:endnote>
  <w:endnote w:type="continuationSeparator" w:id="0">
    <w:p w14:paraId="4BA9F371" w14:textId="77777777" w:rsidR="00D342E7" w:rsidRDefault="00D342E7" w:rsidP="008A6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81E6B" w14:textId="77777777" w:rsidR="00D342E7" w:rsidRDefault="00D342E7" w:rsidP="008A6F11">
      <w:pPr>
        <w:spacing w:after="0" w:line="240" w:lineRule="auto"/>
      </w:pPr>
      <w:r>
        <w:separator/>
      </w:r>
    </w:p>
  </w:footnote>
  <w:footnote w:type="continuationSeparator" w:id="0">
    <w:p w14:paraId="2090EC56" w14:textId="77777777" w:rsidR="00D342E7" w:rsidRDefault="00D342E7" w:rsidP="008A6F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C39"/>
    <w:multiLevelType w:val="hybridMultilevel"/>
    <w:tmpl w:val="D8B8CD7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 w15:restartNumberingAfterBreak="0">
    <w:nsid w:val="15093D9F"/>
    <w:multiLevelType w:val="hybridMultilevel"/>
    <w:tmpl w:val="6CF8D6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6D22D59"/>
    <w:multiLevelType w:val="hybridMultilevel"/>
    <w:tmpl w:val="64521EAC"/>
    <w:lvl w:ilvl="0" w:tplc="90D826E4">
      <w:numFmt w:val="bullet"/>
      <w:lvlText w:val="•"/>
      <w:lvlJc w:val="left"/>
      <w:pPr>
        <w:ind w:left="1417" w:hanging="708"/>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63B64EE"/>
    <w:multiLevelType w:val="hybridMultilevel"/>
    <w:tmpl w:val="53BA9A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79C3E1E"/>
    <w:multiLevelType w:val="hybridMultilevel"/>
    <w:tmpl w:val="8834D964"/>
    <w:lvl w:ilvl="0" w:tplc="5D8E95C2">
      <w:start w:val="1"/>
      <w:numFmt w:val="bullet"/>
      <w:lvlText w:val="•"/>
      <w:lvlJc w:val="left"/>
      <w:pPr>
        <w:tabs>
          <w:tab w:val="num" w:pos="720"/>
        </w:tabs>
        <w:ind w:left="720" w:hanging="360"/>
      </w:pPr>
      <w:rPr>
        <w:rFonts w:ascii="Times New Roman" w:hAnsi="Times New Roman" w:hint="default"/>
      </w:rPr>
    </w:lvl>
    <w:lvl w:ilvl="1" w:tplc="D01EB8A6" w:tentative="1">
      <w:start w:val="1"/>
      <w:numFmt w:val="bullet"/>
      <w:lvlText w:val="•"/>
      <w:lvlJc w:val="left"/>
      <w:pPr>
        <w:tabs>
          <w:tab w:val="num" w:pos="1440"/>
        </w:tabs>
        <w:ind w:left="1440" w:hanging="360"/>
      </w:pPr>
      <w:rPr>
        <w:rFonts w:ascii="Times New Roman" w:hAnsi="Times New Roman" w:hint="default"/>
      </w:rPr>
    </w:lvl>
    <w:lvl w:ilvl="2" w:tplc="371CA212" w:tentative="1">
      <w:start w:val="1"/>
      <w:numFmt w:val="bullet"/>
      <w:lvlText w:val="•"/>
      <w:lvlJc w:val="left"/>
      <w:pPr>
        <w:tabs>
          <w:tab w:val="num" w:pos="2160"/>
        </w:tabs>
        <w:ind w:left="2160" w:hanging="360"/>
      </w:pPr>
      <w:rPr>
        <w:rFonts w:ascii="Times New Roman" w:hAnsi="Times New Roman" w:hint="default"/>
      </w:rPr>
    </w:lvl>
    <w:lvl w:ilvl="3" w:tplc="32DA5AF2" w:tentative="1">
      <w:start w:val="1"/>
      <w:numFmt w:val="bullet"/>
      <w:lvlText w:val="•"/>
      <w:lvlJc w:val="left"/>
      <w:pPr>
        <w:tabs>
          <w:tab w:val="num" w:pos="2880"/>
        </w:tabs>
        <w:ind w:left="2880" w:hanging="360"/>
      </w:pPr>
      <w:rPr>
        <w:rFonts w:ascii="Times New Roman" w:hAnsi="Times New Roman" w:hint="default"/>
      </w:rPr>
    </w:lvl>
    <w:lvl w:ilvl="4" w:tplc="507C030E" w:tentative="1">
      <w:start w:val="1"/>
      <w:numFmt w:val="bullet"/>
      <w:lvlText w:val="•"/>
      <w:lvlJc w:val="left"/>
      <w:pPr>
        <w:tabs>
          <w:tab w:val="num" w:pos="3600"/>
        </w:tabs>
        <w:ind w:left="3600" w:hanging="360"/>
      </w:pPr>
      <w:rPr>
        <w:rFonts w:ascii="Times New Roman" w:hAnsi="Times New Roman" w:hint="default"/>
      </w:rPr>
    </w:lvl>
    <w:lvl w:ilvl="5" w:tplc="9796E150" w:tentative="1">
      <w:start w:val="1"/>
      <w:numFmt w:val="bullet"/>
      <w:lvlText w:val="•"/>
      <w:lvlJc w:val="left"/>
      <w:pPr>
        <w:tabs>
          <w:tab w:val="num" w:pos="4320"/>
        </w:tabs>
        <w:ind w:left="4320" w:hanging="360"/>
      </w:pPr>
      <w:rPr>
        <w:rFonts w:ascii="Times New Roman" w:hAnsi="Times New Roman" w:hint="default"/>
      </w:rPr>
    </w:lvl>
    <w:lvl w:ilvl="6" w:tplc="7D6863A8" w:tentative="1">
      <w:start w:val="1"/>
      <w:numFmt w:val="bullet"/>
      <w:lvlText w:val="•"/>
      <w:lvlJc w:val="left"/>
      <w:pPr>
        <w:tabs>
          <w:tab w:val="num" w:pos="5040"/>
        </w:tabs>
        <w:ind w:left="5040" w:hanging="360"/>
      </w:pPr>
      <w:rPr>
        <w:rFonts w:ascii="Times New Roman" w:hAnsi="Times New Roman" w:hint="default"/>
      </w:rPr>
    </w:lvl>
    <w:lvl w:ilvl="7" w:tplc="83AE24EA" w:tentative="1">
      <w:start w:val="1"/>
      <w:numFmt w:val="bullet"/>
      <w:lvlText w:val="•"/>
      <w:lvlJc w:val="left"/>
      <w:pPr>
        <w:tabs>
          <w:tab w:val="num" w:pos="5760"/>
        </w:tabs>
        <w:ind w:left="5760" w:hanging="360"/>
      </w:pPr>
      <w:rPr>
        <w:rFonts w:ascii="Times New Roman" w:hAnsi="Times New Roman" w:hint="default"/>
      </w:rPr>
    </w:lvl>
    <w:lvl w:ilvl="8" w:tplc="8940E78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5FD6044"/>
    <w:multiLevelType w:val="hybridMultilevel"/>
    <w:tmpl w:val="B7D04D5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3E5F7244"/>
    <w:multiLevelType w:val="hybridMultilevel"/>
    <w:tmpl w:val="FBFA518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15:restartNumberingAfterBreak="0">
    <w:nsid w:val="479260EF"/>
    <w:multiLevelType w:val="hybridMultilevel"/>
    <w:tmpl w:val="D760305E"/>
    <w:lvl w:ilvl="0" w:tplc="90D826E4">
      <w:numFmt w:val="bullet"/>
      <w:lvlText w:val="•"/>
      <w:lvlJc w:val="left"/>
      <w:pPr>
        <w:ind w:left="2126" w:hanging="708"/>
      </w:pPr>
      <w:rPr>
        <w:rFonts w:ascii="Times New Roman" w:eastAsiaTheme="minorHAns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4A8921AF"/>
    <w:multiLevelType w:val="hybridMultilevel"/>
    <w:tmpl w:val="11B00F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BFE233B"/>
    <w:multiLevelType w:val="hybridMultilevel"/>
    <w:tmpl w:val="F31E64C8"/>
    <w:lvl w:ilvl="0" w:tplc="01162A9A">
      <w:start w:val="1"/>
      <w:numFmt w:val="decimal"/>
      <w:lvlText w:val="%1."/>
      <w:lvlJc w:val="left"/>
      <w:pPr>
        <w:ind w:left="106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DD930B2"/>
    <w:multiLevelType w:val="hybridMultilevel"/>
    <w:tmpl w:val="5B70650A"/>
    <w:lvl w:ilvl="0" w:tplc="90D826E4">
      <w:numFmt w:val="bullet"/>
      <w:lvlText w:val="•"/>
      <w:lvlJc w:val="left"/>
      <w:pPr>
        <w:ind w:left="1417" w:hanging="708"/>
      </w:pPr>
      <w:rPr>
        <w:rFonts w:ascii="Times New Roman" w:eastAsiaTheme="minorHAns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1" w15:restartNumberingAfterBreak="0">
    <w:nsid w:val="63D0643B"/>
    <w:multiLevelType w:val="hybridMultilevel"/>
    <w:tmpl w:val="50149B58"/>
    <w:lvl w:ilvl="0" w:tplc="04020011">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2" w15:restartNumberingAfterBreak="0">
    <w:nsid w:val="6507107B"/>
    <w:multiLevelType w:val="hybridMultilevel"/>
    <w:tmpl w:val="05062C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66620336"/>
    <w:multiLevelType w:val="hybridMultilevel"/>
    <w:tmpl w:val="6A2CA2F8"/>
    <w:lvl w:ilvl="0" w:tplc="04020001">
      <w:start w:val="1"/>
      <w:numFmt w:val="bullet"/>
      <w:lvlText w:val=""/>
      <w:lvlJc w:val="left"/>
      <w:pPr>
        <w:ind w:left="1080" w:hanging="360"/>
      </w:pPr>
      <w:rPr>
        <w:rFonts w:ascii="Symbol" w:hAnsi="Symbol" w:hint="default"/>
      </w:rPr>
    </w:lvl>
    <w:lvl w:ilvl="1" w:tplc="A03249A4">
      <w:numFmt w:val="bullet"/>
      <w:lvlText w:val="•"/>
      <w:lvlJc w:val="left"/>
      <w:pPr>
        <w:ind w:left="1800" w:hanging="360"/>
      </w:pPr>
      <w:rPr>
        <w:rFonts w:ascii="Times New Roman" w:eastAsiaTheme="minorHAnsi" w:hAnsi="Times New Roman" w:cs="Times New Roman"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9"/>
  </w:num>
  <w:num w:numId="2">
    <w:abstractNumId w:val="12"/>
  </w:num>
  <w:num w:numId="3">
    <w:abstractNumId w:val="3"/>
  </w:num>
  <w:num w:numId="4">
    <w:abstractNumId w:val="13"/>
  </w:num>
  <w:num w:numId="5">
    <w:abstractNumId w:val="1"/>
  </w:num>
  <w:num w:numId="6">
    <w:abstractNumId w:val="4"/>
  </w:num>
  <w:num w:numId="7">
    <w:abstractNumId w:val="8"/>
  </w:num>
  <w:num w:numId="8">
    <w:abstractNumId w:val="0"/>
  </w:num>
  <w:num w:numId="9">
    <w:abstractNumId w:val="10"/>
  </w:num>
  <w:num w:numId="10">
    <w:abstractNumId w:val="7"/>
  </w:num>
  <w:num w:numId="11">
    <w:abstractNumId w:val="2"/>
  </w:num>
  <w:num w:numId="12">
    <w:abstractNumId w:val="11"/>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F11"/>
    <w:rsid w:val="000107D0"/>
    <w:rsid w:val="00010B64"/>
    <w:rsid w:val="0003268D"/>
    <w:rsid w:val="0004214F"/>
    <w:rsid w:val="000472ED"/>
    <w:rsid w:val="000512BC"/>
    <w:rsid w:val="00070645"/>
    <w:rsid w:val="00075519"/>
    <w:rsid w:val="0007670B"/>
    <w:rsid w:val="000908EE"/>
    <w:rsid w:val="000959A4"/>
    <w:rsid w:val="00097871"/>
    <w:rsid w:val="000A44B7"/>
    <w:rsid w:val="000C279A"/>
    <w:rsid w:val="000C4737"/>
    <w:rsid w:val="000D57EC"/>
    <w:rsid w:val="000E5CB1"/>
    <w:rsid w:val="00133864"/>
    <w:rsid w:val="00156D6F"/>
    <w:rsid w:val="001911C3"/>
    <w:rsid w:val="001A632D"/>
    <w:rsid w:val="001B62B8"/>
    <w:rsid w:val="001F5551"/>
    <w:rsid w:val="0023202A"/>
    <w:rsid w:val="00234E81"/>
    <w:rsid w:val="00255DC9"/>
    <w:rsid w:val="00292B5F"/>
    <w:rsid w:val="002B28F6"/>
    <w:rsid w:val="002E01D5"/>
    <w:rsid w:val="002E6CE2"/>
    <w:rsid w:val="003042C4"/>
    <w:rsid w:val="003115DC"/>
    <w:rsid w:val="00322B9E"/>
    <w:rsid w:val="00327861"/>
    <w:rsid w:val="003301A1"/>
    <w:rsid w:val="00333C9B"/>
    <w:rsid w:val="00356846"/>
    <w:rsid w:val="00360146"/>
    <w:rsid w:val="003801CB"/>
    <w:rsid w:val="00385514"/>
    <w:rsid w:val="00386A72"/>
    <w:rsid w:val="003B36E9"/>
    <w:rsid w:val="003B6A63"/>
    <w:rsid w:val="003C2E9B"/>
    <w:rsid w:val="003F4613"/>
    <w:rsid w:val="00404019"/>
    <w:rsid w:val="00406BBF"/>
    <w:rsid w:val="004076C4"/>
    <w:rsid w:val="00413226"/>
    <w:rsid w:val="00436F2C"/>
    <w:rsid w:val="00452FD5"/>
    <w:rsid w:val="00464C49"/>
    <w:rsid w:val="0047780F"/>
    <w:rsid w:val="0049466E"/>
    <w:rsid w:val="004A0D1B"/>
    <w:rsid w:val="00503CB9"/>
    <w:rsid w:val="0052081B"/>
    <w:rsid w:val="005305AA"/>
    <w:rsid w:val="00543C17"/>
    <w:rsid w:val="005A1E75"/>
    <w:rsid w:val="005E7267"/>
    <w:rsid w:val="00606069"/>
    <w:rsid w:val="006335B1"/>
    <w:rsid w:val="0065328A"/>
    <w:rsid w:val="0065686E"/>
    <w:rsid w:val="00676D84"/>
    <w:rsid w:val="00677ACC"/>
    <w:rsid w:val="00694DA7"/>
    <w:rsid w:val="0069775B"/>
    <w:rsid w:val="00747510"/>
    <w:rsid w:val="007708CD"/>
    <w:rsid w:val="00776366"/>
    <w:rsid w:val="00791B51"/>
    <w:rsid w:val="007D2D8F"/>
    <w:rsid w:val="007D55A5"/>
    <w:rsid w:val="007E6DCC"/>
    <w:rsid w:val="007F368D"/>
    <w:rsid w:val="0081388A"/>
    <w:rsid w:val="00834F90"/>
    <w:rsid w:val="00857CFC"/>
    <w:rsid w:val="00872D30"/>
    <w:rsid w:val="008871FD"/>
    <w:rsid w:val="00894090"/>
    <w:rsid w:val="00897BF1"/>
    <w:rsid w:val="008A0993"/>
    <w:rsid w:val="008A6F11"/>
    <w:rsid w:val="008C462E"/>
    <w:rsid w:val="008E6199"/>
    <w:rsid w:val="009437CE"/>
    <w:rsid w:val="009540EF"/>
    <w:rsid w:val="00973144"/>
    <w:rsid w:val="00982B16"/>
    <w:rsid w:val="00994FB3"/>
    <w:rsid w:val="009B1885"/>
    <w:rsid w:val="009C06E4"/>
    <w:rsid w:val="009C4934"/>
    <w:rsid w:val="00A05C10"/>
    <w:rsid w:val="00A33227"/>
    <w:rsid w:val="00A33CBB"/>
    <w:rsid w:val="00A33D93"/>
    <w:rsid w:val="00A356EA"/>
    <w:rsid w:val="00A36751"/>
    <w:rsid w:val="00A408B1"/>
    <w:rsid w:val="00A5112A"/>
    <w:rsid w:val="00A72904"/>
    <w:rsid w:val="00A84E67"/>
    <w:rsid w:val="00A8715A"/>
    <w:rsid w:val="00A90C4B"/>
    <w:rsid w:val="00AC6E9D"/>
    <w:rsid w:val="00AD0A03"/>
    <w:rsid w:val="00AF0829"/>
    <w:rsid w:val="00B15EFB"/>
    <w:rsid w:val="00B26202"/>
    <w:rsid w:val="00B67916"/>
    <w:rsid w:val="00B9160A"/>
    <w:rsid w:val="00BB20D6"/>
    <w:rsid w:val="00BB309B"/>
    <w:rsid w:val="00BB7D80"/>
    <w:rsid w:val="00BE460E"/>
    <w:rsid w:val="00BE6924"/>
    <w:rsid w:val="00BE7D64"/>
    <w:rsid w:val="00C32EAE"/>
    <w:rsid w:val="00C41587"/>
    <w:rsid w:val="00C8639F"/>
    <w:rsid w:val="00C91B6E"/>
    <w:rsid w:val="00CB63F2"/>
    <w:rsid w:val="00CC3DA3"/>
    <w:rsid w:val="00CD051F"/>
    <w:rsid w:val="00D333C7"/>
    <w:rsid w:val="00D342E7"/>
    <w:rsid w:val="00D46546"/>
    <w:rsid w:val="00D80CF2"/>
    <w:rsid w:val="00D934CD"/>
    <w:rsid w:val="00DA2B41"/>
    <w:rsid w:val="00DA3753"/>
    <w:rsid w:val="00DA5452"/>
    <w:rsid w:val="00DB519C"/>
    <w:rsid w:val="00DC6E96"/>
    <w:rsid w:val="00DF7FC2"/>
    <w:rsid w:val="00E06674"/>
    <w:rsid w:val="00E11E65"/>
    <w:rsid w:val="00E3511A"/>
    <w:rsid w:val="00E41E3F"/>
    <w:rsid w:val="00E51892"/>
    <w:rsid w:val="00E52427"/>
    <w:rsid w:val="00E564C6"/>
    <w:rsid w:val="00E62059"/>
    <w:rsid w:val="00E65CF6"/>
    <w:rsid w:val="00E71BC8"/>
    <w:rsid w:val="00E72A91"/>
    <w:rsid w:val="00E816DB"/>
    <w:rsid w:val="00E9777F"/>
    <w:rsid w:val="00EA2FF1"/>
    <w:rsid w:val="00EC1F49"/>
    <w:rsid w:val="00EC6A96"/>
    <w:rsid w:val="00ED6DCA"/>
    <w:rsid w:val="00EE1294"/>
    <w:rsid w:val="00EE3B94"/>
    <w:rsid w:val="00F7253C"/>
    <w:rsid w:val="00F776DE"/>
    <w:rsid w:val="00FE78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38F1F"/>
  <w15:chartTrackingRefBased/>
  <w15:docId w15:val="{C6A2E083-F779-4029-95E3-AE1BCDA2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F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A6F11"/>
    <w:rPr>
      <w:color w:val="0563C1" w:themeColor="hyperlink"/>
      <w:u w:val="single"/>
    </w:rPr>
  </w:style>
  <w:style w:type="paragraph" w:styleId="a4">
    <w:name w:val="footnote text"/>
    <w:aliases w:val="Fußnotentext arial,Podrozdział,stile 1,Footnote2,Footnote3,Footnote4,Footnote5,Footnote6,Footnote7,Footnote8,Footnote9,Footnote10,Footnote11,Footnote21,Footnote31,Footnote41,Footnote51,Footnote61,Footnote71,Footnote81,Footnote91"/>
    <w:basedOn w:val="a"/>
    <w:link w:val="a5"/>
    <w:uiPriority w:val="99"/>
    <w:unhideWhenUsed/>
    <w:rsid w:val="008A6F11"/>
    <w:pPr>
      <w:spacing w:after="0" w:line="240" w:lineRule="auto"/>
    </w:pPr>
    <w:rPr>
      <w:sz w:val="20"/>
      <w:szCs w:val="20"/>
    </w:rPr>
  </w:style>
  <w:style w:type="character" w:customStyle="1" w:styleId="a5">
    <w:name w:val="Текст под линия Знак"/>
    <w:aliases w:val="Fußnotentext arial Знак,Podrozdział Знак,stile 1 Знак,Footnote2 Знак,Footnote3 Знак,Footnote4 Знак,Footnote5 Знак,Footnote6 Знак,Footnote7 Знак,Footnote8 Знак,Footnote9 Знак,Footnote10 Знак,Footnote11 Знак,Footnote21 Знак"/>
    <w:basedOn w:val="a0"/>
    <w:link w:val="a4"/>
    <w:uiPriority w:val="99"/>
    <w:rsid w:val="008A6F11"/>
    <w:rPr>
      <w:sz w:val="20"/>
      <w:szCs w:val="20"/>
    </w:rPr>
  </w:style>
  <w:style w:type="character" w:styleId="a6">
    <w:name w:val="footnote reference"/>
    <w:aliases w:val="Footnote symbol,Footnote Reference Superscript,SUPERS,BVI fnr,Appel note de bas de p,Nota,(NECG) Footnote Reference,Voetnootverwijzing,Lábjegyzet-hivatkozás,L?bjegyzet-hivatkoz?s,Char1 Char Char Char Char,ftref"/>
    <w:basedOn w:val="a0"/>
    <w:uiPriority w:val="99"/>
    <w:semiHidden/>
    <w:unhideWhenUsed/>
    <w:rsid w:val="008A6F11"/>
    <w:rPr>
      <w:vertAlign w:val="superscript"/>
    </w:rPr>
  </w:style>
  <w:style w:type="paragraph" w:styleId="a7">
    <w:name w:val="List Paragraph"/>
    <w:basedOn w:val="a"/>
    <w:uiPriority w:val="34"/>
    <w:qFormat/>
    <w:rsid w:val="00333C9B"/>
    <w:pPr>
      <w:ind w:left="720"/>
      <w:contextualSpacing/>
    </w:pPr>
  </w:style>
  <w:style w:type="table" w:styleId="a8">
    <w:name w:val="Table Grid"/>
    <w:basedOn w:val="a1"/>
    <w:uiPriority w:val="59"/>
    <w:rsid w:val="005A1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B26202"/>
    <w:rPr>
      <w:color w:val="605E5C"/>
      <w:shd w:val="clear" w:color="auto" w:fill="E1DFDD"/>
    </w:rPr>
  </w:style>
  <w:style w:type="character" w:styleId="aa">
    <w:name w:val="Emphasis"/>
    <w:basedOn w:val="a0"/>
    <w:uiPriority w:val="20"/>
    <w:qFormat/>
    <w:rsid w:val="00A356EA"/>
    <w:rPr>
      <w:i/>
      <w:iCs/>
    </w:rPr>
  </w:style>
  <w:style w:type="paragraph" w:styleId="ab">
    <w:name w:val="Normal (Web)"/>
    <w:basedOn w:val="a"/>
    <w:uiPriority w:val="99"/>
    <w:semiHidden/>
    <w:unhideWhenUsed/>
    <w:rsid w:val="001911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c">
    <w:name w:val="Strong"/>
    <w:basedOn w:val="a0"/>
    <w:uiPriority w:val="22"/>
    <w:qFormat/>
    <w:rsid w:val="001911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65633">
      <w:bodyDiv w:val="1"/>
      <w:marLeft w:val="0"/>
      <w:marRight w:val="0"/>
      <w:marTop w:val="0"/>
      <w:marBottom w:val="0"/>
      <w:divBdr>
        <w:top w:val="none" w:sz="0" w:space="0" w:color="auto"/>
        <w:left w:val="none" w:sz="0" w:space="0" w:color="auto"/>
        <w:bottom w:val="none" w:sz="0" w:space="0" w:color="auto"/>
        <w:right w:val="none" w:sz="0" w:space="0" w:color="auto"/>
      </w:divBdr>
    </w:div>
    <w:div w:id="227696172">
      <w:bodyDiv w:val="1"/>
      <w:marLeft w:val="0"/>
      <w:marRight w:val="0"/>
      <w:marTop w:val="0"/>
      <w:marBottom w:val="0"/>
      <w:divBdr>
        <w:top w:val="none" w:sz="0" w:space="0" w:color="auto"/>
        <w:left w:val="none" w:sz="0" w:space="0" w:color="auto"/>
        <w:bottom w:val="none" w:sz="0" w:space="0" w:color="auto"/>
        <w:right w:val="none" w:sz="0" w:space="0" w:color="auto"/>
      </w:divBdr>
      <w:divsChild>
        <w:div w:id="725491427">
          <w:marLeft w:val="547"/>
          <w:marRight w:val="0"/>
          <w:marTop w:val="0"/>
          <w:marBottom w:val="0"/>
          <w:divBdr>
            <w:top w:val="none" w:sz="0" w:space="0" w:color="auto"/>
            <w:left w:val="none" w:sz="0" w:space="0" w:color="auto"/>
            <w:bottom w:val="none" w:sz="0" w:space="0" w:color="auto"/>
            <w:right w:val="none" w:sz="0" w:space="0" w:color="auto"/>
          </w:divBdr>
        </w:div>
      </w:divsChild>
    </w:div>
    <w:div w:id="325330491">
      <w:bodyDiv w:val="1"/>
      <w:marLeft w:val="0"/>
      <w:marRight w:val="0"/>
      <w:marTop w:val="0"/>
      <w:marBottom w:val="0"/>
      <w:divBdr>
        <w:top w:val="none" w:sz="0" w:space="0" w:color="auto"/>
        <w:left w:val="none" w:sz="0" w:space="0" w:color="auto"/>
        <w:bottom w:val="none" w:sz="0" w:space="0" w:color="auto"/>
        <w:right w:val="none" w:sz="0" w:space="0" w:color="auto"/>
      </w:divBdr>
    </w:div>
    <w:div w:id="175388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9781137481114" TargetMode="External"/><Relationship Id="rId13" Type="http://schemas.openxmlformats.org/officeDocument/2006/relationships/hyperlink" Target="mailto:m.ilcheva@ts.uni-vt.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ivil-protection-knowledge-network.europa.eu/stories/safe-village-safe-people-working-local-communi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72tuntia.fi/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07/s10464-007-9156-6" TargetMode="External"/><Relationship Id="rId4" Type="http://schemas.openxmlformats.org/officeDocument/2006/relationships/settings" Target="settings.xml"/><Relationship Id="rId9" Type="http://schemas.openxmlformats.org/officeDocument/2006/relationships/hyperlink" Target="https://doi.org/10.1080/21693293.2013.765741" TargetMode="Externa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2142B-6063-45DB-9B19-3716615C2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10</Pages>
  <Words>3563</Words>
  <Characters>20313</Characters>
  <Application>Microsoft Office Word</Application>
  <DocSecurity>0</DocSecurity>
  <Lines>169</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Mariya  Ilcheva</cp:lastModifiedBy>
  <cp:revision>26</cp:revision>
  <dcterms:created xsi:type="dcterms:W3CDTF">2025-09-08T16:07:00Z</dcterms:created>
  <dcterms:modified xsi:type="dcterms:W3CDTF">2026-09-13T14:03:00Z</dcterms:modified>
</cp:coreProperties>
</file>