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714BFF" w14:textId="78B3C4D5" w:rsidR="003E301D" w:rsidRPr="003E301D" w:rsidRDefault="003E301D" w:rsidP="003E301D">
      <w:pPr>
        <w:jc w:val="center"/>
        <w:rPr>
          <w:b/>
          <w:bCs/>
          <w:sz w:val="32"/>
          <w:szCs w:val="32"/>
          <w:lang w:val="en-US"/>
        </w:rPr>
      </w:pPr>
      <w:r w:rsidRPr="003E301D">
        <w:rPr>
          <w:b/>
          <w:bCs/>
          <w:sz w:val="32"/>
          <w:szCs w:val="32"/>
          <w:lang w:val="en-US"/>
        </w:rPr>
        <w:t>ГЕОПОЛИТИЧЕСКОТО СЪПЕРНИЧЕСТВО МЕЖДУ РУСИЯ И ЗАПАДА В АФРИКА: ТРАНСФОРМАЦИЯ НА ИНСТРУМЕНТИТЕ ЗА СТРАТЕГИЧЕСКО ВЛИЯНИЕ</w:t>
      </w:r>
    </w:p>
    <w:p w14:paraId="347D34A7" w14:textId="77777777" w:rsidR="003E301D" w:rsidRPr="003E301D" w:rsidRDefault="003E301D" w:rsidP="003E301D">
      <w:pPr>
        <w:jc w:val="center"/>
        <w:rPr>
          <w:szCs w:val="28"/>
        </w:rPr>
      </w:pPr>
    </w:p>
    <w:p w14:paraId="13DE7E26" w14:textId="599A3F6F" w:rsidR="008D1109" w:rsidRDefault="008D1109" w:rsidP="00E019C5">
      <w:pPr>
        <w:jc w:val="center"/>
        <w:rPr>
          <w:szCs w:val="28"/>
        </w:rPr>
      </w:pPr>
    </w:p>
    <w:p w14:paraId="0D80780B" w14:textId="14DDAB79" w:rsidR="008D1109" w:rsidRDefault="009B7864" w:rsidP="00E019C5">
      <w:pPr>
        <w:jc w:val="center"/>
        <w:rPr>
          <w:b/>
          <w:bCs/>
          <w:sz w:val="32"/>
          <w:szCs w:val="32"/>
        </w:rPr>
      </w:pPr>
      <w:r>
        <w:rPr>
          <w:b/>
          <w:bCs/>
          <w:sz w:val="32"/>
          <w:szCs w:val="32"/>
        </w:rPr>
        <w:t>Вергиния Атанасова</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50CD7087" w14:textId="4E129B0E" w:rsidR="008D1109" w:rsidRDefault="00324D34" w:rsidP="00E019C5">
      <w:pPr>
        <w:jc w:val="center"/>
        <w:rPr>
          <w:b/>
          <w:bCs/>
          <w:sz w:val="32"/>
          <w:szCs w:val="32"/>
          <w:lang w:val="en-US"/>
        </w:rPr>
      </w:pPr>
      <w:r w:rsidRPr="00324D34">
        <w:rPr>
          <w:b/>
          <w:bCs/>
          <w:sz w:val="32"/>
          <w:szCs w:val="32"/>
        </w:rPr>
        <w:t>THE GEOPOLITICAL RIVALRY BETWEEN RUSSIA AND THE WEST IN AFRICA: TRANSFORMATION OF THE INSTRUMENTS OF STRATEGIC INFLUENCE</w:t>
      </w:r>
    </w:p>
    <w:p w14:paraId="22751C3F" w14:textId="2A3FBF33" w:rsidR="008D1109" w:rsidRDefault="008D1109" w:rsidP="00E019C5">
      <w:pPr>
        <w:jc w:val="center"/>
        <w:rPr>
          <w:szCs w:val="28"/>
          <w:lang w:val="en-US"/>
        </w:rPr>
      </w:pPr>
    </w:p>
    <w:p w14:paraId="6A96D3F4" w14:textId="2476B74A" w:rsidR="00274819" w:rsidRPr="009B7864" w:rsidRDefault="009B7864" w:rsidP="00E019C5">
      <w:pPr>
        <w:jc w:val="center"/>
        <w:rPr>
          <w:b/>
          <w:bCs/>
          <w:sz w:val="32"/>
          <w:szCs w:val="32"/>
          <w:lang w:val="en-US"/>
        </w:rPr>
      </w:pPr>
      <w:r>
        <w:rPr>
          <w:b/>
          <w:bCs/>
          <w:sz w:val="32"/>
          <w:szCs w:val="32"/>
          <w:lang w:val="en-US"/>
        </w:rPr>
        <w:t>Verginiya Atanasova</w:t>
      </w:r>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1B979C13" w14:textId="3CDFDBFD" w:rsidR="00274819" w:rsidRPr="00C95111" w:rsidRDefault="00274819" w:rsidP="003004BD">
      <w:pPr>
        <w:ind w:firstLine="567"/>
        <w:jc w:val="both"/>
        <w:rPr>
          <w:bCs/>
          <w:i/>
          <w:iCs/>
          <w:sz w:val="24"/>
        </w:rPr>
      </w:pPr>
      <w:r>
        <w:rPr>
          <w:b/>
          <w:bCs/>
          <w:i/>
          <w:iCs/>
          <w:sz w:val="24"/>
        </w:rPr>
        <w:t>Резюме:</w:t>
      </w:r>
      <w:r>
        <w:rPr>
          <w:i/>
          <w:iCs/>
          <w:sz w:val="24"/>
        </w:rPr>
        <w:t xml:space="preserve"> </w:t>
      </w:r>
      <w:r w:rsidR="00C95111" w:rsidRPr="00C95111">
        <w:rPr>
          <w:bCs/>
          <w:i/>
          <w:iCs/>
          <w:sz w:val="24"/>
        </w:rPr>
        <w:t>Докладът анализира геополитическото съперничество</w:t>
      </w:r>
      <w:r w:rsidR="00970CED" w:rsidRPr="00C95111">
        <w:rPr>
          <w:bCs/>
          <w:i/>
          <w:iCs/>
          <w:sz w:val="24"/>
        </w:rPr>
        <w:t xml:space="preserve"> между Запада и Русия в Африка. Докато западният подход, базиран на </w:t>
      </w:r>
      <w:r w:rsidR="00E07999" w:rsidRPr="00E07999">
        <w:rPr>
          <w:bCs/>
          <w:i/>
          <w:iCs/>
          <w:sz w:val="24"/>
        </w:rPr>
        <w:t>политическа обусловеност</w:t>
      </w:r>
      <w:r w:rsidR="00970CED" w:rsidRPr="00C95111">
        <w:rPr>
          <w:bCs/>
          <w:i/>
          <w:iCs/>
          <w:sz w:val="24"/>
        </w:rPr>
        <w:t>, търпи криза, Русия прилага асиметричен прагматичен модел – „сигурност срещу ресурси“. Експлоатирайки нуждата от оцеляване на местните режими, Москва разширява в</w:t>
      </w:r>
      <w:r w:rsidR="00C95111" w:rsidRPr="00C95111">
        <w:rPr>
          <w:bCs/>
          <w:i/>
          <w:iCs/>
          <w:sz w:val="24"/>
        </w:rPr>
        <w:t>лиянието си чрез паравоенни формирования</w:t>
      </w:r>
      <w:r w:rsidR="00970CED" w:rsidRPr="00C95111">
        <w:rPr>
          <w:bCs/>
          <w:i/>
          <w:iCs/>
          <w:sz w:val="24"/>
        </w:rPr>
        <w:t xml:space="preserve"> и хибридни операции на фона на заси</w:t>
      </w:r>
      <w:r w:rsidR="00C95111" w:rsidRPr="00C95111">
        <w:rPr>
          <w:bCs/>
          <w:i/>
          <w:iCs/>
          <w:sz w:val="24"/>
        </w:rPr>
        <w:t xml:space="preserve">лваща се </w:t>
      </w:r>
      <w:r w:rsidR="001C36CF">
        <w:rPr>
          <w:bCs/>
          <w:i/>
          <w:iCs/>
          <w:sz w:val="24"/>
          <w:lang w:val="en-US"/>
        </w:rPr>
        <w:t>“</w:t>
      </w:r>
      <w:r w:rsidR="00C95111" w:rsidRPr="00C95111">
        <w:rPr>
          <w:bCs/>
          <w:i/>
          <w:iCs/>
          <w:sz w:val="24"/>
        </w:rPr>
        <w:t>африканска субектност</w:t>
      </w:r>
      <w:r w:rsidR="001C36CF">
        <w:rPr>
          <w:bCs/>
          <w:i/>
          <w:iCs/>
          <w:sz w:val="24"/>
          <w:lang w:val="en-US"/>
        </w:rPr>
        <w:t>”</w:t>
      </w:r>
      <w:r w:rsidR="00C95111" w:rsidRPr="00C95111">
        <w:rPr>
          <w:bCs/>
          <w:i/>
          <w:iCs/>
          <w:sz w:val="24"/>
        </w:rPr>
        <w:t xml:space="preserve">, </w:t>
      </w:r>
      <w:r w:rsidR="00970CED" w:rsidRPr="00C95111">
        <w:rPr>
          <w:bCs/>
          <w:i/>
          <w:iCs/>
          <w:sz w:val="24"/>
        </w:rPr>
        <w:t>предизвиквайки дестабилизация и нови рискове за евроатлантическата сигурност.</w:t>
      </w:r>
    </w:p>
    <w:p w14:paraId="29DBD415" w14:textId="71640005" w:rsidR="00274819" w:rsidRDefault="00274819" w:rsidP="003004BD">
      <w:pPr>
        <w:ind w:firstLine="567"/>
        <w:jc w:val="both"/>
        <w:rPr>
          <w:szCs w:val="28"/>
        </w:rPr>
      </w:pPr>
    </w:p>
    <w:p w14:paraId="1C4C185B" w14:textId="77777777" w:rsidR="00C95111" w:rsidRPr="00C95111" w:rsidRDefault="00274819" w:rsidP="00C95111">
      <w:pPr>
        <w:ind w:firstLine="567"/>
        <w:jc w:val="both"/>
        <w:rPr>
          <w:bCs/>
          <w:i/>
          <w:iCs/>
          <w:sz w:val="24"/>
        </w:rPr>
      </w:pPr>
      <w:r>
        <w:rPr>
          <w:b/>
          <w:bCs/>
          <w:i/>
          <w:iCs/>
          <w:sz w:val="24"/>
        </w:rPr>
        <w:t>Ключови думи:</w:t>
      </w:r>
      <w:r w:rsidR="00C95111">
        <w:rPr>
          <w:i/>
          <w:iCs/>
          <w:sz w:val="24"/>
        </w:rPr>
        <w:t xml:space="preserve"> </w:t>
      </w:r>
      <w:r w:rsidR="00C95111" w:rsidRPr="00C95111">
        <w:rPr>
          <w:bCs/>
          <w:i/>
          <w:iCs/>
          <w:sz w:val="24"/>
        </w:rPr>
        <w:t>Африка, геополитика, Русия, Запад, африканска субектност, сигурност, хибридна война, частни военни компании.</w:t>
      </w:r>
    </w:p>
    <w:p w14:paraId="14068DE0" w14:textId="5A7D97ED" w:rsidR="00274819" w:rsidRPr="00C95111" w:rsidRDefault="00274819" w:rsidP="003004BD">
      <w:pPr>
        <w:ind w:firstLine="567"/>
        <w:jc w:val="both"/>
        <w:rPr>
          <w:b/>
          <w:bCs/>
          <w:i/>
          <w:iCs/>
          <w:sz w:val="24"/>
        </w:rPr>
      </w:pPr>
    </w:p>
    <w:p w14:paraId="1F3A38DD" w14:textId="53E305D5" w:rsidR="00274819" w:rsidRPr="00C95111" w:rsidRDefault="00274819" w:rsidP="003004BD">
      <w:pPr>
        <w:ind w:firstLine="567"/>
        <w:jc w:val="both"/>
        <w:rPr>
          <w:bCs/>
          <w:i/>
          <w:iCs/>
          <w:sz w:val="24"/>
        </w:rPr>
      </w:pPr>
      <w:r>
        <w:rPr>
          <w:b/>
          <w:bCs/>
          <w:i/>
          <w:iCs/>
          <w:sz w:val="24"/>
          <w:lang w:val="en-US"/>
        </w:rPr>
        <w:t>Abstract:</w:t>
      </w:r>
      <w:r w:rsidR="00970CED">
        <w:rPr>
          <w:i/>
          <w:iCs/>
          <w:sz w:val="24"/>
          <w:lang w:val="en-US"/>
        </w:rPr>
        <w:t xml:space="preserve"> </w:t>
      </w:r>
      <w:r w:rsidR="00970CED" w:rsidRPr="00C95111">
        <w:rPr>
          <w:bCs/>
          <w:i/>
          <w:iCs/>
          <w:sz w:val="24"/>
        </w:rPr>
        <w:t>This paper analyzes the conceptual clash between the West and Russia in Africa. While the Western normative approach, based on political conditionality, faces a crisis, Russia applies an asymmetric "security for resources" model. Exploiting local regimes' need for survival, Moscow expands its influence via paramilitary forces and hybrid operations amidst growing African agency, causing chain destabilization and generating new risks for Euro-Atlantic security.</w:t>
      </w:r>
    </w:p>
    <w:p w14:paraId="42E0ACE4" w14:textId="405591FA" w:rsidR="00274819" w:rsidRPr="00274819" w:rsidRDefault="00274819" w:rsidP="003004BD">
      <w:pPr>
        <w:ind w:firstLine="567"/>
        <w:jc w:val="both"/>
        <w:rPr>
          <w:szCs w:val="28"/>
          <w:lang w:val="en-US"/>
        </w:rPr>
      </w:pPr>
    </w:p>
    <w:p w14:paraId="54E3CD08" w14:textId="77777777" w:rsidR="00C95111" w:rsidRPr="00C95111" w:rsidRDefault="00274819" w:rsidP="00C95111">
      <w:pPr>
        <w:ind w:firstLine="567"/>
        <w:jc w:val="both"/>
        <w:rPr>
          <w:i/>
          <w:iCs/>
          <w:sz w:val="24"/>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C95111" w:rsidRPr="00C95111">
        <w:rPr>
          <w:i/>
          <w:iCs/>
          <w:sz w:val="24"/>
        </w:rPr>
        <w:t>Africa, geopolitics, Russia, the West, African agency, security, hybrid warfare, private military companies.</w:t>
      </w:r>
    </w:p>
    <w:p w14:paraId="2DCDF3EC" w14:textId="4DADFD25" w:rsidR="00274819" w:rsidRPr="009605D7" w:rsidRDefault="00274819" w:rsidP="00C95111">
      <w:pPr>
        <w:jc w:val="both"/>
        <w:rPr>
          <w:i/>
          <w:iCs/>
          <w:sz w:val="24"/>
          <w:lang w:val="ru-RU"/>
        </w:rPr>
      </w:pPr>
    </w:p>
    <w:p w14:paraId="7E20F9E3" w14:textId="75A87FC3" w:rsidR="00414685" w:rsidRPr="00D736A5" w:rsidRDefault="00324D34" w:rsidP="00D736A5">
      <w:pPr>
        <w:jc w:val="both"/>
        <w:rPr>
          <w:i/>
          <w:szCs w:val="28"/>
          <w:u w:val="single"/>
        </w:rPr>
      </w:pPr>
      <w:r w:rsidRPr="00D736A5">
        <w:rPr>
          <w:b/>
          <w:bCs/>
          <w:i/>
          <w:szCs w:val="28"/>
          <w:u w:val="single"/>
        </w:rPr>
        <w:t xml:space="preserve">1. </w:t>
      </w:r>
      <w:r w:rsidR="00A94E92" w:rsidRPr="00D736A5">
        <w:rPr>
          <w:b/>
          <w:bCs/>
          <w:i/>
          <w:szCs w:val="28"/>
          <w:u w:val="single"/>
        </w:rPr>
        <w:t>Увод: к</w:t>
      </w:r>
      <w:r w:rsidR="00414685" w:rsidRPr="00D736A5">
        <w:rPr>
          <w:b/>
          <w:bCs/>
          <w:i/>
          <w:szCs w:val="28"/>
          <w:u w:val="single"/>
        </w:rPr>
        <w:t>онцептуална рамка на геополитическия сблъсък в Африка</w:t>
      </w:r>
    </w:p>
    <w:p w14:paraId="1B0198AA" w14:textId="40B9F6B5" w:rsidR="00414685" w:rsidRPr="00414685" w:rsidRDefault="00324D34" w:rsidP="000B1D35">
      <w:pPr>
        <w:ind w:firstLine="567"/>
        <w:jc w:val="both"/>
        <w:rPr>
          <w:szCs w:val="28"/>
        </w:rPr>
      </w:pPr>
      <w:r>
        <w:rPr>
          <w:szCs w:val="28"/>
        </w:rPr>
        <w:t>Съвременната архитектура за сигурност в</w:t>
      </w:r>
      <w:r w:rsidR="00414685" w:rsidRPr="00414685">
        <w:rPr>
          <w:szCs w:val="28"/>
        </w:rPr>
        <w:t xml:space="preserve"> Африка претърпява дълбока трансформация, която категорично обезсмисля остарелите модели на класическата постколониална зависимост и блоковото противопоставяне. Континентът вече не е </w:t>
      </w:r>
      <w:r w:rsidR="001C36CF">
        <w:rPr>
          <w:szCs w:val="28"/>
        </w:rPr>
        <w:t xml:space="preserve">част от </w:t>
      </w:r>
      <w:r w:rsidR="00414685" w:rsidRPr="00414685">
        <w:rPr>
          <w:szCs w:val="28"/>
        </w:rPr>
        <w:t>пасивна</w:t>
      </w:r>
      <w:r w:rsidR="001C36CF">
        <w:rPr>
          <w:szCs w:val="28"/>
        </w:rPr>
        <w:t>та</w:t>
      </w:r>
      <w:r w:rsidR="00414685" w:rsidRPr="00414685">
        <w:rPr>
          <w:szCs w:val="28"/>
        </w:rPr>
        <w:t xml:space="preserve"> геополитическа периферия, а се превръща в първостепенна арена на съперничество в услови</w:t>
      </w:r>
      <w:r w:rsidR="001C36CF">
        <w:rPr>
          <w:szCs w:val="28"/>
        </w:rPr>
        <w:t>ята на многополюсен свят</w:t>
      </w:r>
      <w:r w:rsidR="00414685" w:rsidRPr="00414685">
        <w:rPr>
          <w:szCs w:val="28"/>
        </w:rPr>
        <w:t>. В центъра на тази нова реалност стои така наречената африканска субектност (</w:t>
      </w:r>
      <w:r w:rsidR="00414685" w:rsidRPr="00414685">
        <w:rPr>
          <w:i/>
          <w:iCs/>
          <w:szCs w:val="28"/>
        </w:rPr>
        <w:t>African Agency</w:t>
      </w:r>
      <w:r w:rsidR="00414685" w:rsidRPr="00414685">
        <w:rPr>
          <w:szCs w:val="28"/>
        </w:rPr>
        <w:t xml:space="preserve">). Местните управляващи и военни елити категорично отхвърлят ролята си на зависими актьори и обекти на външен диктат. Те действат като прагматични лидери, които използват независимостта на държавите си като инструмент за извличане на </w:t>
      </w:r>
      <w:r w:rsidR="00414685" w:rsidRPr="00414685">
        <w:rPr>
          <w:szCs w:val="28"/>
        </w:rPr>
        <w:lastRenderedPageBreak/>
        <w:t xml:space="preserve">конкретни военни и икономически ползи, целенасочено </w:t>
      </w:r>
      <w:r w:rsidR="00414685" w:rsidRPr="007348AF">
        <w:rPr>
          <w:szCs w:val="28"/>
        </w:rPr>
        <w:t xml:space="preserve">диверсифицирайки </w:t>
      </w:r>
      <w:r w:rsidR="00414685" w:rsidRPr="00414685">
        <w:rPr>
          <w:szCs w:val="28"/>
        </w:rPr>
        <w:t xml:space="preserve">своите съюзи между Запада, Русия, </w:t>
      </w:r>
      <w:r w:rsidR="000B1D35">
        <w:rPr>
          <w:szCs w:val="28"/>
        </w:rPr>
        <w:t>Китай и новите регионални сили.</w:t>
      </w:r>
    </w:p>
    <w:p w14:paraId="6C7F1BF1" w14:textId="1F17F45C" w:rsidR="00414685" w:rsidRPr="00414685" w:rsidRDefault="00414685" w:rsidP="000B1D35">
      <w:pPr>
        <w:ind w:firstLine="567"/>
        <w:jc w:val="both"/>
        <w:rPr>
          <w:szCs w:val="28"/>
        </w:rPr>
      </w:pPr>
      <w:r w:rsidRPr="00414685">
        <w:rPr>
          <w:szCs w:val="28"/>
        </w:rPr>
        <w:t>Катализатор на тази стратегическа преориентация е ескалацията на войната в Украйна след февруари 2022 г. Конфликтът в Източна Европа разшири географския си обхват, пренасяйки съперничеството на африканска територия. Това напрежение прерасна в директни въоръжени сблъсъци, превръщайки континента във вторичен фронт на хибридна война. Показателни в това отношение са операциите на украинските специални служби срещу руски въоръжени формирования в Судан, както и разузнавателната подкрепа за сепаратистките сили при нанасянето на тежки загуби на малийската армия и руските наемници край Тинзауатен през юли 2024 г. Тези събития доказват недвусмислено, че кризите в Сахел и Централна Африка са неразривно свързани с общата архитектура н</w:t>
      </w:r>
      <w:r w:rsidR="000B1D35">
        <w:rPr>
          <w:szCs w:val="28"/>
        </w:rPr>
        <w:t>а евроатлантическата сигурност.</w:t>
      </w:r>
    </w:p>
    <w:p w14:paraId="6D9B0CDE" w14:textId="0B000881" w:rsidR="00414685" w:rsidRPr="00414685" w:rsidRDefault="00414685" w:rsidP="000B1D35">
      <w:pPr>
        <w:ind w:firstLine="567"/>
        <w:jc w:val="both"/>
        <w:rPr>
          <w:szCs w:val="28"/>
        </w:rPr>
      </w:pPr>
      <w:r w:rsidRPr="00414685">
        <w:rPr>
          <w:szCs w:val="28"/>
        </w:rPr>
        <w:t>В тази усложнена международна обстановка основната изследователска теза на настоящия доклад е, че стратегическият пробив на Русия в Африка не е количествен, а изцяло качествен и асиметричен. Всъщност, реалният търговски оборот на Руската федерация с африканския континент остава незначителен на фона на този на Китай и ЕС. Успехът на Кремъл се корени в способността му да задоволи специфичен дефицит на местния пазар за сигурност – необходимостта от непосредствена гаранция за фи</w:t>
      </w:r>
      <w:r w:rsidR="00153AC7">
        <w:rPr>
          <w:szCs w:val="28"/>
        </w:rPr>
        <w:t>зическото оцеляване на управляващия</w:t>
      </w:r>
      <w:r w:rsidRPr="00414685">
        <w:rPr>
          <w:szCs w:val="28"/>
        </w:rPr>
        <w:t xml:space="preserve"> елит (</w:t>
      </w:r>
      <w:r w:rsidRPr="00414685">
        <w:rPr>
          <w:i/>
          <w:iCs/>
          <w:szCs w:val="28"/>
        </w:rPr>
        <w:t>regime survival</w:t>
      </w:r>
      <w:r w:rsidRPr="00414685">
        <w:rPr>
          <w:szCs w:val="28"/>
        </w:rPr>
        <w:t>), която рязко контрастира със западната концепция за бавно институционално изграждане на държавата (</w:t>
      </w:r>
      <w:r w:rsidRPr="00414685">
        <w:rPr>
          <w:i/>
          <w:iCs/>
          <w:szCs w:val="28"/>
        </w:rPr>
        <w:t>state security</w:t>
      </w:r>
      <w:r w:rsidR="000B1D35">
        <w:rPr>
          <w:szCs w:val="28"/>
        </w:rPr>
        <w:t>).</w:t>
      </w:r>
    </w:p>
    <w:p w14:paraId="2D15752E" w14:textId="7408418E" w:rsidR="00A77F81" w:rsidRDefault="00414685" w:rsidP="00A77F81">
      <w:pPr>
        <w:ind w:firstLine="567"/>
        <w:jc w:val="both"/>
        <w:rPr>
          <w:szCs w:val="28"/>
        </w:rPr>
      </w:pPr>
      <w:r w:rsidRPr="00414685">
        <w:rPr>
          <w:szCs w:val="28"/>
        </w:rPr>
        <w:t xml:space="preserve">Сблъсъкът между Запада и Русия е фундаментален конфликт на доктрини. От едната страна стои западният подход, основан на демократични правила, който страда от бюрократична </w:t>
      </w:r>
      <w:r w:rsidR="00EF36C5">
        <w:rPr>
          <w:szCs w:val="28"/>
        </w:rPr>
        <w:t>тромавост</w:t>
      </w:r>
      <w:r w:rsidRPr="00414685">
        <w:rPr>
          <w:szCs w:val="28"/>
        </w:rPr>
        <w:t xml:space="preserve"> и обвързва военната подкрепа със строги условия. Срещу него Русия противопоставя прагматичен модел на директно договаряне, лишен от идеологически изисквания, предлагащ ускорени доставки на тежко въоръжение, лична охрана </w:t>
      </w:r>
      <w:r w:rsidR="00D6066E">
        <w:rPr>
          <w:szCs w:val="28"/>
        </w:rPr>
        <w:t xml:space="preserve">на държавни ръководители и техните семейства чрез </w:t>
      </w:r>
      <w:r w:rsidR="00D736A5">
        <w:rPr>
          <w:szCs w:val="28"/>
        </w:rPr>
        <w:t xml:space="preserve">„Африкански корпус“, </w:t>
      </w:r>
      <w:r w:rsidRPr="00414685">
        <w:rPr>
          <w:szCs w:val="28"/>
        </w:rPr>
        <w:t>агресивни информационни кампании и безусловен дипломатически чадър в Съвета за сигурност на ОО</w:t>
      </w:r>
      <w:r w:rsidR="00A77F81">
        <w:rPr>
          <w:szCs w:val="28"/>
        </w:rPr>
        <w:t>Н.</w:t>
      </w:r>
    </w:p>
    <w:p w14:paraId="61FC5749" w14:textId="4003830F" w:rsidR="00414685" w:rsidRPr="00414685" w:rsidRDefault="00414685" w:rsidP="00BB7A2F">
      <w:pPr>
        <w:ind w:firstLine="567"/>
        <w:jc w:val="both"/>
        <w:rPr>
          <w:szCs w:val="28"/>
        </w:rPr>
      </w:pPr>
      <w:r w:rsidRPr="00414685">
        <w:rPr>
          <w:szCs w:val="28"/>
        </w:rPr>
        <w:t>Основната цел на доклада е да направи задълбочен военно-политически анализ на съперничеството между обусловената от ценности политика на Запада и силовия прагматизъм на Русия.</w:t>
      </w:r>
      <w:r w:rsidR="00661F80">
        <w:rPr>
          <w:szCs w:val="28"/>
        </w:rPr>
        <w:t xml:space="preserve"> </w:t>
      </w:r>
      <w:r w:rsidR="007348AF" w:rsidRPr="00A90577">
        <w:rPr>
          <w:szCs w:val="28"/>
        </w:rPr>
        <w:t>Изследването си поставя за задача да</w:t>
      </w:r>
      <w:r w:rsidR="00CA37CB">
        <w:rPr>
          <w:szCs w:val="28"/>
        </w:rPr>
        <w:t xml:space="preserve"> анализира</w:t>
      </w:r>
      <w:r w:rsidR="007348AF" w:rsidRPr="00A90577">
        <w:rPr>
          <w:szCs w:val="28"/>
        </w:rPr>
        <w:t xml:space="preserve"> причините за стратегическия провал и принудителното прекратяване на европейските мисии и мироопазващата операция на ООН в региона на Сахел, да проследи еволюцията на руския модел от паравоенни прокси-структури към официален държавен инструмент и да дефинира вторичните заплахи от този вакуум в сигурността за Югоизточния фланг на НАТО и националната сигурност на Република България. Разбирането на тези процеси е критично за формулирането на нова евроатлантическа стратегия, която да възстанови стратегически</w:t>
      </w:r>
      <w:r w:rsidR="007348AF">
        <w:rPr>
          <w:szCs w:val="28"/>
        </w:rPr>
        <w:t>я</w:t>
      </w:r>
      <w:r w:rsidR="007348AF" w:rsidRPr="00A90577">
        <w:rPr>
          <w:szCs w:val="28"/>
        </w:rPr>
        <w:t xml:space="preserve"> баланс в съседните на Европа региони.</w:t>
      </w:r>
    </w:p>
    <w:p w14:paraId="28AD8461" w14:textId="77777777" w:rsidR="00414685" w:rsidRPr="00D736A5" w:rsidRDefault="00414685" w:rsidP="00D736A5">
      <w:pPr>
        <w:jc w:val="both"/>
        <w:rPr>
          <w:i/>
          <w:szCs w:val="28"/>
          <w:u w:val="single"/>
        </w:rPr>
      </w:pPr>
      <w:r w:rsidRPr="00D736A5">
        <w:rPr>
          <w:b/>
          <w:bCs/>
          <w:i/>
          <w:szCs w:val="28"/>
          <w:u w:val="single"/>
        </w:rPr>
        <w:lastRenderedPageBreak/>
        <w:t>2. Безсилието на традиционния подход: граници на западната политика за сигурност</w:t>
      </w:r>
    </w:p>
    <w:p w14:paraId="0B514CD9" w14:textId="6B95BA8C" w:rsidR="00414685" w:rsidRPr="00D736A5" w:rsidRDefault="00543E64" w:rsidP="00D736A5">
      <w:pPr>
        <w:ind w:firstLine="706"/>
        <w:jc w:val="both"/>
        <w:rPr>
          <w:b/>
        </w:rPr>
      </w:pPr>
      <w:r>
        <w:rPr>
          <w:szCs w:val="28"/>
        </w:rPr>
        <w:t xml:space="preserve"> </w:t>
      </w:r>
      <w:r w:rsidR="00884F21">
        <w:rPr>
          <w:szCs w:val="28"/>
        </w:rPr>
        <w:t>Западният стратегически модел</w:t>
      </w:r>
      <w:r w:rsidR="00414685" w:rsidRPr="00414685">
        <w:rPr>
          <w:szCs w:val="28"/>
        </w:rPr>
        <w:t xml:space="preserve"> в Африка се реализира чрез всеобхватен подход, интегриращ военно-политически, институционални, икономически, н</w:t>
      </w:r>
      <w:r w:rsidR="00DB0547">
        <w:rPr>
          <w:szCs w:val="28"/>
        </w:rPr>
        <w:t xml:space="preserve">аучно-технически и </w:t>
      </w:r>
      <w:r w:rsidR="006858BD">
        <w:rPr>
          <w:szCs w:val="28"/>
        </w:rPr>
        <w:t>информационно</w:t>
      </w:r>
      <w:r w:rsidR="00DB0547">
        <w:rPr>
          <w:szCs w:val="28"/>
        </w:rPr>
        <w:t>-психологически</w:t>
      </w:r>
      <w:r w:rsidR="00414685" w:rsidRPr="00414685">
        <w:rPr>
          <w:szCs w:val="28"/>
        </w:rPr>
        <w:t xml:space="preserve"> инструменти. </w:t>
      </w:r>
      <w:r w:rsidR="00EB3B3B" w:rsidRPr="00EB3B3B">
        <w:rPr>
          <w:szCs w:val="28"/>
        </w:rPr>
        <w:t>Въпреки мащаба на вложените ресурси през последното десетилетие, той демонстрира сист</w:t>
      </w:r>
      <w:r w:rsidR="00736E33">
        <w:rPr>
          <w:szCs w:val="28"/>
        </w:rPr>
        <w:t>емни слабости при прилагането</w:t>
      </w:r>
      <w:r w:rsidR="006858BD">
        <w:rPr>
          <w:szCs w:val="28"/>
        </w:rPr>
        <w:t xml:space="preserve"> </w:t>
      </w:r>
      <w:r w:rsidR="00EB3B3B" w:rsidRPr="00EB3B3B">
        <w:rPr>
          <w:szCs w:val="28"/>
        </w:rPr>
        <w:t>в динамично променящата се среда.</w:t>
      </w:r>
      <w:r w:rsidR="00D736A5">
        <w:rPr>
          <w:b/>
        </w:rPr>
        <w:t xml:space="preserve"> </w:t>
      </w:r>
      <w:r w:rsidR="00EB3B3B">
        <w:rPr>
          <w:szCs w:val="28"/>
        </w:rPr>
        <w:t xml:space="preserve">Тук е </w:t>
      </w:r>
      <w:r w:rsidR="00D736A5">
        <w:rPr>
          <w:szCs w:val="28"/>
        </w:rPr>
        <w:t xml:space="preserve">и </w:t>
      </w:r>
      <w:r w:rsidR="00EB3B3B">
        <w:rPr>
          <w:szCs w:val="28"/>
        </w:rPr>
        <w:t xml:space="preserve">мястото </w:t>
      </w:r>
      <w:r w:rsidR="00884F21">
        <w:rPr>
          <w:szCs w:val="28"/>
        </w:rPr>
        <w:t xml:space="preserve">да направим едно уточнение </w:t>
      </w:r>
      <w:r w:rsidR="00531865">
        <w:rPr>
          <w:szCs w:val="28"/>
        </w:rPr>
        <w:t>–</w:t>
      </w:r>
      <w:r w:rsidR="00884F21">
        <w:rPr>
          <w:szCs w:val="28"/>
        </w:rPr>
        <w:t xml:space="preserve"> в</w:t>
      </w:r>
      <w:r w:rsidR="00550A92" w:rsidRPr="00BF0F3E">
        <w:rPr>
          <w:szCs w:val="28"/>
        </w:rPr>
        <w:t xml:space="preserve"> рамките на настоящия анализ понятието „Запад“ се и</w:t>
      </w:r>
      <w:r w:rsidR="00884F21">
        <w:rPr>
          <w:szCs w:val="28"/>
        </w:rPr>
        <w:t>зползва като събирателно</w:t>
      </w:r>
      <w:r w:rsidR="00EB3B3B">
        <w:rPr>
          <w:szCs w:val="28"/>
        </w:rPr>
        <w:t xml:space="preserve"> понятие</w:t>
      </w:r>
      <w:r w:rsidR="00550A92" w:rsidRPr="00BF0F3E">
        <w:rPr>
          <w:szCs w:val="28"/>
        </w:rPr>
        <w:t>, обхващащо</w:t>
      </w:r>
      <w:r w:rsidR="00884F21">
        <w:rPr>
          <w:szCs w:val="28"/>
        </w:rPr>
        <w:t xml:space="preserve"> основно САЩ, Европейския съюз</w:t>
      </w:r>
      <w:r w:rsidR="00550A92">
        <w:rPr>
          <w:szCs w:val="28"/>
        </w:rPr>
        <w:t xml:space="preserve"> </w:t>
      </w:r>
      <w:r w:rsidR="00A77F81">
        <w:rPr>
          <w:szCs w:val="28"/>
        </w:rPr>
        <w:t xml:space="preserve">и Франция. </w:t>
      </w:r>
      <w:r w:rsidR="00EB3B3B">
        <w:t xml:space="preserve">Макар, че политиките на изброените </w:t>
      </w:r>
      <w:r w:rsidR="00A77F81">
        <w:t xml:space="preserve">невинаги са напълно синхронизирани и често отразяват различни исторически траектории, те споделят обща нормативна и концептуална </w:t>
      </w:r>
      <w:r w:rsidR="00CA37CB">
        <w:t xml:space="preserve">рамка за изграждане на </w:t>
      </w:r>
      <w:r w:rsidR="00A77F81">
        <w:t>държавност</w:t>
      </w:r>
      <w:r w:rsidR="00CA37CB">
        <w:t>та и сигурността в региона</w:t>
      </w:r>
      <w:r w:rsidR="00EB3B3B">
        <w:t>.</w:t>
      </w:r>
      <w:r w:rsidR="00D63A93">
        <w:rPr>
          <w:lang w:val="en-US"/>
        </w:rPr>
        <w:t xml:space="preserve"> </w:t>
      </w:r>
    </w:p>
    <w:p w14:paraId="6476D704" w14:textId="77777777" w:rsidR="00BB7A2F" w:rsidRPr="00D736A5" w:rsidRDefault="00414685" w:rsidP="00D736A5">
      <w:pPr>
        <w:jc w:val="both"/>
        <w:rPr>
          <w:b/>
          <w:bCs/>
          <w:i/>
          <w:szCs w:val="28"/>
          <w:u w:val="single"/>
        </w:rPr>
      </w:pPr>
      <w:r w:rsidRPr="00D736A5">
        <w:rPr>
          <w:b/>
          <w:bCs/>
          <w:i/>
          <w:szCs w:val="28"/>
          <w:u w:val="single"/>
        </w:rPr>
        <w:t>2.1. Загуба на стратегическо предимство: провалът на мисиите в Сахел</w:t>
      </w:r>
    </w:p>
    <w:p w14:paraId="6678D102" w14:textId="75D1C5B0" w:rsidR="00A67402" w:rsidRPr="00531865" w:rsidRDefault="00414685" w:rsidP="006858BD">
      <w:pPr>
        <w:ind w:firstLine="706"/>
        <w:jc w:val="both"/>
        <w:rPr>
          <w:szCs w:val="28"/>
        </w:rPr>
      </w:pPr>
      <w:r w:rsidRPr="00531865">
        <w:rPr>
          <w:szCs w:val="28"/>
        </w:rPr>
        <w:t>Традиционно</w:t>
      </w:r>
      <w:r w:rsidR="00531865" w:rsidRPr="00531865">
        <w:rPr>
          <w:szCs w:val="28"/>
        </w:rPr>
        <w:t>,</w:t>
      </w:r>
      <w:r w:rsidRPr="00531865">
        <w:rPr>
          <w:szCs w:val="28"/>
        </w:rPr>
        <w:t xml:space="preserve"> военно-политическият вектор заема центра</w:t>
      </w:r>
      <w:r w:rsidR="00BB7A2F" w:rsidRPr="00531865">
        <w:rPr>
          <w:szCs w:val="28"/>
        </w:rPr>
        <w:t>лно място в западн</w:t>
      </w:r>
      <w:r w:rsidR="00531865" w:rsidRPr="00531865">
        <w:rPr>
          <w:szCs w:val="28"/>
        </w:rPr>
        <w:t xml:space="preserve">ата </w:t>
      </w:r>
      <w:r w:rsidR="00BB7A2F" w:rsidRPr="00531865">
        <w:rPr>
          <w:szCs w:val="28"/>
        </w:rPr>
        <w:t>концепция</w:t>
      </w:r>
      <w:r w:rsidRPr="00531865">
        <w:rPr>
          <w:szCs w:val="28"/>
        </w:rPr>
        <w:t>, но процес</w:t>
      </w:r>
      <w:r w:rsidR="00531865" w:rsidRPr="00531865">
        <w:rPr>
          <w:szCs w:val="28"/>
        </w:rPr>
        <w:t>ите в региона на Сахел разкриха</w:t>
      </w:r>
      <w:r w:rsidR="00DB0547" w:rsidRPr="00531865">
        <w:rPr>
          <w:szCs w:val="28"/>
          <w:lang w:val="en-US"/>
        </w:rPr>
        <w:t xml:space="preserve"> </w:t>
      </w:r>
      <w:r w:rsidR="00531865" w:rsidRPr="00531865">
        <w:rPr>
          <w:szCs w:val="28"/>
        </w:rPr>
        <w:t xml:space="preserve"> ограничения за реализиране</w:t>
      </w:r>
      <w:r w:rsidR="00A77F81" w:rsidRPr="00531865">
        <w:rPr>
          <w:szCs w:val="28"/>
        </w:rPr>
        <w:t xml:space="preserve"> на военни операции</w:t>
      </w:r>
      <w:r w:rsidR="00A67402" w:rsidRPr="00531865">
        <w:rPr>
          <w:szCs w:val="28"/>
        </w:rPr>
        <w:t>.</w:t>
      </w:r>
      <w:r w:rsidR="00A77F81" w:rsidRPr="00531865">
        <w:rPr>
          <w:szCs w:val="28"/>
        </w:rPr>
        <w:t xml:space="preserve"> Френската антитерористична операция </w:t>
      </w:r>
      <w:r w:rsidR="00A77F81" w:rsidRPr="00531865">
        <w:rPr>
          <w:i/>
          <w:iCs/>
          <w:szCs w:val="28"/>
        </w:rPr>
        <w:t>Serval</w:t>
      </w:r>
      <w:r w:rsidR="00A77F81" w:rsidRPr="00531865">
        <w:rPr>
          <w:szCs w:val="28"/>
        </w:rPr>
        <w:t xml:space="preserve"> (2013 г.) в Мали</w:t>
      </w:r>
      <w:r w:rsidR="00736E33" w:rsidRPr="00531865">
        <w:rPr>
          <w:szCs w:val="28"/>
        </w:rPr>
        <w:t xml:space="preserve"> постигна първоначалната си цел,  т.е. </w:t>
      </w:r>
      <w:r w:rsidR="00A77F81" w:rsidRPr="00531865">
        <w:rPr>
          <w:szCs w:val="28"/>
        </w:rPr>
        <w:t xml:space="preserve">да спре джихадистката офанзива към Бамако, но последвалата трансформация на мандата ѝ в дългосрочната операция </w:t>
      </w:r>
      <w:r w:rsidR="00A77F81" w:rsidRPr="00531865">
        <w:rPr>
          <w:i/>
          <w:iCs/>
          <w:szCs w:val="28"/>
        </w:rPr>
        <w:t>Barkhane</w:t>
      </w:r>
      <w:r w:rsidR="00A77F81" w:rsidRPr="00531865">
        <w:rPr>
          <w:szCs w:val="28"/>
        </w:rPr>
        <w:t xml:space="preserve"> доведе до класическо стратегическо свръхангажиране (strategic overstretch). </w:t>
      </w:r>
      <w:r w:rsidRPr="00B56B9E">
        <w:rPr>
          <w:szCs w:val="28"/>
        </w:rPr>
        <w:t>Паралелно с това, мисиите на ЕС</w:t>
      </w:r>
      <w:r w:rsidR="007651F4" w:rsidRPr="00B56B9E">
        <w:rPr>
          <w:szCs w:val="28"/>
        </w:rPr>
        <w:t xml:space="preserve"> за „изграждане на капацитет“ </w:t>
      </w:r>
      <w:r w:rsidR="00BB7A2F" w:rsidRPr="00B56B9E">
        <w:t xml:space="preserve">(Capacity Building) – </w:t>
      </w:r>
      <w:r w:rsidRPr="00B56B9E">
        <w:rPr>
          <w:i/>
          <w:iCs/>
          <w:szCs w:val="28"/>
        </w:rPr>
        <w:t>EUTM Mali</w:t>
      </w:r>
      <w:r w:rsidR="00BB7A2F" w:rsidRPr="00B56B9E">
        <w:rPr>
          <w:szCs w:val="28"/>
        </w:rPr>
        <w:t xml:space="preserve"> и </w:t>
      </w:r>
      <w:r w:rsidRPr="00B56B9E">
        <w:rPr>
          <w:i/>
          <w:iCs/>
          <w:szCs w:val="28"/>
        </w:rPr>
        <w:t>EUCAP Sahel</w:t>
      </w:r>
      <w:r w:rsidRPr="00B56B9E">
        <w:rPr>
          <w:szCs w:val="28"/>
        </w:rPr>
        <w:t xml:space="preserve"> </w:t>
      </w:r>
      <w:r w:rsidR="00BB7A2F" w:rsidRPr="00B56B9E">
        <w:rPr>
          <w:szCs w:val="28"/>
        </w:rPr>
        <w:t xml:space="preserve">– </w:t>
      </w:r>
      <w:r w:rsidR="009F7693" w:rsidRPr="00B56B9E">
        <w:rPr>
          <w:szCs w:val="28"/>
        </w:rPr>
        <w:t>бяха осъществени с</w:t>
      </w:r>
      <w:r w:rsidRPr="00B56B9E">
        <w:rPr>
          <w:szCs w:val="28"/>
        </w:rPr>
        <w:t xml:space="preserve"> противоречивата концепция</w:t>
      </w:r>
      <w:r w:rsidR="00B56B9E" w:rsidRPr="00B56B9E">
        <w:rPr>
          <w:szCs w:val="28"/>
        </w:rPr>
        <w:t>:</w:t>
      </w:r>
      <w:r w:rsidR="009F7693" w:rsidRPr="00B56B9E">
        <w:rPr>
          <w:szCs w:val="28"/>
        </w:rPr>
        <w:t xml:space="preserve"> </w:t>
      </w:r>
      <w:r w:rsidRPr="00B56B9E">
        <w:rPr>
          <w:szCs w:val="28"/>
        </w:rPr>
        <w:t>„обучение без въоръжаване“ (</w:t>
      </w:r>
      <w:r w:rsidRPr="00B56B9E">
        <w:rPr>
          <w:i/>
          <w:iCs/>
          <w:szCs w:val="28"/>
        </w:rPr>
        <w:t>train-but-not-equip</w:t>
      </w:r>
      <w:r w:rsidR="009F7693" w:rsidRPr="00B56B9E">
        <w:rPr>
          <w:szCs w:val="28"/>
        </w:rPr>
        <w:t>).</w:t>
      </w:r>
      <w:r w:rsidRPr="00B56B9E">
        <w:rPr>
          <w:szCs w:val="28"/>
        </w:rPr>
        <w:t xml:space="preserve"> </w:t>
      </w:r>
      <w:r w:rsidR="009F7693" w:rsidRPr="00B56B9E">
        <w:rPr>
          <w:szCs w:val="28"/>
        </w:rPr>
        <w:t xml:space="preserve">Те </w:t>
      </w:r>
      <w:r w:rsidR="00085AD1">
        <w:rPr>
          <w:szCs w:val="28"/>
        </w:rPr>
        <w:t>подготвиха</w:t>
      </w:r>
      <w:r w:rsidRPr="00B56B9E">
        <w:rPr>
          <w:szCs w:val="28"/>
        </w:rPr>
        <w:t xml:space="preserve"> местни </w:t>
      </w:r>
      <w:r w:rsidR="009F7693" w:rsidRPr="00B56B9E">
        <w:rPr>
          <w:szCs w:val="28"/>
        </w:rPr>
        <w:t xml:space="preserve">войскови </w:t>
      </w:r>
      <w:r w:rsidR="006858BD">
        <w:rPr>
          <w:szCs w:val="28"/>
        </w:rPr>
        <w:t>части</w:t>
      </w:r>
      <w:r w:rsidRPr="00B56B9E">
        <w:rPr>
          <w:szCs w:val="28"/>
        </w:rPr>
        <w:t>, к</w:t>
      </w:r>
      <w:r w:rsidR="00085AD1">
        <w:rPr>
          <w:szCs w:val="28"/>
        </w:rPr>
        <w:t>оито впоследствие бяха изпратени</w:t>
      </w:r>
      <w:r w:rsidRPr="00B56B9E">
        <w:rPr>
          <w:szCs w:val="28"/>
        </w:rPr>
        <w:t xml:space="preserve"> на фронта без и</w:t>
      </w:r>
      <w:r w:rsidR="002411A9" w:rsidRPr="00B56B9E">
        <w:rPr>
          <w:szCs w:val="28"/>
        </w:rPr>
        <w:t xml:space="preserve">нтегрирана въздушна поддръжка, </w:t>
      </w:r>
      <w:r w:rsidRPr="00B56B9E">
        <w:rPr>
          <w:szCs w:val="28"/>
        </w:rPr>
        <w:t>тежка бронетехника</w:t>
      </w:r>
      <w:r w:rsidR="002411A9" w:rsidRPr="00B56B9E">
        <w:rPr>
          <w:szCs w:val="28"/>
        </w:rPr>
        <w:t xml:space="preserve"> и автономно целеуказване</w:t>
      </w:r>
      <w:r w:rsidRPr="00B56B9E">
        <w:rPr>
          <w:szCs w:val="28"/>
        </w:rPr>
        <w:t xml:space="preserve">. </w:t>
      </w:r>
      <w:r w:rsidR="00085AD1">
        <w:rPr>
          <w:szCs w:val="28"/>
        </w:rPr>
        <w:t>Допълнително</w:t>
      </w:r>
      <w:r w:rsidRPr="00531865">
        <w:rPr>
          <w:szCs w:val="28"/>
        </w:rPr>
        <w:t>, мироопазващата мисия на ООН (</w:t>
      </w:r>
      <w:r w:rsidRPr="00531865">
        <w:rPr>
          <w:i/>
          <w:iCs/>
          <w:szCs w:val="28"/>
        </w:rPr>
        <w:t>MINUSMA</w:t>
      </w:r>
      <w:r w:rsidRPr="00531865">
        <w:rPr>
          <w:szCs w:val="28"/>
        </w:rPr>
        <w:t>) действаше в условията на силно рестриктивни правила за употреба на сила</w:t>
      </w:r>
      <w:r w:rsidR="002411A9" w:rsidRPr="00531865">
        <w:rPr>
          <w:szCs w:val="28"/>
        </w:rPr>
        <w:t xml:space="preserve"> (Rules of Engagement)</w:t>
      </w:r>
      <w:r w:rsidRPr="00531865">
        <w:rPr>
          <w:szCs w:val="28"/>
        </w:rPr>
        <w:t xml:space="preserve">, </w:t>
      </w:r>
      <w:r w:rsidR="00A67402" w:rsidRPr="00531865">
        <w:rPr>
          <w:szCs w:val="28"/>
        </w:rPr>
        <w:t>превръщайки се по-скоро в статична цел за терористичните мрежи, отколкото в активен гарант за регионалната сигурност.</w:t>
      </w:r>
      <w:r w:rsidRPr="00531865">
        <w:rPr>
          <w:szCs w:val="28"/>
        </w:rPr>
        <w:t xml:space="preserve"> </w:t>
      </w:r>
      <w:r w:rsidR="00A67402" w:rsidRPr="00531865">
        <w:rPr>
          <w:szCs w:val="28"/>
        </w:rPr>
        <w:t xml:space="preserve">Този институционален дефицит доведе до принудителното изтегляне на западните сили от Сахел и закриването на ключовата американска разузнавателна Авиобаза 201 в Нигер през 2024 г. </w:t>
      </w:r>
    </w:p>
    <w:p w14:paraId="442A5095" w14:textId="0DF51FBA" w:rsidR="00736E33" w:rsidRPr="00085AD1" w:rsidRDefault="00A67402" w:rsidP="006858BD">
      <w:pPr>
        <w:pStyle w:val="NormalWeb"/>
        <w:spacing w:before="0" w:beforeAutospacing="0" w:after="0" w:afterAutospacing="0"/>
        <w:ind w:firstLine="706"/>
        <w:jc w:val="both"/>
        <w:rPr>
          <w:sz w:val="28"/>
          <w:szCs w:val="28"/>
        </w:rPr>
      </w:pPr>
      <w:r w:rsidRPr="00085AD1">
        <w:rPr>
          <w:sz w:val="28"/>
          <w:szCs w:val="28"/>
        </w:rPr>
        <w:t>Като компенсаторен механизъм</w:t>
      </w:r>
      <w:r w:rsidR="00414685" w:rsidRPr="00085AD1">
        <w:rPr>
          <w:sz w:val="28"/>
          <w:szCs w:val="28"/>
        </w:rPr>
        <w:t xml:space="preserve"> </w:t>
      </w:r>
      <w:r w:rsidRPr="00085AD1">
        <w:rPr>
          <w:sz w:val="28"/>
          <w:szCs w:val="28"/>
        </w:rPr>
        <w:t xml:space="preserve">и с оглед на обществената чувствителност към военни загуби, </w:t>
      </w:r>
      <w:r w:rsidR="00414685" w:rsidRPr="00085AD1">
        <w:rPr>
          <w:sz w:val="28"/>
          <w:szCs w:val="28"/>
        </w:rPr>
        <w:t xml:space="preserve">Западът все по-често </w:t>
      </w:r>
      <w:r w:rsidR="00085AD1">
        <w:rPr>
          <w:sz w:val="28"/>
          <w:szCs w:val="28"/>
        </w:rPr>
        <w:t xml:space="preserve">започна да </w:t>
      </w:r>
      <w:r w:rsidR="00414685" w:rsidRPr="00085AD1">
        <w:rPr>
          <w:sz w:val="28"/>
          <w:szCs w:val="28"/>
        </w:rPr>
        <w:t>ангажира частни военни компании (Bancroft Global Development, Amentum, Constellis</w:t>
      </w:r>
      <w:r w:rsidR="0084142D" w:rsidRPr="00085AD1">
        <w:rPr>
          <w:sz w:val="28"/>
          <w:szCs w:val="28"/>
        </w:rPr>
        <w:t>, GardaWorld</w:t>
      </w:r>
      <w:r w:rsidR="00414685" w:rsidRPr="00085AD1">
        <w:rPr>
          <w:sz w:val="28"/>
          <w:szCs w:val="28"/>
        </w:rPr>
        <w:t>). Сблъсъкът между западните и руските ЧВК обаче е силно асимет</w:t>
      </w:r>
      <w:r w:rsidR="000319C0" w:rsidRPr="00085AD1">
        <w:rPr>
          <w:sz w:val="28"/>
          <w:szCs w:val="28"/>
        </w:rPr>
        <w:t xml:space="preserve">ричен – докато руските </w:t>
      </w:r>
      <w:r w:rsidR="00414685" w:rsidRPr="00085AD1">
        <w:rPr>
          <w:sz w:val="28"/>
          <w:szCs w:val="28"/>
        </w:rPr>
        <w:t>участват в директни бойн</w:t>
      </w:r>
      <w:r w:rsidR="00D11D8A" w:rsidRPr="00085AD1">
        <w:rPr>
          <w:sz w:val="28"/>
          <w:szCs w:val="28"/>
        </w:rPr>
        <w:t>и дейст</w:t>
      </w:r>
      <w:r w:rsidR="00085AD1">
        <w:rPr>
          <w:sz w:val="28"/>
          <w:szCs w:val="28"/>
        </w:rPr>
        <w:t>вия, западните</w:t>
      </w:r>
      <w:r w:rsidR="00D11D8A" w:rsidRPr="00085AD1">
        <w:rPr>
          <w:sz w:val="28"/>
          <w:szCs w:val="28"/>
        </w:rPr>
        <w:t xml:space="preserve"> </w:t>
      </w:r>
      <w:r w:rsidR="00736E33" w:rsidRPr="00085AD1">
        <w:rPr>
          <w:sz w:val="28"/>
          <w:szCs w:val="28"/>
        </w:rPr>
        <w:t>действат под</w:t>
      </w:r>
      <w:r w:rsidR="00414685" w:rsidRPr="00085AD1">
        <w:rPr>
          <w:sz w:val="28"/>
          <w:szCs w:val="28"/>
        </w:rPr>
        <w:t xml:space="preserve"> строгите международноправни регулаци</w:t>
      </w:r>
      <w:r w:rsidR="002411A9" w:rsidRPr="00085AD1">
        <w:rPr>
          <w:sz w:val="28"/>
          <w:szCs w:val="28"/>
        </w:rPr>
        <w:t>и на Документа от Монтрьо, Международния кодекс за поведение (ICoC) и вът</w:t>
      </w:r>
      <w:r w:rsidR="00736E33" w:rsidRPr="00085AD1">
        <w:rPr>
          <w:sz w:val="28"/>
          <w:szCs w:val="28"/>
        </w:rPr>
        <w:t>решното си законодателство (</w:t>
      </w:r>
      <w:r w:rsidR="00D736A5">
        <w:rPr>
          <w:sz w:val="28"/>
          <w:szCs w:val="28"/>
        </w:rPr>
        <w:t xml:space="preserve">американския </w:t>
      </w:r>
      <w:r w:rsidR="002411A9" w:rsidRPr="00085AD1">
        <w:rPr>
          <w:sz w:val="28"/>
          <w:szCs w:val="28"/>
        </w:rPr>
        <w:t>ITAR)</w:t>
      </w:r>
      <w:r w:rsidR="000319C0" w:rsidRPr="00085AD1">
        <w:rPr>
          <w:sz w:val="28"/>
          <w:szCs w:val="28"/>
        </w:rPr>
        <w:t>,</w:t>
      </w:r>
      <w:r w:rsidR="002411A9" w:rsidRPr="00085AD1">
        <w:rPr>
          <w:sz w:val="28"/>
          <w:szCs w:val="28"/>
        </w:rPr>
        <w:t xml:space="preserve"> о</w:t>
      </w:r>
      <w:r w:rsidR="00803FB1">
        <w:rPr>
          <w:sz w:val="28"/>
          <w:szCs w:val="28"/>
        </w:rPr>
        <w:t>граничавайки ролята си</w:t>
      </w:r>
      <w:r w:rsidR="00414685" w:rsidRPr="00085AD1">
        <w:rPr>
          <w:sz w:val="28"/>
          <w:szCs w:val="28"/>
        </w:rPr>
        <w:t xml:space="preserve"> до</w:t>
      </w:r>
      <w:r w:rsidR="002411A9" w:rsidRPr="00085AD1">
        <w:rPr>
          <w:sz w:val="28"/>
          <w:szCs w:val="28"/>
        </w:rPr>
        <w:t xml:space="preserve"> </w:t>
      </w:r>
      <w:r w:rsidR="00D736A5">
        <w:rPr>
          <w:sz w:val="28"/>
          <w:szCs w:val="28"/>
        </w:rPr>
        <w:t xml:space="preserve">обучение, охрана на </w:t>
      </w:r>
      <w:r w:rsidR="002411A9" w:rsidRPr="00085AD1">
        <w:rPr>
          <w:sz w:val="28"/>
          <w:szCs w:val="28"/>
        </w:rPr>
        <w:t>о</w:t>
      </w:r>
      <w:r w:rsidR="00D736A5">
        <w:rPr>
          <w:sz w:val="28"/>
          <w:szCs w:val="28"/>
        </w:rPr>
        <w:t>бекти</w:t>
      </w:r>
      <w:r w:rsidR="002411A9" w:rsidRPr="00085AD1">
        <w:rPr>
          <w:sz w:val="28"/>
          <w:szCs w:val="28"/>
        </w:rPr>
        <w:t xml:space="preserve"> и лог</w:t>
      </w:r>
      <w:r w:rsidR="00736E33" w:rsidRPr="00085AD1">
        <w:rPr>
          <w:sz w:val="28"/>
          <w:szCs w:val="28"/>
        </w:rPr>
        <w:t>истична поддръжка</w:t>
      </w:r>
      <w:r w:rsidR="00414685" w:rsidRPr="00085AD1">
        <w:rPr>
          <w:sz w:val="28"/>
          <w:szCs w:val="28"/>
        </w:rPr>
        <w:t xml:space="preserve">. </w:t>
      </w:r>
    </w:p>
    <w:p w14:paraId="58601F7E" w14:textId="2A21CE91" w:rsidR="00414685" w:rsidRPr="00E07999" w:rsidRDefault="00414685" w:rsidP="006858BD">
      <w:pPr>
        <w:pStyle w:val="NormalWeb"/>
        <w:spacing w:before="0" w:beforeAutospacing="0" w:after="0" w:afterAutospacing="0"/>
        <w:ind w:firstLine="706"/>
        <w:jc w:val="both"/>
        <w:rPr>
          <w:sz w:val="28"/>
          <w:szCs w:val="28"/>
        </w:rPr>
      </w:pPr>
      <w:r w:rsidRPr="009F7693">
        <w:rPr>
          <w:sz w:val="28"/>
          <w:szCs w:val="28"/>
        </w:rPr>
        <w:t xml:space="preserve">В отговор на геополитическото изтласкване, западното влияние днес се преориентира към изграждането на ключови геостратегически точки – военни центрове в Джибути, Кения и Мароко, буферна зона чрез държавите </w:t>
      </w:r>
      <w:r w:rsidRPr="009F7693">
        <w:rPr>
          <w:sz w:val="28"/>
          <w:szCs w:val="28"/>
        </w:rPr>
        <w:lastRenderedPageBreak/>
        <w:t>от Гвинейския залив (Гана, Кот д'Ивоар, Бенин) и засилено съ</w:t>
      </w:r>
      <w:r w:rsidR="007A27AF" w:rsidRPr="009F7693">
        <w:rPr>
          <w:sz w:val="28"/>
          <w:szCs w:val="28"/>
        </w:rPr>
        <w:t>трудничество с регионални сили</w:t>
      </w:r>
      <w:r w:rsidRPr="009F7693">
        <w:rPr>
          <w:sz w:val="28"/>
          <w:szCs w:val="28"/>
        </w:rPr>
        <w:t xml:space="preserve"> като Нигерия, Египет и Руанда.</w:t>
      </w:r>
      <w:r w:rsidR="00F10489">
        <w:rPr>
          <w:sz w:val="28"/>
          <w:szCs w:val="28"/>
        </w:rPr>
        <w:t xml:space="preserve"> </w:t>
      </w:r>
      <w:r w:rsidR="00E07999" w:rsidRPr="00BF0F3E">
        <w:rPr>
          <w:sz w:val="28"/>
          <w:szCs w:val="28"/>
        </w:rPr>
        <w:t xml:space="preserve">Важно е да се отбележи, че в този процес на преориентация „Западът“ не функционира като единен блок. </w:t>
      </w:r>
      <w:r w:rsidR="00803FB1" w:rsidRPr="00803FB1">
        <w:rPr>
          <w:sz w:val="28"/>
          <w:szCs w:val="28"/>
        </w:rPr>
        <w:t>Докато Франция е натоварена с историческата вина на колониална сила и генерираните срещу нея настроения, държави като САЩ и Италия прилагат по-прагматичен подход за</w:t>
      </w:r>
      <w:r w:rsidR="00803FB1">
        <w:rPr>
          <w:sz w:val="28"/>
          <w:szCs w:val="28"/>
        </w:rPr>
        <w:t xml:space="preserve"> съхраняване на своите позиции. </w:t>
      </w:r>
      <w:r w:rsidR="00E07999" w:rsidRPr="00BF0F3E">
        <w:rPr>
          <w:sz w:val="28"/>
          <w:szCs w:val="28"/>
        </w:rPr>
        <w:t>Показателен в това отношение е италианск</w:t>
      </w:r>
      <w:r w:rsidR="00D736A5">
        <w:rPr>
          <w:sz w:val="28"/>
          <w:szCs w:val="28"/>
        </w:rPr>
        <w:t xml:space="preserve">ият стратегически „План Матей“ </w:t>
      </w:r>
      <w:r w:rsidR="00E07999" w:rsidRPr="00BF0F3E">
        <w:rPr>
          <w:sz w:val="28"/>
          <w:szCs w:val="28"/>
        </w:rPr>
        <w:t xml:space="preserve">за Африка, който има за цел да позиционира Рим като равноправен партньор, </w:t>
      </w:r>
      <w:r w:rsidR="00D736A5">
        <w:rPr>
          <w:sz w:val="28"/>
          <w:szCs w:val="28"/>
        </w:rPr>
        <w:t>н</w:t>
      </w:r>
      <w:r w:rsidR="00D736A5" w:rsidRPr="00BF0F3E">
        <w:rPr>
          <w:sz w:val="28"/>
          <w:szCs w:val="28"/>
        </w:rPr>
        <w:t>еобременен</w:t>
      </w:r>
      <w:r w:rsidR="00E07999" w:rsidRPr="00BF0F3E">
        <w:rPr>
          <w:sz w:val="28"/>
          <w:szCs w:val="28"/>
        </w:rPr>
        <w:t xml:space="preserve"> от исторически колониални зависимости, предлагайки нов модел на сътрудничество без патерналистичен диктат. </w:t>
      </w:r>
    </w:p>
    <w:p w14:paraId="7AA501FB" w14:textId="7160C618" w:rsidR="00414685" w:rsidRPr="00D736A5" w:rsidRDefault="00870A5C" w:rsidP="00D736A5">
      <w:pPr>
        <w:jc w:val="both"/>
        <w:rPr>
          <w:i/>
          <w:szCs w:val="28"/>
          <w:u w:val="single"/>
        </w:rPr>
      </w:pPr>
      <w:r w:rsidRPr="00D736A5">
        <w:rPr>
          <w:b/>
          <w:bCs/>
          <w:i/>
          <w:szCs w:val="28"/>
          <w:u w:val="single"/>
        </w:rPr>
        <w:t>2.2. Парадоксът на политическата обусловеност: ограничения на модела „помощ срещу демократични реформи“</w:t>
      </w:r>
    </w:p>
    <w:p w14:paraId="5BDDFC4C" w14:textId="7E8DE6BF" w:rsidR="00414685" w:rsidRPr="00F10489" w:rsidRDefault="00E07999" w:rsidP="006858BD">
      <w:pPr>
        <w:pStyle w:val="NormalWeb"/>
        <w:spacing w:before="0" w:beforeAutospacing="0" w:after="0" w:afterAutospacing="0"/>
        <w:ind w:firstLine="706"/>
        <w:jc w:val="both"/>
        <w:rPr>
          <w:sz w:val="28"/>
          <w:szCs w:val="28"/>
        </w:rPr>
      </w:pPr>
      <w:r w:rsidRPr="00F10489">
        <w:rPr>
          <w:sz w:val="28"/>
          <w:szCs w:val="28"/>
        </w:rPr>
        <w:t xml:space="preserve">Второто основно ограничение произтича от прилагането на концепцията за Реформа в сектора за сигурност (SSR). Западният </w:t>
      </w:r>
      <w:r w:rsidR="007651F4" w:rsidRPr="00F10489">
        <w:rPr>
          <w:sz w:val="28"/>
          <w:szCs w:val="28"/>
        </w:rPr>
        <w:t>модел</w:t>
      </w:r>
      <w:r w:rsidRPr="00F10489">
        <w:rPr>
          <w:sz w:val="28"/>
          <w:szCs w:val="28"/>
        </w:rPr>
        <w:t xml:space="preserve"> обвързва предоставянето </w:t>
      </w:r>
      <w:r w:rsidR="00BB7A2F" w:rsidRPr="00F10489">
        <w:rPr>
          <w:sz w:val="28"/>
          <w:szCs w:val="28"/>
        </w:rPr>
        <w:t>на военна и финансова помощ с определена</w:t>
      </w:r>
      <w:r w:rsidRPr="00F10489">
        <w:rPr>
          <w:sz w:val="28"/>
          <w:szCs w:val="28"/>
        </w:rPr>
        <w:t xml:space="preserve"> политическа обусловеност – спазване на човешките права, </w:t>
      </w:r>
      <w:r w:rsidR="00645473" w:rsidRPr="00F10489">
        <w:rPr>
          <w:sz w:val="28"/>
          <w:szCs w:val="28"/>
        </w:rPr>
        <w:t>„добро управление“ (</w:t>
      </w:r>
      <w:r w:rsidR="00645473" w:rsidRPr="00F10489">
        <w:rPr>
          <w:sz w:val="28"/>
          <w:szCs w:val="28"/>
          <w:lang w:val="en-US"/>
        </w:rPr>
        <w:t>Good governance</w:t>
      </w:r>
      <w:r w:rsidR="00645473" w:rsidRPr="00F10489">
        <w:rPr>
          <w:sz w:val="28"/>
          <w:szCs w:val="28"/>
        </w:rPr>
        <w:t xml:space="preserve">) и </w:t>
      </w:r>
      <w:r w:rsidRPr="00F10489">
        <w:rPr>
          <w:sz w:val="28"/>
          <w:szCs w:val="28"/>
        </w:rPr>
        <w:t>прозрачност на бюджетите</w:t>
      </w:r>
      <w:r w:rsidR="00BB7A2F" w:rsidRPr="00F10489">
        <w:rPr>
          <w:sz w:val="28"/>
          <w:szCs w:val="28"/>
        </w:rPr>
        <w:t>, както</w:t>
      </w:r>
      <w:r w:rsidRPr="00F10489">
        <w:rPr>
          <w:sz w:val="28"/>
          <w:szCs w:val="28"/>
        </w:rPr>
        <w:t xml:space="preserve"> и не</w:t>
      </w:r>
      <w:r w:rsidR="00BB7A2F" w:rsidRPr="00F10489">
        <w:rPr>
          <w:sz w:val="28"/>
          <w:szCs w:val="28"/>
        </w:rPr>
        <w:t>прекъснат граждански контрол върху</w:t>
      </w:r>
      <w:r w:rsidRPr="00F10489">
        <w:rPr>
          <w:sz w:val="28"/>
          <w:szCs w:val="28"/>
        </w:rPr>
        <w:t xml:space="preserve"> въоръжените сили. </w:t>
      </w:r>
      <w:r w:rsidR="00414685" w:rsidRPr="00F10489">
        <w:rPr>
          <w:sz w:val="28"/>
          <w:szCs w:val="28"/>
        </w:rPr>
        <w:t>В условията на екзистенциална криза за държавността, тази рамка поражда тежък стратегически парадокс. Изграждането на прозрачни институции е бавен процес,</w:t>
      </w:r>
      <w:r w:rsidR="00A27EB8">
        <w:rPr>
          <w:sz w:val="28"/>
          <w:szCs w:val="28"/>
        </w:rPr>
        <w:t xml:space="preserve"> </w:t>
      </w:r>
      <w:r w:rsidR="00414685" w:rsidRPr="00F10489">
        <w:rPr>
          <w:sz w:val="28"/>
          <w:szCs w:val="28"/>
        </w:rPr>
        <w:t>докато африканските правителства се нуждаят от незабавни решения</w:t>
      </w:r>
      <w:r w:rsidR="007651F4" w:rsidRPr="00F10489">
        <w:rPr>
          <w:sz w:val="28"/>
          <w:szCs w:val="28"/>
        </w:rPr>
        <w:t xml:space="preserve"> </w:t>
      </w:r>
      <w:r w:rsidR="00D736A5">
        <w:rPr>
          <w:sz w:val="28"/>
          <w:szCs w:val="28"/>
        </w:rPr>
        <w:t>и военна помощ</w:t>
      </w:r>
      <w:r w:rsidR="00BB7A2F" w:rsidRPr="00F10489">
        <w:rPr>
          <w:sz w:val="28"/>
          <w:szCs w:val="28"/>
        </w:rPr>
        <w:t xml:space="preserve"> „тук и сега</w:t>
      </w:r>
      <w:r w:rsidR="0084142D" w:rsidRPr="00F10489">
        <w:rPr>
          <w:sz w:val="28"/>
          <w:szCs w:val="28"/>
        </w:rPr>
        <w:t>“</w:t>
      </w:r>
      <w:r w:rsidR="007651F4" w:rsidRPr="00F10489">
        <w:rPr>
          <w:sz w:val="28"/>
          <w:szCs w:val="28"/>
        </w:rPr>
        <w:t xml:space="preserve">, за да </w:t>
      </w:r>
      <w:r w:rsidR="00BB7A2F" w:rsidRPr="00F10489">
        <w:rPr>
          <w:sz w:val="28"/>
          <w:szCs w:val="28"/>
        </w:rPr>
        <w:t>възпрат</w:t>
      </w:r>
      <w:r w:rsidR="007651F4" w:rsidRPr="00F10489">
        <w:rPr>
          <w:sz w:val="28"/>
          <w:szCs w:val="28"/>
        </w:rPr>
        <w:t xml:space="preserve"> настъпващите</w:t>
      </w:r>
      <w:r w:rsidR="00BB7A2F" w:rsidRPr="00F10489">
        <w:rPr>
          <w:sz w:val="28"/>
          <w:szCs w:val="28"/>
        </w:rPr>
        <w:t xml:space="preserve"> сепаратист</w:t>
      </w:r>
      <w:r w:rsidR="0081253F">
        <w:rPr>
          <w:sz w:val="28"/>
          <w:szCs w:val="28"/>
        </w:rPr>
        <w:t>и</w:t>
      </w:r>
      <w:r w:rsidR="007651F4" w:rsidRPr="00F10489">
        <w:rPr>
          <w:sz w:val="28"/>
          <w:szCs w:val="28"/>
        </w:rPr>
        <w:t xml:space="preserve">. </w:t>
      </w:r>
      <w:r w:rsidR="00414685" w:rsidRPr="00F10489">
        <w:rPr>
          <w:sz w:val="28"/>
          <w:szCs w:val="28"/>
        </w:rPr>
        <w:t xml:space="preserve"> </w:t>
      </w:r>
      <w:r w:rsidR="00197E9F" w:rsidRPr="00F10489">
        <w:rPr>
          <w:sz w:val="28"/>
          <w:szCs w:val="28"/>
        </w:rPr>
        <w:t>Именно за това н</w:t>
      </w:r>
      <w:r w:rsidR="0084142D" w:rsidRPr="00F10489">
        <w:rPr>
          <w:sz w:val="28"/>
          <w:szCs w:val="28"/>
        </w:rPr>
        <w:t>алагането на ембарго и санк</w:t>
      </w:r>
      <w:r w:rsidR="003921E2" w:rsidRPr="00F10489">
        <w:rPr>
          <w:sz w:val="28"/>
          <w:szCs w:val="28"/>
        </w:rPr>
        <w:t>ции от страна на Запада и ECOWAS</w:t>
      </w:r>
      <w:r w:rsidR="003921E2" w:rsidRPr="00F10489">
        <w:rPr>
          <w:sz w:val="28"/>
          <w:szCs w:val="28"/>
          <w:lang w:val="en-US"/>
        </w:rPr>
        <w:t xml:space="preserve"> (Economic Community of West African States)</w:t>
      </w:r>
      <w:r w:rsidR="0084142D" w:rsidRPr="00F10489">
        <w:rPr>
          <w:sz w:val="28"/>
          <w:szCs w:val="28"/>
        </w:rPr>
        <w:t xml:space="preserve"> спрямо военните хунти в</w:t>
      </w:r>
      <w:r w:rsidR="00A27EB8">
        <w:rPr>
          <w:sz w:val="28"/>
          <w:szCs w:val="28"/>
        </w:rPr>
        <w:t xml:space="preserve"> Мал</w:t>
      </w:r>
      <w:r w:rsidR="00D736A5">
        <w:rPr>
          <w:sz w:val="28"/>
          <w:szCs w:val="28"/>
        </w:rPr>
        <w:t>и, Буркина Фасо и Нигер се счита</w:t>
      </w:r>
      <w:r w:rsidR="0084142D" w:rsidRPr="00F10489">
        <w:rPr>
          <w:sz w:val="28"/>
          <w:szCs w:val="28"/>
        </w:rPr>
        <w:t xml:space="preserve"> от местните елити не като защита на демокрацията, а като неправомерна външна намеса и ограничаване на суверенитета. </w:t>
      </w:r>
    </w:p>
    <w:p w14:paraId="3202D2EA" w14:textId="69D26989" w:rsidR="0081253F" w:rsidRDefault="00A2070C" w:rsidP="00A27EB8">
      <w:pPr>
        <w:ind w:firstLine="706"/>
        <w:jc w:val="both"/>
        <w:rPr>
          <w:szCs w:val="28"/>
        </w:rPr>
      </w:pPr>
      <w:r>
        <w:rPr>
          <w:szCs w:val="28"/>
        </w:rPr>
        <w:t>Въпреки че санкциите</w:t>
      </w:r>
      <w:r w:rsidR="0081253F" w:rsidRPr="00BF0F3E">
        <w:rPr>
          <w:szCs w:val="28"/>
        </w:rPr>
        <w:t xml:space="preserve"> често стъпват върху легитимни африкански правни рамки (като Декларацията от Ломе на Африканския съюз срещу неконституционните смени на властта), Западът прилага тези принципи изключително селективно. Толерирането на едни авторитарни режими на фона на тежките санкции срещу други ерозира </w:t>
      </w:r>
      <w:r w:rsidR="0081253F">
        <w:rPr>
          <w:szCs w:val="28"/>
        </w:rPr>
        <w:t xml:space="preserve">още повече </w:t>
      </w:r>
      <w:r w:rsidR="0081253F" w:rsidRPr="00BF0F3E">
        <w:rPr>
          <w:szCs w:val="28"/>
        </w:rPr>
        <w:t>дипломатическото доверие.</w:t>
      </w:r>
      <w:r w:rsidR="0081253F">
        <w:rPr>
          <w:szCs w:val="28"/>
        </w:rPr>
        <w:t xml:space="preserve"> </w:t>
      </w:r>
      <w:r w:rsidR="00414685" w:rsidRPr="00414685">
        <w:rPr>
          <w:szCs w:val="28"/>
        </w:rPr>
        <w:t>Това отчуждение създаде политически вакуум, в който алтернативни играчи успяха да предложат „сигурност без условия“. Стратегическият залог на този вакуум е глобален: с 54 гласа в Общото събрание на ООН, африканските държави са ключов арбитър. Предоставяйки сигурност, Русия си осигурява политическа лоялност при гласуването на ключови международни резолюции.</w:t>
      </w:r>
      <w:r w:rsidR="00B955AD">
        <w:rPr>
          <w:szCs w:val="28"/>
        </w:rPr>
        <w:t xml:space="preserve"> </w:t>
      </w:r>
    </w:p>
    <w:p w14:paraId="3C130B6C" w14:textId="323EC39A" w:rsidR="00414685" w:rsidRPr="00D736A5" w:rsidRDefault="00870A5C" w:rsidP="00D736A5">
      <w:pPr>
        <w:jc w:val="both"/>
        <w:rPr>
          <w:i/>
          <w:szCs w:val="28"/>
          <w:u w:val="single"/>
        </w:rPr>
      </w:pPr>
      <w:r w:rsidRPr="00D736A5">
        <w:rPr>
          <w:b/>
          <w:bCs/>
          <w:i/>
          <w:szCs w:val="28"/>
          <w:u w:val="single"/>
        </w:rPr>
        <w:t xml:space="preserve">2.3. Институционални и комуникационни дефицити: патернализъм и бюрократична </w:t>
      </w:r>
      <w:r w:rsidR="00EF36C5" w:rsidRPr="00D736A5">
        <w:rPr>
          <w:b/>
          <w:bCs/>
          <w:i/>
          <w:szCs w:val="28"/>
          <w:u w:val="single"/>
        </w:rPr>
        <w:t>тромавост</w:t>
      </w:r>
    </w:p>
    <w:p w14:paraId="3A2F6830" w14:textId="471AEC0F" w:rsidR="006858BD" w:rsidRDefault="00414685" w:rsidP="006858BD">
      <w:pPr>
        <w:ind w:firstLine="706"/>
        <w:jc w:val="both"/>
      </w:pPr>
      <w:r w:rsidRPr="00414685">
        <w:rPr>
          <w:szCs w:val="28"/>
        </w:rPr>
        <w:t xml:space="preserve">Западната стратегия залага на мащабни инфраструктурни проекти (коридора „Лобито“, </w:t>
      </w:r>
      <w:r w:rsidR="00B955AD" w:rsidRPr="00BF0F3E">
        <w:rPr>
          <w:szCs w:val="28"/>
        </w:rPr>
        <w:t xml:space="preserve">инициативата </w:t>
      </w:r>
      <w:r w:rsidR="00B955AD" w:rsidRPr="00BF0F3E">
        <w:rPr>
          <w:i/>
          <w:iCs/>
          <w:szCs w:val="28"/>
        </w:rPr>
        <w:t>Global Gateway</w:t>
      </w:r>
      <w:r w:rsidR="00B955AD">
        <w:rPr>
          <w:szCs w:val="28"/>
        </w:rPr>
        <w:t xml:space="preserve">, </w:t>
      </w:r>
      <w:r w:rsidR="00B955AD" w:rsidRPr="00BF0F3E">
        <w:rPr>
          <w:szCs w:val="28"/>
        </w:rPr>
        <w:t>коридор</w:t>
      </w:r>
      <w:r w:rsidR="00B955AD">
        <w:rPr>
          <w:szCs w:val="28"/>
        </w:rPr>
        <w:t>а</w:t>
      </w:r>
      <w:r w:rsidR="00B955AD" w:rsidRPr="00BF0F3E">
        <w:rPr>
          <w:szCs w:val="28"/>
        </w:rPr>
        <w:t xml:space="preserve"> „Абиджан – Лагос“,</w:t>
      </w:r>
      <w:r w:rsidR="00B955AD">
        <w:rPr>
          <w:szCs w:val="28"/>
        </w:rPr>
        <w:t xml:space="preserve"> </w:t>
      </w:r>
      <w:r w:rsidR="00B955AD" w:rsidRPr="00BF0F3E">
        <w:rPr>
          <w:szCs w:val="28"/>
        </w:rPr>
        <w:t xml:space="preserve"> подводните гигакабели за дигитална свързаност </w:t>
      </w:r>
      <w:r w:rsidR="00B955AD" w:rsidRPr="00BF0F3E">
        <w:rPr>
          <w:i/>
          <w:iCs/>
          <w:szCs w:val="28"/>
        </w:rPr>
        <w:t>2Africa</w:t>
      </w:r>
      <w:r w:rsidR="00B955AD" w:rsidRPr="00BF0F3E">
        <w:rPr>
          <w:szCs w:val="28"/>
        </w:rPr>
        <w:t xml:space="preserve"> и </w:t>
      </w:r>
      <w:r w:rsidR="00B955AD" w:rsidRPr="00BF0F3E">
        <w:rPr>
          <w:i/>
          <w:iCs/>
          <w:szCs w:val="28"/>
        </w:rPr>
        <w:t>Equiano</w:t>
      </w:r>
      <w:r w:rsidR="00B955AD">
        <w:rPr>
          <w:szCs w:val="28"/>
        </w:rPr>
        <w:t>), чиято реализация</w:t>
      </w:r>
      <w:r w:rsidR="006858BD">
        <w:rPr>
          <w:szCs w:val="28"/>
        </w:rPr>
        <w:t xml:space="preserve"> обаче е силно ограничена</w:t>
      </w:r>
      <w:r w:rsidRPr="00414685">
        <w:rPr>
          <w:szCs w:val="28"/>
        </w:rPr>
        <w:t xml:space="preserve"> от задължителното изискване за съответствие със стриктни екологични, социални</w:t>
      </w:r>
      <w:r w:rsidR="006858BD">
        <w:rPr>
          <w:szCs w:val="28"/>
        </w:rPr>
        <w:t xml:space="preserve"> и управленски стандарти (</w:t>
      </w:r>
      <w:r w:rsidR="00B63E13">
        <w:t>ESG</w:t>
      </w:r>
      <w:r w:rsidR="006858BD">
        <w:t xml:space="preserve">). Макар тези изисквания да гарантират дългосрочна устойчивост и </w:t>
      </w:r>
      <w:r w:rsidR="006858BD">
        <w:t xml:space="preserve">да </w:t>
      </w:r>
      <w:r w:rsidR="006858BD">
        <w:lastRenderedPageBreak/>
        <w:t>предпазват африкански</w:t>
      </w:r>
      <w:r w:rsidR="006858BD">
        <w:t>те държави от попадане във финансови</w:t>
      </w:r>
      <w:r w:rsidR="006858BD">
        <w:t xml:space="preserve"> капани (debt traps), те правят западните капитали по-бавни и по-трудни за усвояване в сравнение с бързите, нерегулирани траншове от Изток.</w:t>
      </w:r>
    </w:p>
    <w:p w14:paraId="02AE5507" w14:textId="13F7F385" w:rsidR="00414685" w:rsidRPr="00D86915" w:rsidRDefault="00414685" w:rsidP="008E58AD">
      <w:pPr>
        <w:ind w:firstLine="706"/>
        <w:jc w:val="both"/>
        <w:rPr>
          <w:szCs w:val="28"/>
          <w:lang w:val="en-US"/>
        </w:rPr>
      </w:pPr>
      <w:r w:rsidRPr="00414685">
        <w:rPr>
          <w:szCs w:val="28"/>
        </w:rPr>
        <w:t>Още по-осезаем е дефицитът в сферата на стратегическите комуникации. Инвестициите в бъдещи лидери чрез мащабни програми (</w:t>
      </w:r>
      <w:r w:rsidR="006858BD" w:rsidRPr="00BF0F3E">
        <w:rPr>
          <w:i/>
          <w:iCs/>
          <w:szCs w:val="28"/>
        </w:rPr>
        <w:t>YALI</w:t>
      </w:r>
      <w:r w:rsidR="00B63E13">
        <w:rPr>
          <w:szCs w:val="28"/>
        </w:rPr>
        <w:t xml:space="preserve">, </w:t>
      </w:r>
      <w:r w:rsidR="006858BD" w:rsidRPr="00BF0F3E">
        <w:rPr>
          <w:i/>
          <w:iCs/>
          <w:szCs w:val="28"/>
        </w:rPr>
        <w:t>Fulbright</w:t>
      </w:r>
      <w:r w:rsidR="00B63E13">
        <w:rPr>
          <w:szCs w:val="28"/>
        </w:rPr>
        <w:t xml:space="preserve">, </w:t>
      </w:r>
      <w:r w:rsidR="006858BD" w:rsidRPr="00BF0F3E">
        <w:rPr>
          <w:i/>
          <w:iCs/>
          <w:szCs w:val="28"/>
        </w:rPr>
        <w:t>Erasmus+</w:t>
      </w:r>
      <w:r w:rsidR="00B63E13">
        <w:rPr>
          <w:szCs w:val="28"/>
        </w:rPr>
        <w:t xml:space="preserve">, </w:t>
      </w:r>
      <w:r w:rsidR="006858BD" w:rsidRPr="00BF0F3E">
        <w:rPr>
          <w:i/>
          <w:iCs/>
          <w:szCs w:val="28"/>
        </w:rPr>
        <w:t>Chevening</w:t>
      </w:r>
      <w:r w:rsidR="00B63E13">
        <w:rPr>
          <w:szCs w:val="28"/>
        </w:rPr>
        <w:t xml:space="preserve">, </w:t>
      </w:r>
      <w:r w:rsidR="006858BD" w:rsidRPr="00BF0F3E">
        <w:rPr>
          <w:i/>
          <w:iCs/>
          <w:szCs w:val="28"/>
        </w:rPr>
        <w:t>DAAD</w:t>
      </w:r>
      <w:r w:rsidR="00B63E13">
        <w:rPr>
          <w:szCs w:val="28"/>
        </w:rPr>
        <w:t xml:space="preserve">, </w:t>
      </w:r>
      <w:r w:rsidR="006858BD" w:rsidRPr="00BF0F3E">
        <w:rPr>
          <w:i/>
          <w:iCs/>
          <w:szCs w:val="28"/>
        </w:rPr>
        <w:t>Campus France</w:t>
      </w:r>
      <w:r w:rsidR="00B63E13">
        <w:rPr>
          <w:szCs w:val="28"/>
        </w:rPr>
        <w:t xml:space="preserve">, </w:t>
      </w:r>
      <w:r w:rsidR="006858BD" w:rsidRPr="00BF0F3E">
        <w:rPr>
          <w:i/>
          <w:iCs/>
          <w:szCs w:val="28"/>
        </w:rPr>
        <w:t>Africa Centers of Excellence</w:t>
      </w:r>
      <w:r w:rsidRPr="00414685">
        <w:rPr>
          <w:szCs w:val="28"/>
        </w:rPr>
        <w:t xml:space="preserve">) дават резултати след десетилетия. В </w:t>
      </w:r>
      <w:r w:rsidR="00BA48FE" w:rsidRPr="00414685">
        <w:rPr>
          <w:szCs w:val="28"/>
        </w:rPr>
        <w:t>съвременна</w:t>
      </w:r>
      <w:r w:rsidR="00BA48FE">
        <w:rPr>
          <w:szCs w:val="28"/>
        </w:rPr>
        <w:t>та</w:t>
      </w:r>
      <w:r w:rsidR="00BA48FE" w:rsidRPr="00414685">
        <w:rPr>
          <w:szCs w:val="28"/>
        </w:rPr>
        <w:t xml:space="preserve"> </w:t>
      </w:r>
      <w:r w:rsidR="00BA48FE">
        <w:rPr>
          <w:szCs w:val="28"/>
        </w:rPr>
        <w:t>дигитализирана</w:t>
      </w:r>
      <w:r w:rsidRPr="00414685">
        <w:rPr>
          <w:szCs w:val="28"/>
        </w:rPr>
        <w:t xml:space="preserve"> среда бавните институционални послания на Запада отстъпват пред хибридни руски информационно-психологически операции, коит</w:t>
      </w:r>
      <w:r w:rsidR="00752D9D">
        <w:rPr>
          <w:szCs w:val="28"/>
        </w:rPr>
        <w:t>о умело</w:t>
      </w:r>
      <w:r w:rsidRPr="00414685">
        <w:rPr>
          <w:szCs w:val="28"/>
        </w:rPr>
        <w:t xml:space="preserve"> експлоатират историческото наследство. Западът не успява ясно да обясни на местните общества каква е „скритата цена“ на руската алтернатива, която води до фактическа загуба на държавен с</w:t>
      </w:r>
      <w:r w:rsidR="00752D9D">
        <w:rPr>
          <w:szCs w:val="28"/>
        </w:rPr>
        <w:t>уверенитет върху ценни</w:t>
      </w:r>
      <w:r w:rsidRPr="00414685">
        <w:rPr>
          <w:szCs w:val="28"/>
        </w:rPr>
        <w:t xml:space="preserve"> национални активи. За да запази стратегическата си тежест, евроатлантическата общност е изправена пред необходимостта да премине към гъвкаво партньорство, което зачита суверенното право на африканските държави да дефинират </w:t>
      </w:r>
      <w:r w:rsidR="00752D9D">
        <w:rPr>
          <w:szCs w:val="28"/>
        </w:rPr>
        <w:t xml:space="preserve">сами </w:t>
      </w:r>
      <w:r w:rsidRPr="00414685">
        <w:rPr>
          <w:szCs w:val="28"/>
        </w:rPr>
        <w:t>своите приоритети.</w:t>
      </w:r>
    </w:p>
    <w:p w14:paraId="75008E35" w14:textId="77777777" w:rsidR="00414685" w:rsidRPr="00E74A39" w:rsidRDefault="00414685" w:rsidP="00E74A39">
      <w:pPr>
        <w:jc w:val="both"/>
        <w:rPr>
          <w:i/>
          <w:szCs w:val="28"/>
          <w:u w:val="single"/>
        </w:rPr>
      </w:pPr>
      <w:r w:rsidRPr="00E74A39">
        <w:rPr>
          <w:b/>
          <w:bCs/>
          <w:i/>
          <w:szCs w:val="28"/>
          <w:u w:val="single"/>
        </w:rPr>
        <w:t>3. Проекция на руското влияние: Асиметричен подход и приватизация на сигурността</w:t>
      </w:r>
    </w:p>
    <w:p w14:paraId="46E4EF3F" w14:textId="01BA284D" w:rsidR="00414685" w:rsidRPr="00414685" w:rsidRDefault="00414685" w:rsidP="00DD2E7B">
      <w:pPr>
        <w:ind w:firstLine="708"/>
        <w:jc w:val="both"/>
        <w:rPr>
          <w:szCs w:val="28"/>
        </w:rPr>
      </w:pPr>
      <w:r w:rsidRPr="00414685">
        <w:rPr>
          <w:szCs w:val="28"/>
        </w:rPr>
        <w:t xml:space="preserve">Руската стратегия не се основава на мащабна икономическа </w:t>
      </w:r>
      <w:r w:rsidR="00BA48FE">
        <w:rPr>
          <w:szCs w:val="28"/>
        </w:rPr>
        <w:t>доми</w:t>
      </w:r>
      <w:r w:rsidR="00BA48FE" w:rsidRPr="00414685">
        <w:rPr>
          <w:szCs w:val="28"/>
        </w:rPr>
        <w:t>нация</w:t>
      </w:r>
      <w:r w:rsidRPr="00414685">
        <w:rPr>
          <w:szCs w:val="28"/>
        </w:rPr>
        <w:t xml:space="preserve">, а представлява многокомпонентен асиметричен подход. Москва компенсира ограниченията на своя финансов потенциал чрез целева концентрация на ресурси в стратегически уязвими сектори, интегрирайки </w:t>
      </w:r>
      <w:r w:rsidR="000B1D35">
        <w:rPr>
          <w:szCs w:val="28"/>
        </w:rPr>
        <w:t>военно-политически, научно-технически</w:t>
      </w:r>
      <w:r w:rsidR="00831AAD">
        <w:rPr>
          <w:szCs w:val="28"/>
        </w:rPr>
        <w:t xml:space="preserve"> и информационни</w:t>
      </w:r>
      <w:r w:rsidR="00BA48FE">
        <w:rPr>
          <w:szCs w:val="28"/>
        </w:rPr>
        <w:t xml:space="preserve"> </w:t>
      </w:r>
      <w:r w:rsidRPr="00414685">
        <w:rPr>
          <w:szCs w:val="28"/>
        </w:rPr>
        <w:t>инструменти.</w:t>
      </w:r>
    </w:p>
    <w:p w14:paraId="592E4B16" w14:textId="77777777" w:rsidR="00E74A39" w:rsidRDefault="00414685" w:rsidP="00E74A39">
      <w:pPr>
        <w:jc w:val="both"/>
        <w:rPr>
          <w:b/>
          <w:bCs/>
          <w:i/>
          <w:szCs w:val="28"/>
          <w:u w:val="single"/>
        </w:rPr>
      </w:pPr>
      <w:r w:rsidRPr="00E74A39">
        <w:rPr>
          <w:b/>
          <w:bCs/>
          <w:i/>
          <w:szCs w:val="28"/>
          <w:u w:val="single"/>
        </w:rPr>
        <w:t xml:space="preserve">3.1. </w:t>
      </w:r>
      <w:r w:rsidR="00870A5C" w:rsidRPr="00E74A39">
        <w:rPr>
          <w:b/>
          <w:bCs/>
          <w:i/>
          <w:szCs w:val="28"/>
          <w:u w:val="single"/>
        </w:rPr>
        <w:t>Еволюция на паравоенните структури: От прокси-формации към държавно-интегриран модел ("Африкански корпус"):</w:t>
      </w:r>
    </w:p>
    <w:p w14:paraId="205FC73A" w14:textId="1998E8BF" w:rsidR="000B1D35" w:rsidRPr="00E74A39" w:rsidRDefault="00414685" w:rsidP="00E74A39">
      <w:pPr>
        <w:ind w:firstLine="708"/>
        <w:jc w:val="both"/>
        <w:rPr>
          <w:i/>
          <w:szCs w:val="28"/>
          <w:u w:val="single"/>
        </w:rPr>
      </w:pPr>
      <w:r w:rsidRPr="00E74A39">
        <w:rPr>
          <w:szCs w:val="28"/>
        </w:rPr>
        <w:t>В периода 2017–2023 г. основен пров</w:t>
      </w:r>
      <w:r w:rsidR="00FD5DD4" w:rsidRPr="00E74A39">
        <w:rPr>
          <w:szCs w:val="28"/>
        </w:rPr>
        <w:t>одник на руската силова концепция</w:t>
      </w:r>
      <w:r w:rsidRPr="00E74A39">
        <w:rPr>
          <w:szCs w:val="28"/>
        </w:rPr>
        <w:t xml:space="preserve"> бе ЧВК „Вагнер“, осигуряваща предимството на правдоподобното отричане (plausible deniability)</w:t>
      </w:r>
      <w:r w:rsidR="00E74A39">
        <w:rPr>
          <w:szCs w:val="28"/>
        </w:rPr>
        <w:t xml:space="preserve">, т.е. без </w:t>
      </w:r>
      <w:r w:rsidR="00AC4285">
        <w:rPr>
          <w:szCs w:val="28"/>
        </w:rPr>
        <w:t>официално поемане на</w:t>
      </w:r>
      <w:r w:rsidR="00E74A39">
        <w:rPr>
          <w:szCs w:val="28"/>
        </w:rPr>
        <w:t xml:space="preserve"> </w:t>
      </w:r>
      <w:r w:rsidR="00E74A39" w:rsidRPr="00BF0F3E">
        <w:rPr>
          <w:szCs w:val="28"/>
        </w:rPr>
        <w:t>международна отговорност</w:t>
      </w:r>
      <w:r w:rsidR="00AC4285">
        <w:rPr>
          <w:szCs w:val="28"/>
        </w:rPr>
        <w:t xml:space="preserve"> при участие във въоръжен конфликт</w:t>
      </w:r>
      <w:r w:rsidR="00E74A39">
        <w:rPr>
          <w:szCs w:val="28"/>
        </w:rPr>
        <w:t>.</w:t>
      </w:r>
      <w:r w:rsidR="00831AAD" w:rsidRPr="00E74A39">
        <w:rPr>
          <w:szCs w:val="28"/>
        </w:rPr>
        <w:t xml:space="preserve"> </w:t>
      </w:r>
      <w:r w:rsidR="00AC4285">
        <w:rPr>
          <w:szCs w:val="28"/>
        </w:rPr>
        <w:t>(</w:t>
      </w:r>
      <w:r w:rsidR="00831AAD" w:rsidRPr="00BF0F3E">
        <w:rPr>
          <w:szCs w:val="28"/>
        </w:rPr>
        <w:t xml:space="preserve">Централноафриканската </w:t>
      </w:r>
      <w:r w:rsidR="00AC4285">
        <w:rPr>
          <w:szCs w:val="28"/>
        </w:rPr>
        <w:t xml:space="preserve">република </w:t>
      </w:r>
      <w:r w:rsidR="00ED0D17">
        <w:rPr>
          <w:szCs w:val="28"/>
        </w:rPr>
        <w:t xml:space="preserve">всъщност </w:t>
      </w:r>
      <w:r w:rsidR="00831AAD" w:rsidRPr="00BF0F3E">
        <w:rPr>
          <w:szCs w:val="28"/>
        </w:rPr>
        <w:t>функционираше като своеобразна лаборатория за този модел – там руските структури поеха личната охрана на държавния глава, контрола върху ключови минни концесии и оперативното подпом</w:t>
      </w:r>
      <w:r w:rsidR="00AC4285">
        <w:rPr>
          <w:szCs w:val="28"/>
        </w:rPr>
        <w:t>агане на държавните институции).</w:t>
      </w:r>
      <w:r w:rsidR="00E74A39">
        <w:rPr>
          <w:szCs w:val="28"/>
        </w:rPr>
        <w:t xml:space="preserve"> </w:t>
      </w:r>
      <w:r w:rsidRPr="00E74A39">
        <w:rPr>
          <w:szCs w:val="28"/>
        </w:rPr>
        <w:t>След събитията от лятото на 2023 г.,</w:t>
      </w:r>
      <w:r w:rsidR="00ED0D17">
        <w:rPr>
          <w:szCs w:val="28"/>
        </w:rPr>
        <w:t xml:space="preserve"> (23.08.2023 г. - смърт на Евгений Пригожин)</w:t>
      </w:r>
      <w:r w:rsidRPr="00E74A39">
        <w:rPr>
          <w:szCs w:val="28"/>
        </w:rPr>
        <w:t xml:space="preserve"> мрежата бе интегрирана в </w:t>
      </w:r>
      <w:r w:rsidR="00FD5DD4" w:rsidRPr="00E74A39">
        <w:rPr>
          <w:szCs w:val="28"/>
        </w:rPr>
        <w:t xml:space="preserve">т. нар. </w:t>
      </w:r>
      <w:r w:rsidRPr="00E74A39">
        <w:rPr>
          <w:szCs w:val="28"/>
        </w:rPr>
        <w:t>„Африкански корпус“ под ръководството на руското Министерство на отбраната. Тази централизация се подсилва от фо</w:t>
      </w:r>
      <w:r w:rsidR="00831AAD" w:rsidRPr="00E74A39">
        <w:rPr>
          <w:szCs w:val="28"/>
        </w:rPr>
        <w:t xml:space="preserve">рмации като бригада „Медведи“, </w:t>
      </w:r>
      <w:r w:rsidRPr="00E74A39">
        <w:rPr>
          <w:szCs w:val="28"/>
        </w:rPr>
        <w:t>ЧВК „Конвой“</w:t>
      </w:r>
      <w:r w:rsidR="00831AAD" w:rsidRPr="00E74A39">
        <w:rPr>
          <w:szCs w:val="28"/>
        </w:rPr>
        <w:t>, „РСБ-Груп“</w:t>
      </w:r>
      <w:r w:rsidR="00E74A39">
        <w:rPr>
          <w:szCs w:val="28"/>
        </w:rPr>
        <w:t>. Резултатът – руският „Африкански корпус“ започна да</w:t>
      </w:r>
      <w:r w:rsidR="000B1D35" w:rsidRPr="00E74A39">
        <w:rPr>
          <w:szCs w:val="28"/>
        </w:rPr>
        <w:t xml:space="preserve"> функционира като пълноправен държавен експедиционен контингент, участващ в преки бойни действия и операции за неутрализиране на сепа</w:t>
      </w:r>
      <w:r w:rsidR="00FD5DD4" w:rsidRPr="00E74A39">
        <w:rPr>
          <w:szCs w:val="28"/>
        </w:rPr>
        <w:t>ратистки групировки.</w:t>
      </w:r>
    </w:p>
    <w:p w14:paraId="0B20AE47" w14:textId="684CADFD" w:rsidR="00870A5C" w:rsidRPr="006D5B7A" w:rsidRDefault="00AC4285" w:rsidP="006D5B7A">
      <w:pPr>
        <w:ind w:firstLine="708"/>
        <w:jc w:val="both"/>
        <w:rPr>
          <w:color w:val="FF0000"/>
        </w:rPr>
      </w:pPr>
      <w:r>
        <w:t>Географският обхват на руското воен</w:t>
      </w:r>
      <w:r>
        <w:t>но присъствие бързо се разшири</w:t>
      </w:r>
      <w:r w:rsidR="00ED0D17">
        <w:t xml:space="preserve"> след като</w:t>
      </w:r>
      <w:r>
        <w:t xml:space="preserve"> Москва целенасочено </w:t>
      </w:r>
      <w:r>
        <w:t xml:space="preserve">започна да </w:t>
      </w:r>
      <w:r>
        <w:t>запълва вакуума в региона на Сахел. Показа</w:t>
      </w:r>
      <w:r>
        <w:t>телен пример за тази динамика е</w:t>
      </w:r>
      <w:r>
        <w:t xml:space="preserve"> поемането на контрола върху стратегическата американска Авиобаза 201 в Нигер. Паралелно с това базите в Източна Либия и опорните пунктове в Судан се утвърдиха като ключови логистични възли за ротация и материално осигуряване на </w:t>
      </w:r>
      <w:r>
        <w:lastRenderedPageBreak/>
        <w:t>контингентите. Въпреки експанзията обаче моделът показва ясни оперативни дефицити. Те са видими както от ранния тактически провал в провинция Кабо Делгадо (Мозамбик), така и от тежките бойни загуби, понесени от руските сили и малийската армия в засадата край Тинзауатен (Северно Мали).</w:t>
      </w:r>
    </w:p>
    <w:p w14:paraId="57D660BB" w14:textId="44EB1F68" w:rsidR="00414685" w:rsidRPr="0023745D" w:rsidRDefault="00414685" w:rsidP="0023745D">
      <w:pPr>
        <w:jc w:val="both"/>
        <w:rPr>
          <w:i/>
          <w:szCs w:val="28"/>
          <w:u w:val="single"/>
        </w:rPr>
      </w:pPr>
      <w:r w:rsidRPr="0023745D">
        <w:rPr>
          <w:b/>
          <w:bCs/>
          <w:i/>
          <w:szCs w:val="28"/>
          <w:u w:val="single"/>
        </w:rPr>
        <w:t xml:space="preserve">3.2. </w:t>
      </w:r>
      <w:r w:rsidR="00870A5C" w:rsidRPr="0023745D">
        <w:rPr>
          <w:b/>
          <w:bCs/>
          <w:i/>
          <w:szCs w:val="28"/>
          <w:u w:val="single"/>
        </w:rPr>
        <w:t>Моделът „сигурност срещу ресурси“: как руският подход гарантира оцеляването на местните елити</w:t>
      </w:r>
    </w:p>
    <w:p w14:paraId="0AB4AEFD" w14:textId="1C5172AE" w:rsidR="00ED0D17" w:rsidRPr="0023745D" w:rsidRDefault="00414685" w:rsidP="00B55741">
      <w:pPr>
        <w:ind w:firstLine="708"/>
        <w:jc w:val="both"/>
        <w:rPr>
          <w:szCs w:val="28"/>
        </w:rPr>
      </w:pPr>
      <w:r w:rsidRPr="00414685">
        <w:rPr>
          <w:szCs w:val="28"/>
        </w:rPr>
        <w:t>Фундамент на руския подход е моделът „сигурност срещу ресурси“. Москва адресира потребността от незабавни гаран</w:t>
      </w:r>
      <w:r w:rsidR="000B1D35">
        <w:rPr>
          <w:szCs w:val="28"/>
        </w:rPr>
        <w:t>ции за стабилността на управляващия</w:t>
      </w:r>
      <w:r w:rsidRPr="00414685">
        <w:rPr>
          <w:szCs w:val="28"/>
        </w:rPr>
        <w:t xml:space="preserve"> елит, договаряйки стратегически достъп до критични суровини. </w:t>
      </w:r>
      <w:r w:rsidRPr="0023745D">
        <w:rPr>
          <w:szCs w:val="28"/>
        </w:rPr>
        <w:t>Въпреки политическия резонанс, реалните ПЧИ на Москва в Африка остават под 1% от общите за континента, доказвайки, че влиянието ѝ е изцяло асиметрично</w:t>
      </w:r>
      <w:r w:rsidR="00B55741">
        <w:rPr>
          <w:szCs w:val="28"/>
        </w:rPr>
        <w:t>.</w:t>
      </w:r>
    </w:p>
    <w:p w14:paraId="4DEB46DF" w14:textId="284718E0" w:rsidR="00414685" w:rsidRPr="00414685" w:rsidRDefault="00414685" w:rsidP="00B55741">
      <w:pPr>
        <w:ind w:firstLine="708"/>
        <w:jc w:val="both"/>
        <w:rPr>
          <w:szCs w:val="28"/>
        </w:rPr>
      </w:pPr>
      <w:r w:rsidRPr="00414685">
        <w:rPr>
          <w:szCs w:val="28"/>
        </w:rPr>
        <w:t>Ресурсната взаимозависимост се материализира чрез водещи руски корпорации („АЛРОСА“, „РУСАЛ“), придобиващи концесии за диаманти, боксит и платина в Ангола, Гвинея и Зимбабве. Особено чувствителен за Европа е секторът на уранодобива в Нигер, където руската страна демонстрира готовност да замени френските компании. Извън прекия добив, Москва генерира дълг</w:t>
      </w:r>
      <w:r w:rsidR="00B55741">
        <w:rPr>
          <w:szCs w:val="28"/>
        </w:rPr>
        <w:t>осрочна зависимост чрез енергийната</w:t>
      </w:r>
      <w:r w:rsidRPr="00414685">
        <w:rPr>
          <w:szCs w:val="28"/>
        </w:rPr>
        <w:t xml:space="preserve"> дипломация на „Росатом“ (АЕЦ „Ел Дабаа“ в Египет), обвързвайки правителствата с руските технологични стандарти за десетилетия напред.</w:t>
      </w:r>
      <w:r w:rsidR="00B55741" w:rsidRPr="00B55741">
        <w:t xml:space="preserve"> </w:t>
      </w:r>
      <w:r w:rsidR="00B55741" w:rsidRPr="00B55741">
        <w:rPr>
          <w:szCs w:val="28"/>
        </w:rPr>
        <w:t>Този подход се допълва от енергийните инициативи на „Лукойл“ в Република Конго и на „Газпром“ в Алжир, както и от изграждането на Руската промишлена зона край Суецкия канал, служеща като експортен хъб за руската индустрия.</w:t>
      </w:r>
    </w:p>
    <w:p w14:paraId="560AC728" w14:textId="6F786D7F" w:rsidR="00414685" w:rsidRPr="00B55741" w:rsidRDefault="00414685" w:rsidP="00B55741">
      <w:pPr>
        <w:jc w:val="both"/>
        <w:rPr>
          <w:i/>
          <w:szCs w:val="28"/>
          <w:u w:val="single"/>
        </w:rPr>
      </w:pPr>
      <w:r w:rsidRPr="00B55741">
        <w:rPr>
          <w:b/>
          <w:bCs/>
          <w:i/>
          <w:szCs w:val="28"/>
          <w:u w:val="single"/>
        </w:rPr>
        <w:t xml:space="preserve">3.3. </w:t>
      </w:r>
      <w:r w:rsidR="00870A5C" w:rsidRPr="00B55741">
        <w:rPr>
          <w:b/>
          <w:bCs/>
          <w:i/>
          <w:szCs w:val="28"/>
          <w:u w:val="single"/>
        </w:rPr>
        <w:t>Информационна война: пропаганда, дезинформация и експлоатиране на антизападните настроения:</w:t>
      </w:r>
    </w:p>
    <w:p w14:paraId="39760469" w14:textId="24F0E953" w:rsidR="00414685" w:rsidRPr="00414685" w:rsidRDefault="00414685" w:rsidP="00B55741">
      <w:pPr>
        <w:ind w:firstLine="708"/>
        <w:jc w:val="both"/>
        <w:rPr>
          <w:szCs w:val="28"/>
        </w:rPr>
      </w:pPr>
      <w:r w:rsidRPr="00414685">
        <w:rPr>
          <w:szCs w:val="28"/>
        </w:rPr>
        <w:t xml:space="preserve">Военното присъствие на Русия се легитимира чрез координирани информационно-психологически операции, които целенасочено експлоатират антиколониалното наследство и делигитимират западните сили (чрез Telegram, </w:t>
      </w:r>
      <w:r w:rsidRPr="00414685">
        <w:rPr>
          <w:i/>
          <w:iCs/>
          <w:szCs w:val="28"/>
        </w:rPr>
        <w:t>African Initiative</w:t>
      </w:r>
      <w:r w:rsidRPr="00414685">
        <w:rPr>
          <w:szCs w:val="28"/>
        </w:rPr>
        <w:t xml:space="preserve">, RT и </w:t>
      </w:r>
      <w:r w:rsidR="00334C63">
        <w:rPr>
          <w:szCs w:val="28"/>
        </w:rPr>
        <w:t>Sputnik)</w:t>
      </w:r>
      <w:r w:rsidR="00074804">
        <w:rPr>
          <w:szCs w:val="28"/>
        </w:rPr>
        <w:t xml:space="preserve"> </w:t>
      </w:r>
      <w:r w:rsidR="00074804" w:rsidRPr="00074804">
        <w:rPr>
          <w:szCs w:val="28"/>
        </w:rPr>
        <w:t>представяйки ги като нос</w:t>
      </w:r>
      <w:r w:rsidR="00074804">
        <w:rPr>
          <w:szCs w:val="28"/>
        </w:rPr>
        <w:t>ители на неоколониални интереси</w:t>
      </w:r>
      <w:r w:rsidR="00334C63">
        <w:rPr>
          <w:szCs w:val="28"/>
        </w:rPr>
        <w:t xml:space="preserve">. Комуникационният канал </w:t>
      </w:r>
      <w:r w:rsidRPr="00414685">
        <w:rPr>
          <w:szCs w:val="28"/>
        </w:rPr>
        <w:t xml:space="preserve">се надгражда от </w:t>
      </w:r>
      <w:r w:rsidR="00074804">
        <w:rPr>
          <w:szCs w:val="28"/>
        </w:rPr>
        <w:t xml:space="preserve">дългосрочна образователна и </w:t>
      </w:r>
      <w:r w:rsidRPr="00414685">
        <w:rPr>
          <w:szCs w:val="28"/>
        </w:rPr>
        <w:t>ку</w:t>
      </w:r>
      <w:r w:rsidR="003A76E6">
        <w:rPr>
          <w:szCs w:val="28"/>
        </w:rPr>
        <w:t xml:space="preserve">лтурна дипломация („Руски дом“, </w:t>
      </w:r>
      <w:r w:rsidRPr="00414685">
        <w:rPr>
          <w:szCs w:val="28"/>
        </w:rPr>
        <w:t>Руско-африканския мрежов университет</w:t>
      </w:r>
      <w:r w:rsidR="00074804">
        <w:rPr>
          <w:szCs w:val="28"/>
        </w:rPr>
        <w:t>, програми „Новое поколение“ и „Учеба в Росии“</w:t>
      </w:r>
      <w:r w:rsidRPr="00414685">
        <w:rPr>
          <w:szCs w:val="28"/>
        </w:rPr>
        <w:t xml:space="preserve">), целяща формирането на лоялни елити. Тази „мека сила“ се </w:t>
      </w:r>
      <w:r w:rsidR="00334C63">
        <w:rPr>
          <w:szCs w:val="28"/>
        </w:rPr>
        <w:t>мултиплицира чрез мащабни</w:t>
      </w:r>
      <w:r w:rsidRPr="00414685">
        <w:rPr>
          <w:szCs w:val="28"/>
        </w:rPr>
        <w:t xml:space="preserve"> </w:t>
      </w:r>
      <w:r w:rsidR="00334C63">
        <w:rPr>
          <w:szCs w:val="28"/>
          <w:lang w:val="en-US"/>
        </w:rPr>
        <w:t xml:space="preserve">Alumni </w:t>
      </w:r>
      <w:r w:rsidRPr="00414685">
        <w:rPr>
          <w:szCs w:val="28"/>
        </w:rPr>
        <w:t>мрежи от африкански граждани, завършили в бившия СССР</w:t>
      </w:r>
      <w:r w:rsidR="00334C63">
        <w:rPr>
          <w:szCs w:val="28"/>
          <w:lang w:val="en-US"/>
        </w:rPr>
        <w:t xml:space="preserve"> и </w:t>
      </w:r>
      <w:r w:rsidR="00334C63">
        <w:rPr>
          <w:szCs w:val="28"/>
        </w:rPr>
        <w:t>РФ</w:t>
      </w:r>
      <w:r w:rsidRPr="00414685">
        <w:rPr>
          <w:szCs w:val="28"/>
        </w:rPr>
        <w:t xml:space="preserve">, и чрез хуманитарните мисии на </w:t>
      </w:r>
      <w:r w:rsidR="00074804">
        <w:rPr>
          <w:szCs w:val="28"/>
        </w:rPr>
        <w:t xml:space="preserve">на Руската православна църква </w:t>
      </w:r>
      <w:r w:rsidR="00074804" w:rsidRPr="00BF0F3E">
        <w:rPr>
          <w:szCs w:val="28"/>
        </w:rPr>
        <w:t xml:space="preserve">в над 30 африкански държави. </w:t>
      </w:r>
    </w:p>
    <w:p w14:paraId="2859C742" w14:textId="77777777" w:rsidR="00EA739D" w:rsidRDefault="00414685" w:rsidP="00EA739D">
      <w:pPr>
        <w:jc w:val="both"/>
        <w:rPr>
          <w:b/>
          <w:bCs/>
          <w:i/>
          <w:szCs w:val="28"/>
          <w:u w:val="single"/>
        </w:rPr>
      </w:pPr>
      <w:r w:rsidRPr="00993427">
        <w:rPr>
          <w:b/>
          <w:bCs/>
          <w:i/>
          <w:szCs w:val="28"/>
          <w:u w:val="single"/>
        </w:rPr>
        <w:t xml:space="preserve">3.4. </w:t>
      </w:r>
      <w:r w:rsidR="00870A5C" w:rsidRPr="00993427">
        <w:rPr>
          <w:b/>
          <w:bCs/>
          <w:i/>
          <w:szCs w:val="28"/>
          <w:u w:val="single"/>
        </w:rPr>
        <w:t>Дипломация без условия: икономически интереси, оръжейни сделки и международен чадър</w:t>
      </w:r>
    </w:p>
    <w:p w14:paraId="0F4F0EDB" w14:textId="03F6A663" w:rsidR="0068110D" w:rsidRPr="00EA739D" w:rsidRDefault="00414685" w:rsidP="00EA739D">
      <w:pPr>
        <w:jc w:val="both"/>
        <w:rPr>
          <w:i/>
          <w:szCs w:val="28"/>
          <w:u w:val="single"/>
        </w:rPr>
      </w:pPr>
      <w:r w:rsidRPr="00414685">
        <w:rPr>
          <w:szCs w:val="28"/>
        </w:rPr>
        <w:t>За разлика от нормативния подход на Запада, Русия осигурява преференциални доставки на въоръжение и дипломатически чадър (налагане на вето в Съвета за сигурност на</w:t>
      </w:r>
      <w:r w:rsidR="00A2070C">
        <w:rPr>
          <w:szCs w:val="28"/>
        </w:rPr>
        <w:t xml:space="preserve"> ООН) без политически санкции</w:t>
      </w:r>
      <w:r w:rsidRPr="00414685">
        <w:rPr>
          <w:szCs w:val="28"/>
        </w:rPr>
        <w:t xml:space="preserve">. </w:t>
      </w:r>
      <w:r w:rsidR="00993427" w:rsidRPr="00BF0F3E">
        <w:rPr>
          <w:szCs w:val="28"/>
        </w:rPr>
        <w:t>В държави като Египет, Етиопия и ЮАР се стимулира интеграцията на руската Система за предаване на финансови съобщения (СПФС) и картите „Мир“ с цел намаляване на зависимостта от зап</w:t>
      </w:r>
      <w:r w:rsidR="0068110D">
        <w:rPr>
          <w:szCs w:val="28"/>
        </w:rPr>
        <w:t xml:space="preserve">адните разплащателни </w:t>
      </w:r>
      <w:r w:rsidR="0068110D">
        <w:rPr>
          <w:szCs w:val="28"/>
        </w:rPr>
        <w:lastRenderedPageBreak/>
        <w:t xml:space="preserve">механизми. </w:t>
      </w:r>
      <w:r w:rsidR="0068110D" w:rsidRPr="00BF0F3E">
        <w:rPr>
          <w:szCs w:val="28"/>
        </w:rPr>
        <w:t xml:space="preserve">Технологичното влияние се задълбочава чрез реализацията на проекти с потенциално двойно предназначение. Разработването на телекомуникационния спътник „AngoSat-2“ за Ангола и изграждането на наземни съоръжения за системата ГЛОНАСС (в ЮАР и Етиопия) позиционират Москва като ключов високотехнологичен партньор. Същевременно, внедряването на руски софтуерни решения за киберсигурност и анализ на данни (в ЦАР и Мали) генерира рискове от външен достъп до правителствените мрежи, създавайки предпоставки за контрол върху дигиталния суверенитет на партньорските държави. </w:t>
      </w:r>
    </w:p>
    <w:p w14:paraId="326EC923" w14:textId="77777777" w:rsidR="00414685" w:rsidRPr="00EA739D" w:rsidRDefault="00414685" w:rsidP="00993427">
      <w:pPr>
        <w:jc w:val="both"/>
        <w:rPr>
          <w:b/>
          <w:i/>
          <w:szCs w:val="28"/>
          <w:u w:val="single"/>
        </w:rPr>
      </w:pPr>
      <w:r w:rsidRPr="00EA739D">
        <w:rPr>
          <w:b/>
          <w:bCs/>
          <w:i/>
          <w:szCs w:val="28"/>
          <w:u w:val="single"/>
        </w:rPr>
        <w:t>4. Сравнителен анализ на инструментите за влияние</w:t>
      </w:r>
    </w:p>
    <w:p w14:paraId="766CD2E2" w14:textId="62CE6EDB" w:rsidR="00414685" w:rsidRPr="00DD2E7B" w:rsidRDefault="00414685" w:rsidP="008409FD">
      <w:pPr>
        <w:ind w:firstLine="708"/>
        <w:jc w:val="both"/>
        <w:rPr>
          <w:szCs w:val="28"/>
        </w:rPr>
      </w:pPr>
      <w:r w:rsidRPr="00DD2E7B">
        <w:rPr>
          <w:szCs w:val="28"/>
        </w:rPr>
        <w:t>Сблъсъкът между Запада и Руската федерация представлява дълбок концептуален конфликт. За да се изведат причините за стратегическото предимство на Москва, анализът систематизира основните инструменти на влияни</w:t>
      </w:r>
      <w:r w:rsidR="00091FBB" w:rsidRPr="00DD2E7B">
        <w:rPr>
          <w:szCs w:val="28"/>
        </w:rPr>
        <w:t>е в следната сравнителна таблица</w:t>
      </w:r>
      <w:r w:rsidR="008409FD">
        <w:rPr>
          <w:szCs w:val="28"/>
        </w:rPr>
        <w:t>:</w:t>
      </w:r>
    </w:p>
    <w:p w14:paraId="55F8AD23" w14:textId="0AC7A18E" w:rsidR="00993427" w:rsidRDefault="00993427" w:rsidP="00167E1A">
      <w:pPr>
        <w:jc w:val="both"/>
        <w:rPr>
          <w:bCs/>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47"/>
        <w:gridCol w:w="3976"/>
        <w:gridCol w:w="3238"/>
      </w:tblGrid>
      <w:tr w:rsidR="00E5327D" w:rsidRPr="00E5327D" w14:paraId="2F29FE42" w14:textId="77777777" w:rsidTr="007A0DF8">
        <w:trPr>
          <w:cantSplit/>
          <w:trHeight w:val="557"/>
        </w:trPr>
        <w:tc>
          <w:tcPr>
            <w:tcW w:w="1847" w:type="dxa"/>
            <w:shd w:val="clear" w:color="auto" w:fill="auto"/>
            <w:vAlign w:val="center"/>
            <w:hideMark/>
          </w:tcPr>
          <w:p w14:paraId="51DC9CD4" w14:textId="77777777" w:rsidR="00E5327D" w:rsidRPr="00E5327D" w:rsidRDefault="00E5327D" w:rsidP="00DD575A">
            <w:pPr>
              <w:jc w:val="center"/>
              <w:rPr>
                <w:rFonts w:ascii="Arial" w:hAnsi="Arial" w:cs="Arial"/>
                <w:b/>
                <w:i/>
                <w:color w:val="000000"/>
                <w:sz w:val="20"/>
                <w:szCs w:val="20"/>
              </w:rPr>
            </w:pPr>
            <w:r w:rsidRPr="00E5327D">
              <w:rPr>
                <w:rFonts w:ascii="Arial" w:hAnsi="Arial" w:cs="Arial"/>
                <w:b/>
                <w:i/>
                <w:color w:val="000000"/>
                <w:sz w:val="20"/>
                <w:szCs w:val="20"/>
              </w:rPr>
              <w:t>Критерий за анализ</w:t>
            </w:r>
          </w:p>
        </w:tc>
        <w:tc>
          <w:tcPr>
            <w:tcW w:w="3976" w:type="dxa"/>
            <w:shd w:val="clear" w:color="auto" w:fill="auto"/>
            <w:vAlign w:val="center"/>
            <w:hideMark/>
          </w:tcPr>
          <w:p w14:paraId="177961DC" w14:textId="77777777" w:rsidR="00E5327D" w:rsidRPr="00E5327D" w:rsidRDefault="00E5327D" w:rsidP="00DD575A">
            <w:pPr>
              <w:jc w:val="center"/>
              <w:rPr>
                <w:rFonts w:ascii="Arial" w:hAnsi="Arial" w:cs="Arial"/>
                <w:b/>
                <w:i/>
                <w:color w:val="000000"/>
                <w:sz w:val="20"/>
                <w:szCs w:val="20"/>
              </w:rPr>
            </w:pPr>
            <w:r w:rsidRPr="00E5327D">
              <w:rPr>
                <w:rFonts w:ascii="Arial" w:hAnsi="Arial" w:cs="Arial"/>
                <w:b/>
                <w:i/>
                <w:color w:val="000000"/>
                <w:sz w:val="20"/>
                <w:szCs w:val="20"/>
              </w:rPr>
              <w:t>Западен подход (САЩ / ЕС / Франция)</w:t>
            </w:r>
          </w:p>
        </w:tc>
        <w:tc>
          <w:tcPr>
            <w:tcW w:w="3238" w:type="dxa"/>
            <w:shd w:val="clear" w:color="auto" w:fill="auto"/>
            <w:vAlign w:val="center"/>
            <w:hideMark/>
          </w:tcPr>
          <w:p w14:paraId="26ABFD87" w14:textId="77777777" w:rsidR="00E5327D" w:rsidRPr="00E5327D" w:rsidRDefault="00E5327D" w:rsidP="00DD575A">
            <w:pPr>
              <w:jc w:val="center"/>
              <w:rPr>
                <w:rFonts w:ascii="Arial" w:hAnsi="Arial" w:cs="Arial"/>
                <w:b/>
                <w:i/>
                <w:color w:val="000000"/>
                <w:sz w:val="20"/>
                <w:szCs w:val="20"/>
              </w:rPr>
            </w:pPr>
            <w:r w:rsidRPr="00E5327D">
              <w:rPr>
                <w:rFonts w:ascii="Arial" w:hAnsi="Arial" w:cs="Arial"/>
                <w:b/>
                <w:i/>
                <w:color w:val="000000"/>
                <w:sz w:val="20"/>
                <w:szCs w:val="20"/>
              </w:rPr>
              <w:t>Руски подход (Руска федерация)</w:t>
            </w:r>
          </w:p>
        </w:tc>
      </w:tr>
      <w:tr w:rsidR="00E5327D" w:rsidRPr="00E5327D" w14:paraId="052C76CC" w14:textId="77777777" w:rsidTr="00DD575A">
        <w:trPr>
          <w:cantSplit/>
          <w:trHeight w:val="1134"/>
        </w:trPr>
        <w:tc>
          <w:tcPr>
            <w:tcW w:w="1847" w:type="dxa"/>
            <w:shd w:val="clear" w:color="auto" w:fill="auto"/>
            <w:vAlign w:val="center"/>
            <w:hideMark/>
          </w:tcPr>
          <w:p w14:paraId="790BF820" w14:textId="5FCD7DB4" w:rsidR="00E5327D" w:rsidRPr="00E5327D" w:rsidRDefault="00DD575A" w:rsidP="00DD575A">
            <w:pPr>
              <w:jc w:val="center"/>
              <w:rPr>
                <w:rFonts w:ascii="Arial" w:hAnsi="Arial" w:cs="Arial"/>
                <w:b/>
                <w:i/>
                <w:color w:val="000000"/>
                <w:sz w:val="20"/>
                <w:szCs w:val="20"/>
              </w:rPr>
            </w:pPr>
            <w:r w:rsidRPr="007A0DF8">
              <w:rPr>
                <w:rFonts w:ascii="Arial" w:hAnsi="Arial" w:cs="Arial"/>
                <w:b/>
                <w:i/>
                <w:color w:val="000000"/>
                <w:sz w:val="20"/>
                <w:szCs w:val="20"/>
              </w:rPr>
              <w:t>1. Нормативна</w:t>
            </w:r>
            <w:r w:rsidR="00E5327D" w:rsidRPr="00E5327D">
              <w:rPr>
                <w:rFonts w:ascii="Arial" w:hAnsi="Arial" w:cs="Arial"/>
                <w:b/>
                <w:i/>
                <w:color w:val="000000"/>
                <w:sz w:val="20"/>
                <w:szCs w:val="20"/>
              </w:rPr>
              <w:t xml:space="preserve"> основа и дипломация</w:t>
            </w:r>
          </w:p>
        </w:tc>
        <w:tc>
          <w:tcPr>
            <w:tcW w:w="3976" w:type="dxa"/>
            <w:shd w:val="clear" w:color="auto" w:fill="auto"/>
            <w:vAlign w:val="center"/>
            <w:hideMark/>
          </w:tcPr>
          <w:p w14:paraId="5B3ACEC5" w14:textId="77777777" w:rsidR="00E5327D" w:rsidRPr="00E5327D" w:rsidRDefault="00E5327D" w:rsidP="00DD575A">
            <w:pPr>
              <w:jc w:val="center"/>
              <w:rPr>
                <w:rFonts w:ascii="Arial" w:hAnsi="Arial" w:cs="Arial"/>
                <w:color w:val="000000"/>
                <w:sz w:val="20"/>
                <w:szCs w:val="20"/>
              </w:rPr>
            </w:pPr>
            <w:r w:rsidRPr="00E5327D">
              <w:rPr>
                <w:rFonts w:ascii="Arial" w:hAnsi="Arial" w:cs="Arial"/>
                <w:color w:val="000000"/>
                <w:sz w:val="20"/>
                <w:szCs w:val="20"/>
              </w:rPr>
              <w:t>• Нормативна база: Сътрудничеството стъпва върху спазване на международните правила, правовата държава и институционализма.</w:t>
            </w:r>
            <w:r w:rsidRPr="00E5327D">
              <w:rPr>
                <w:rFonts w:ascii="Arial" w:hAnsi="Arial" w:cs="Arial"/>
                <w:color w:val="000000"/>
                <w:sz w:val="20"/>
                <w:szCs w:val="20"/>
              </w:rPr>
              <w:br/>
              <w:t>• Политическа обусловеност: Военната и финансовата помощ са строго обвързани с демократични избори, зачитане на правата на човека и антикорупционни реформи.</w:t>
            </w:r>
            <w:r w:rsidRPr="00E5327D">
              <w:rPr>
                <w:rFonts w:ascii="Arial" w:hAnsi="Arial" w:cs="Arial"/>
                <w:color w:val="000000"/>
                <w:sz w:val="20"/>
                <w:szCs w:val="20"/>
              </w:rPr>
              <w:br/>
              <w:t>• Санкционен натиск: Автоматично замразяване на сътрудничеството и налагане на санкции при насилствена/неконституционна смяна на властта, което отчуждава новите местни лидери.</w:t>
            </w:r>
          </w:p>
        </w:tc>
        <w:tc>
          <w:tcPr>
            <w:tcW w:w="3238" w:type="dxa"/>
            <w:shd w:val="clear" w:color="auto" w:fill="auto"/>
            <w:vAlign w:val="center"/>
            <w:hideMark/>
          </w:tcPr>
          <w:p w14:paraId="7A1B522D" w14:textId="77777777" w:rsidR="00E5327D" w:rsidRPr="00E5327D" w:rsidRDefault="00E5327D" w:rsidP="00DD575A">
            <w:pPr>
              <w:jc w:val="center"/>
              <w:rPr>
                <w:rFonts w:ascii="Arial" w:hAnsi="Arial" w:cs="Arial"/>
                <w:color w:val="000000"/>
                <w:sz w:val="20"/>
                <w:szCs w:val="20"/>
              </w:rPr>
            </w:pPr>
            <w:r w:rsidRPr="00E5327D">
              <w:rPr>
                <w:rFonts w:ascii="Arial" w:hAnsi="Arial" w:cs="Arial"/>
                <w:color w:val="000000"/>
                <w:sz w:val="20"/>
                <w:szCs w:val="20"/>
              </w:rPr>
              <w:t>• Силов прагматизъм: Моделът е изцяло транзакционен (сделка срещу сделка), директен и персонализиран спрямо управляващия елит.</w:t>
            </w:r>
            <w:r w:rsidRPr="00E5327D">
              <w:rPr>
                <w:rFonts w:ascii="Arial" w:hAnsi="Arial" w:cs="Arial"/>
                <w:color w:val="000000"/>
                <w:sz w:val="20"/>
                <w:szCs w:val="20"/>
              </w:rPr>
              <w:br/>
              <w:t>• Принцип на ненамеса: Пълно отсъствие на идеологически или нормативни изисквания относно формата на управление и вътрешния ред.</w:t>
            </w:r>
            <w:r w:rsidRPr="00E5327D">
              <w:rPr>
                <w:rFonts w:ascii="Arial" w:hAnsi="Arial" w:cs="Arial"/>
                <w:color w:val="000000"/>
                <w:sz w:val="20"/>
                <w:szCs w:val="20"/>
              </w:rPr>
              <w:br/>
              <w:t>• Безусловен дипломатически чадър: Защита на режимите на международната сцена чрез системно налагане на вето в Съвета за сигурност на ООН.</w:t>
            </w:r>
          </w:p>
        </w:tc>
      </w:tr>
      <w:tr w:rsidR="00E5327D" w:rsidRPr="00E5327D" w14:paraId="3871C2C4" w14:textId="77777777" w:rsidTr="00E16931">
        <w:trPr>
          <w:cantSplit/>
          <w:trHeight w:val="1134"/>
        </w:trPr>
        <w:tc>
          <w:tcPr>
            <w:tcW w:w="1847" w:type="dxa"/>
            <w:shd w:val="clear" w:color="auto" w:fill="auto"/>
            <w:vAlign w:val="center"/>
            <w:hideMark/>
          </w:tcPr>
          <w:p w14:paraId="15D619B3" w14:textId="51234326" w:rsidR="00E5327D" w:rsidRPr="00E5327D" w:rsidRDefault="00E5327D" w:rsidP="00DD575A">
            <w:pPr>
              <w:jc w:val="center"/>
              <w:rPr>
                <w:rFonts w:ascii="Arial" w:hAnsi="Arial" w:cs="Arial"/>
                <w:b/>
                <w:i/>
                <w:sz w:val="20"/>
                <w:szCs w:val="20"/>
              </w:rPr>
            </w:pPr>
            <w:r w:rsidRPr="00E5327D">
              <w:rPr>
                <w:rFonts w:ascii="Arial" w:hAnsi="Arial" w:cs="Arial"/>
                <w:b/>
                <w:i/>
                <w:sz w:val="20"/>
                <w:szCs w:val="20"/>
              </w:rPr>
              <w:t>2. Военно-охранителен вектор</w:t>
            </w:r>
            <w:r w:rsidR="00E16931" w:rsidRPr="00E16931">
              <w:rPr>
                <w:rFonts w:ascii="Arial" w:hAnsi="Arial" w:cs="Arial"/>
                <w:b/>
                <w:i/>
                <w:sz w:val="20"/>
                <w:szCs w:val="20"/>
              </w:rPr>
              <w:t xml:space="preserve"> (модели за гарантиране на сигурността)</w:t>
            </w:r>
          </w:p>
        </w:tc>
        <w:tc>
          <w:tcPr>
            <w:tcW w:w="3976" w:type="dxa"/>
            <w:shd w:val="clear" w:color="auto" w:fill="auto"/>
            <w:vAlign w:val="center"/>
            <w:hideMark/>
          </w:tcPr>
          <w:p w14:paraId="7F5DFC7D" w14:textId="5CD2624F" w:rsidR="00E16931" w:rsidRPr="00E16931" w:rsidRDefault="00E16931" w:rsidP="00E16931">
            <w:pPr>
              <w:pStyle w:val="NormalWeb"/>
              <w:spacing w:before="0" w:beforeAutospacing="0" w:after="0" w:afterAutospacing="0"/>
              <w:jc w:val="center"/>
              <w:rPr>
                <w:rFonts w:ascii="Arial" w:hAnsi="Arial" w:cs="Arial"/>
                <w:sz w:val="20"/>
                <w:szCs w:val="20"/>
              </w:rPr>
            </w:pPr>
            <w:r w:rsidRPr="00E5327D">
              <w:rPr>
                <w:rFonts w:ascii="Arial" w:hAnsi="Arial" w:cs="Arial"/>
                <w:sz w:val="20"/>
                <w:szCs w:val="20"/>
              </w:rPr>
              <w:t xml:space="preserve">• </w:t>
            </w:r>
            <w:r w:rsidRPr="00E16931">
              <w:rPr>
                <w:rFonts w:ascii="Arial" w:hAnsi="Arial" w:cs="Arial"/>
                <w:sz w:val="20"/>
                <w:szCs w:val="20"/>
              </w:rPr>
              <w:t>Институционален подход и реформа на отбраната (SSR): Основният приоритет е дългосрочното изграждане на държавни институции, професионалната подготовка на офицерския състав и утвърждаването на граждански контрол над въоръжените сили.</w:t>
            </w:r>
          </w:p>
          <w:p w14:paraId="53AC3554" w14:textId="7DD8E00E" w:rsidR="00E16931" w:rsidRPr="00E16931" w:rsidRDefault="00E16931" w:rsidP="00E16931">
            <w:pPr>
              <w:pStyle w:val="NormalWeb"/>
              <w:spacing w:before="0" w:beforeAutospacing="0" w:after="0" w:afterAutospacing="0"/>
              <w:jc w:val="center"/>
              <w:rPr>
                <w:rFonts w:ascii="Arial" w:hAnsi="Arial" w:cs="Arial"/>
                <w:sz w:val="20"/>
                <w:szCs w:val="20"/>
              </w:rPr>
            </w:pPr>
            <w:r w:rsidRPr="00E5327D">
              <w:rPr>
                <w:rFonts w:ascii="Arial" w:hAnsi="Arial" w:cs="Arial"/>
                <w:sz w:val="20"/>
                <w:szCs w:val="20"/>
              </w:rPr>
              <w:t xml:space="preserve">• </w:t>
            </w:r>
            <w:r w:rsidRPr="00E16931">
              <w:rPr>
                <w:rFonts w:ascii="Arial" w:hAnsi="Arial" w:cs="Arial"/>
                <w:sz w:val="20"/>
                <w:szCs w:val="20"/>
              </w:rPr>
              <w:t xml:space="preserve">Военна помощ без осигуряване на тежко оръжие („обучение без въоръжаване“): Фокус върху тактически обучения, логистика и съветническа дейност, но с въздържане от доставка на </w:t>
            </w:r>
            <w:r w:rsidRPr="00E16931">
              <w:rPr>
                <w:rFonts w:ascii="Arial" w:hAnsi="Arial" w:cs="Arial"/>
                <w:sz w:val="20"/>
                <w:szCs w:val="20"/>
              </w:rPr>
              <w:t>ПВО системи, авиация, бронирани бойни машини и т.н.</w:t>
            </w:r>
          </w:p>
          <w:p w14:paraId="1086C357" w14:textId="499A4258" w:rsidR="00E16931" w:rsidRDefault="00E16931" w:rsidP="00E16931">
            <w:pPr>
              <w:pStyle w:val="NormalWeb"/>
              <w:spacing w:before="0" w:beforeAutospacing="0" w:after="0" w:afterAutospacing="0"/>
              <w:jc w:val="center"/>
              <w:rPr>
                <w:rFonts w:ascii="Arial" w:hAnsi="Arial" w:cs="Arial"/>
                <w:sz w:val="20"/>
                <w:szCs w:val="20"/>
              </w:rPr>
            </w:pPr>
            <w:r w:rsidRPr="00E5327D">
              <w:rPr>
                <w:rFonts w:ascii="Arial" w:hAnsi="Arial" w:cs="Arial"/>
                <w:sz w:val="20"/>
                <w:szCs w:val="20"/>
              </w:rPr>
              <w:t xml:space="preserve">• </w:t>
            </w:r>
            <w:r w:rsidRPr="00E16931">
              <w:rPr>
                <w:rFonts w:ascii="Arial" w:hAnsi="Arial" w:cs="Arial"/>
                <w:sz w:val="20"/>
                <w:szCs w:val="20"/>
              </w:rPr>
              <w:t>Нормативни и правни ограничения: Категоричен отказ от пряко участие в настъпателни действия; стриктни правила за употреба на сила с цел избягване на цивилни жертв</w:t>
            </w:r>
            <w:r>
              <w:rPr>
                <w:rFonts w:ascii="Arial" w:hAnsi="Arial" w:cs="Arial"/>
                <w:sz w:val="20"/>
                <w:szCs w:val="20"/>
              </w:rPr>
              <w:t xml:space="preserve">и; западните ЧВК </w:t>
            </w:r>
            <w:r w:rsidRPr="00E16931">
              <w:rPr>
                <w:rFonts w:ascii="Arial" w:hAnsi="Arial" w:cs="Arial"/>
                <w:sz w:val="20"/>
                <w:szCs w:val="20"/>
              </w:rPr>
              <w:t>са ограничени единствено до логистика и статична охрана на обекти съгласно международното право.</w:t>
            </w:r>
          </w:p>
          <w:p w14:paraId="51A4943C" w14:textId="50D3D71B" w:rsidR="00E5327D" w:rsidRPr="00E5327D" w:rsidRDefault="00E5327D" w:rsidP="00347FBE">
            <w:pPr>
              <w:pStyle w:val="NormalWeb"/>
              <w:spacing w:before="0" w:beforeAutospacing="0" w:after="0" w:afterAutospacing="0"/>
              <w:jc w:val="center"/>
              <w:rPr>
                <w:rFonts w:ascii="Arial" w:hAnsi="Arial" w:cs="Arial"/>
                <w:sz w:val="20"/>
                <w:szCs w:val="20"/>
              </w:rPr>
            </w:pPr>
          </w:p>
        </w:tc>
        <w:tc>
          <w:tcPr>
            <w:tcW w:w="3238" w:type="dxa"/>
            <w:shd w:val="clear" w:color="auto" w:fill="auto"/>
            <w:vAlign w:val="center"/>
            <w:hideMark/>
          </w:tcPr>
          <w:p w14:paraId="69A55627" w14:textId="74EA1961" w:rsidR="00347FBE" w:rsidRPr="00347FBE" w:rsidRDefault="00347FBE" w:rsidP="00347FBE">
            <w:pPr>
              <w:pStyle w:val="NormalWeb"/>
              <w:spacing w:before="0" w:beforeAutospacing="0" w:after="0" w:afterAutospacing="0"/>
              <w:jc w:val="center"/>
              <w:rPr>
                <w:rFonts w:ascii="Arial" w:hAnsi="Arial" w:cs="Arial"/>
                <w:sz w:val="20"/>
                <w:szCs w:val="20"/>
              </w:rPr>
            </w:pPr>
            <w:r w:rsidRPr="00347FBE">
              <w:rPr>
                <w:rFonts w:ascii="Arial" w:hAnsi="Arial" w:cs="Arial"/>
                <w:sz w:val="20"/>
                <w:szCs w:val="20"/>
              </w:rPr>
              <w:t>• Оцеляване на управляващия елит (regime survival): Надежден охранителен щит за персонална защита на държавните лидери и стратегическите обекти срещу вътрешни превр</w:t>
            </w:r>
            <w:r>
              <w:rPr>
                <w:rFonts w:ascii="Arial" w:hAnsi="Arial" w:cs="Arial"/>
                <w:sz w:val="20"/>
                <w:szCs w:val="20"/>
              </w:rPr>
              <w:t>ати.</w:t>
            </w:r>
          </w:p>
          <w:p w14:paraId="4537143F" w14:textId="6418C7B3" w:rsidR="00347FBE" w:rsidRPr="00347FBE" w:rsidRDefault="00347FBE" w:rsidP="00347FBE">
            <w:pPr>
              <w:pStyle w:val="NormalWeb"/>
              <w:spacing w:before="0" w:beforeAutospacing="0" w:after="0" w:afterAutospacing="0"/>
              <w:jc w:val="center"/>
              <w:rPr>
                <w:rFonts w:ascii="Arial" w:hAnsi="Arial" w:cs="Arial"/>
                <w:sz w:val="20"/>
                <w:szCs w:val="20"/>
              </w:rPr>
            </w:pPr>
            <w:r w:rsidRPr="00347FBE">
              <w:rPr>
                <w:rFonts w:ascii="Arial" w:hAnsi="Arial" w:cs="Arial"/>
                <w:sz w:val="20"/>
                <w:szCs w:val="20"/>
              </w:rPr>
              <w:t>• Директно участие на бойното поле: Бойците на „Африкански корпус“ действат на първа линия в съвместни настъпателни операции за твърдо ликвидиране на сеп</w:t>
            </w:r>
            <w:r>
              <w:rPr>
                <w:rFonts w:ascii="Arial" w:hAnsi="Arial" w:cs="Arial"/>
                <w:sz w:val="20"/>
                <w:szCs w:val="20"/>
              </w:rPr>
              <w:t>аратистки и джихадистки огнища.</w:t>
            </w:r>
          </w:p>
          <w:p w14:paraId="6D1083DC" w14:textId="768EEA27" w:rsidR="00347FBE" w:rsidRPr="00E16931" w:rsidRDefault="00347FBE" w:rsidP="00347FBE">
            <w:pPr>
              <w:pStyle w:val="NormalWeb"/>
              <w:spacing w:before="0" w:beforeAutospacing="0" w:after="0" w:afterAutospacing="0"/>
              <w:jc w:val="center"/>
              <w:rPr>
                <w:rFonts w:ascii="Arial" w:hAnsi="Arial" w:cs="Arial"/>
                <w:sz w:val="20"/>
                <w:szCs w:val="20"/>
              </w:rPr>
            </w:pPr>
            <w:r w:rsidRPr="00347FBE">
              <w:rPr>
                <w:rFonts w:ascii="Arial" w:hAnsi="Arial" w:cs="Arial"/>
                <w:sz w:val="20"/>
                <w:szCs w:val="20"/>
              </w:rPr>
              <w:t>• Незабавни оръжейни доставки без условия: Ускорено снабдяване</w:t>
            </w:r>
            <w:r>
              <w:rPr>
                <w:rFonts w:ascii="Arial" w:hAnsi="Arial" w:cs="Arial"/>
                <w:sz w:val="20"/>
                <w:szCs w:val="20"/>
              </w:rPr>
              <w:t xml:space="preserve"> с тежко</w:t>
            </w:r>
            <w:r w:rsidRPr="00347FBE">
              <w:rPr>
                <w:rFonts w:ascii="Arial" w:hAnsi="Arial" w:cs="Arial"/>
                <w:sz w:val="20"/>
                <w:szCs w:val="20"/>
              </w:rPr>
              <w:t xml:space="preserve"> въоръжение и авиация </w:t>
            </w:r>
            <w:r>
              <w:rPr>
                <w:rFonts w:ascii="Arial" w:hAnsi="Arial" w:cs="Arial"/>
                <w:sz w:val="20"/>
                <w:szCs w:val="20"/>
              </w:rPr>
              <w:t xml:space="preserve">без </w:t>
            </w:r>
            <w:r w:rsidRPr="00347FBE">
              <w:rPr>
                <w:rFonts w:ascii="Arial" w:hAnsi="Arial" w:cs="Arial"/>
                <w:sz w:val="20"/>
                <w:szCs w:val="20"/>
              </w:rPr>
              <w:t>изисквания и без ограничения за начина му на употреба.</w:t>
            </w:r>
          </w:p>
          <w:p w14:paraId="31D7A215" w14:textId="53703934" w:rsidR="00E5327D" w:rsidRPr="00E5327D" w:rsidRDefault="00E5327D" w:rsidP="00DD575A">
            <w:pPr>
              <w:jc w:val="center"/>
              <w:rPr>
                <w:rFonts w:ascii="Arial" w:hAnsi="Arial" w:cs="Arial"/>
                <w:color w:val="FF0000"/>
                <w:sz w:val="20"/>
                <w:szCs w:val="20"/>
              </w:rPr>
            </w:pPr>
          </w:p>
        </w:tc>
      </w:tr>
      <w:tr w:rsidR="00E5327D" w:rsidRPr="00E5327D" w14:paraId="566CF89A" w14:textId="77777777" w:rsidTr="00DD575A">
        <w:trPr>
          <w:cantSplit/>
          <w:trHeight w:val="1134"/>
        </w:trPr>
        <w:tc>
          <w:tcPr>
            <w:tcW w:w="1847" w:type="dxa"/>
            <w:shd w:val="clear" w:color="auto" w:fill="auto"/>
            <w:vAlign w:val="center"/>
            <w:hideMark/>
          </w:tcPr>
          <w:p w14:paraId="7F49A973" w14:textId="77777777" w:rsidR="00E5327D" w:rsidRPr="00E5327D" w:rsidRDefault="00E5327D" w:rsidP="00DD575A">
            <w:pPr>
              <w:jc w:val="center"/>
              <w:rPr>
                <w:rFonts w:ascii="Arial" w:hAnsi="Arial" w:cs="Arial"/>
                <w:b/>
                <w:i/>
                <w:sz w:val="20"/>
                <w:szCs w:val="20"/>
              </w:rPr>
            </w:pPr>
            <w:r w:rsidRPr="00E5327D">
              <w:rPr>
                <w:rFonts w:ascii="Arial" w:hAnsi="Arial" w:cs="Arial"/>
                <w:b/>
                <w:i/>
                <w:sz w:val="20"/>
                <w:szCs w:val="20"/>
              </w:rPr>
              <w:lastRenderedPageBreak/>
              <w:t>3. Икономика и стратегически ресурси</w:t>
            </w:r>
          </w:p>
        </w:tc>
        <w:tc>
          <w:tcPr>
            <w:tcW w:w="3976" w:type="dxa"/>
            <w:shd w:val="clear" w:color="auto" w:fill="auto"/>
            <w:vAlign w:val="center"/>
            <w:hideMark/>
          </w:tcPr>
          <w:p w14:paraId="47F68F39" w14:textId="35BAD107" w:rsidR="00E5327D" w:rsidRPr="00E5327D" w:rsidRDefault="00E5327D" w:rsidP="00DD575A">
            <w:pPr>
              <w:jc w:val="center"/>
              <w:rPr>
                <w:rFonts w:ascii="Arial" w:hAnsi="Arial" w:cs="Arial"/>
                <w:sz w:val="20"/>
                <w:szCs w:val="20"/>
              </w:rPr>
            </w:pPr>
            <w:r w:rsidRPr="00E5327D">
              <w:rPr>
                <w:rFonts w:ascii="Arial" w:hAnsi="Arial" w:cs="Arial"/>
                <w:sz w:val="20"/>
                <w:szCs w:val="20"/>
              </w:rPr>
              <w:t>• Макроикономически реформи: Финансиране чрез МВФ и Световната банка, обвързано с тежки, бавни и често непопулярни структурни изи</w:t>
            </w:r>
            <w:r w:rsidR="00DD575A" w:rsidRPr="007A0DF8">
              <w:rPr>
                <w:rFonts w:ascii="Arial" w:hAnsi="Arial" w:cs="Arial"/>
                <w:sz w:val="20"/>
                <w:szCs w:val="20"/>
              </w:rPr>
              <w:t>сквания.</w:t>
            </w:r>
            <w:r w:rsidR="00DD575A" w:rsidRPr="007A0DF8">
              <w:rPr>
                <w:rFonts w:ascii="Arial" w:hAnsi="Arial" w:cs="Arial"/>
                <w:sz w:val="20"/>
                <w:szCs w:val="20"/>
              </w:rPr>
              <w:br/>
              <w:t>• Капиталоемки инфраструктурни проекти</w:t>
            </w:r>
            <w:r w:rsidRPr="00E5327D">
              <w:rPr>
                <w:rFonts w:ascii="Arial" w:hAnsi="Arial" w:cs="Arial"/>
                <w:sz w:val="20"/>
                <w:szCs w:val="20"/>
              </w:rPr>
              <w:t>: Проекти за свързаност и дигитализация (Global Gateway, Lobito Corridor</w:t>
            </w:r>
            <w:r w:rsidR="00DD575A" w:rsidRPr="007A0DF8">
              <w:rPr>
                <w:rFonts w:ascii="Arial" w:hAnsi="Arial" w:cs="Arial"/>
                <w:sz w:val="20"/>
                <w:szCs w:val="20"/>
              </w:rPr>
              <w:t xml:space="preserve"> и др.</w:t>
            </w:r>
            <w:r w:rsidRPr="00E5327D">
              <w:rPr>
                <w:rFonts w:ascii="Arial" w:hAnsi="Arial" w:cs="Arial"/>
                <w:sz w:val="20"/>
                <w:szCs w:val="20"/>
              </w:rPr>
              <w:t>).</w:t>
            </w:r>
            <w:r w:rsidRPr="00E5327D">
              <w:rPr>
                <w:rFonts w:ascii="Arial" w:hAnsi="Arial" w:cs="Arial"/>
                <w:sz w:val="20"/>
                <w:szCs w:val="20"/>
              </w:rPr>
              <w:br/>
              <w:t>• Регулаторни бариери (ESG): Задължително съответствие с екологични, социални и управленски стандарти, което забавя проектния цикъл и усвояването на средствата.</w:t>
            </w:r>
          </w:p>
        </w:tc>
        <w:tc>
          <w:tcPr>
            <w:tcW w:w="3238" w:type="dxa"/>
            <w:shd w:val="clear" w:color="auto" w:fill="auto"/>
            <w:vAlign w:val="center"/>
            <w:hideMark/>
          </w:tcPr>
          <w:p w14:paraId="58E14DA8" w14:textId="65A46F01" w:rsidR="00E5327D" w:rsidRPr="00E5327D" w:rsidRDefault="00E5327D" w:rsidP="007A0DF8">
            <w:pPr>
              <w:jc w:val="center"/>
              <w:rPr>
                <w:rFonts w:ascii="Arial" w:hAnsi="Arial" w:cs="Arial"/>
                <w:color w:val="FF0000"/>
                <w:sz w:val="20"/>
                <w:szCs w:val="20"/>
              </w:rPr>
            </w:pPr>
            <w:r w:rsidRPr="00E5327D">
              <w:rPr>
                <w:rFonts w:ascii="Arial" w:hAnsi="Arial" w:cs="Arial"/>
                <w:sz w:val="20"/>
                <w:szCs w:val="20"/>
              </w:rPr>
              <w:t>• Модел „Сигурност срещу ресурси“: Асиметричен подход – разходите за сигурност се компенсират чрез директни концесии за добив на ценни суровини (злато, уран, диаманти, боксит) без екологични изисквания.</w:t>
            </w:r>
            <w:r w:rsidRPr="00E5327D">
              <w:rPr>
                <w:rFonts w:ascii="Arial" w:hAnsi="Arial" w:cs="Arial"/>
                <w:sz w:val="20"/>
                <w:szCs w:val="20"/>
              </w:rPr>
              <w:br/>
              <w:t>•</w:t>
            </w:r>
            <w:r w:rsidR="007A0DF8" w:rsidRPr="007A0DF8">
              <w:rPr>
                <w:rFonts w:ascii="Arial" w:hAnsi="Arial" w:cs="Arial"/>
                <w:sz w:val="20"/>
                <w:szCs w:val="20"/>
              </w:rPr>
              <w:t>Енергийна дипломация</w:t>
            </w:r>
            <w:r w:rsidRPr="00E5327D">
              <w:rPr>
                <w:rFonts w:ascii="Arial" w:hAnsi="Arial" w:cs="Arial"/>
                <w:sz w:val="20"/>
                <w:szCs w:val="20"/>
              </w:rPr>
              <w:t>: Дългосрочно обвързване чре</w:t>
            </w:r>
            <w:r w:rsidR="00DD575A" w:rsidRPr="007A0DF8">
              <w:rPr>
                <w:rFonts w:ascii="Arial" w:hAnsi="Arial" w:cs="Arial"/>
                <w:sz w:val="20"/>
                <w:szCs w:val="20"/>
              </w:rPr>
              <w:t>з ядрени проекти на</w:t>
            </w:r>
            <w:r w:rsidRPr="00E5327D">
              <w:rPr>
                <w:rFonts w:ascii="Arial" w:hAnsi="Arial" w:cs="Arial"/>
                <w:sz w:val="20"/>
                <w:szCs w:val="20"/>
              </w:rPr>
              <w:t xml:space="preserve"> „Росатом“.</w:t>
            </w:r>
            <w:r w:rsidRPr="00E5327D">
              <w:rPr>
                <w:rFonts w:ascii="Arial" w:hAnsi="Arial" w:cs="Arial"/>
                <w:sz w:val="20"/>
                <w:szCs w:val="20"/>
              </w:rPr>
              <w:br/>
            </w:r>
            <w:r w:rsidR="007A0DF8" w:rsidRPr="00E5327D">
              <w:rPr>
                <w:rFonts w:ascii="Arial" w:hAnsi="Arial" w:cs="Arial"/>
                <w:sz w:val="20"/>
                <w:szCs w:val="20"/>
              </w:rPr>
              <w:t>•</w:t>
            </w:r>
            <w:r w:rsidR="007A0DF8" w:rsidRPr="007A0DF8">
              <w:rPr>
                <w:rFonts w:ascii="Arial" w:hAnsi="Arial" w:cs="Arial"/>
                <w:sz w:val="20"/>
                <w:szCs w:val="20"/>
              </w:rPr>
              <w:t>Продоволствен натиск: Преференциални доставки на зърно и торове, използвани като лост за осигуряване на геополитическа лоялност.</w:t>
            </w:r>
          </w:p>
        </w:tc>
      </w:tr>
      <w:tr w:rsidR="00E5327D" w:rsidRPr="00E5327D" w14:paraId="5AB251F6" w14:textId="77777777" w:rsidTr="00DD575A">
        <w:trPr>
          <w:cantSplit/>
          <w:trHeight w:val="1134"/>
        </w:trPr>
        <w:tc>
          <w:tcPr>
            <w:tcW w:w="1847" w:type="dxa"/>
            <w:shd w:val="clear" w:color="auto" w:fill="auto"/>
            <w:vAlign w:val="center"/>
            <w:hideMark/>
          </w:tcPr>
          <w:p w14:paraId="2D8A0C3B" w14:textId="48628CD4" w:rsidR="00E5327D" w:rsidRPr="00E5327D" w:rsidRDefault="00DD575A" w:rsidP="00DD575A">
            <w:pPr>
              <w:jc w:val="center"/>
              <w:rPr>
                <w:rFonts w:ascii="Arial" w:hAnsi="Arial" w:cs="Arial"/>
                <w:b/>
                <w:i/>
                <w:color w:val="000000"/>
                <w:sz w:val="20"/>
                <w:szCs w:val="20"/>
              </w:rPr>
            </w:pPr>
            <w:r w:rsidRPr="007A0DF8">
              <w:rPr>
                <w:rFonts w:ascii="Arial" w:hAnsi="Arial" w:cs="Arial"/>
                <w:b/>
                <w:i/>
                <w:color w:val="000000"/>
                <w:sz w:val="20"/>
                <w:szCs w:val="20"/>
              </w:rPr>
              <w:t>4. Информационно-психологическа</w:t>
            </w:r>
            <w:r w:rsidR="00E5327D" w:rsidRPr="00E5327D">
              <w:rPr>
                <w:rFonts w:ascii="Arial" w:hAnsi="Arial" w:cs="Arial"/>
                <w:b/>
                <w:i/>
                <w:color w:val="000000"/>
                <w:sz w:val="20"/>
                <w:szCs w:val="20"/>
              </w:rPr>
              <w:t xml:space="preserve"> проекция</w:t>
            </w:r>
          </w:p>
        </w:tc>
        <w:tc>
          <w:tcPr>
            <w:tcW w:w="3976" w:type="dxa"/>
            <w:shd w:val="clear" w:color="auto" w:fill="auto"/>
            <w:vAlign w:val="center"/>
            <w:hideMark/>
          </w:tcPr>
          <w:p w14:paraId="2403F692" w14:textId="53FDAE70" w:rsidR="00E5327D" w:rsidRPr="00E5327D" w:rsidRDefault="00E5327D" w:rsidP="00DD575A">
            <w:pPr>
              <w:jc w:val="center"/>
              <w:rPr>
                <w:rFonts w:ascii="Arial" w:hAnsi="Arial" w:cs="Arial"/>
                <w:color w:val="000000"/>
                <w:sz w:val="20"/>
                <w:szCs w:val="20"/>
              </w:rPr>
            </w:pPr>
            <w:r w:rsidRPr="00E5327D">
              <w:rPr>
                <w:rFonts w:ascii="Arial" w:hAnsi="Arial" w:cs="Arial"/>
                <w:color w:val="000000"/>
                <w:sz w:val="20"/>
                <w:szCs w:val="20"/>
              </w:rPr>
              <w:t>• Класическа „мека сила“: Дългосрочна образователна дипломация, студентски обмен (YALI, Erasmus+</w:t>
            </w:r>
            <w:r w:rsidR="00DD575A" w:rsidRPr="007A0DF8">
              <w:rPr>
                <w:rFonts w:ascii="Arial" w:hAnsi="Arial" w:cs="Arial"/>
                <w:color w:val="000000"/>
                <w:sz w:val="20"/>
                <w:szCs w:val="20"/>
              </w:rPr>
              <w:t xml:space="preserve"> и др.</w:t>
            </w:r>
            <w:r w:rsidRPr="00E5327D">
              <w:rPr>
                <w:rFonts w:ascii="Arial" w:hAnsi="Arial" w:cs="Arial"/>
                <w:color w:val="000000"/>
                <w:sz w:val="20"/>
                <w:szCs w:val="20"/>
              </w:rPr>
              <w:t>) и подкрепа за гражданския сектор.</w:t>
            </w:r>
            <w:r w:rsidRPr="00E5327D">
              <w:rPr>
                <w:rFonts w:ascii="Arial" w:hAnsi="Arial" w:cs="Arial"/>
                <w:color w:val="000000"/>
                <w:sz w:val="20"/>
                <w:szCs w:val="20"/>
              </w:rPr>
              <w:br/>
              <w:t>• Ценностни послания: Насърчаване на демократичните норми, правовата държава и институционалния диалог.</w:t>
            </w:r>
            <w:r w:rsidRPr="00E5327D">
              <w:rPr>
                <w:rFonts w:ascii="Arial" w:hAnsi="Arial" w:cs="Arial"/>
                <w:color w:val="000000"/>
                <w:sz w:val="20"/>
                <w:szCs w:val="20"/>
              </w:rPr>
              <w:br/>
              <w:t>• Комуникационен дефицит: Бавни официални канали, които трудно противодействат при внезапни кризи или агресивна враждебна пропаганда.</w:t>
            </w:r>
          </w:p>
        </w:tc>
        <w:tc>
          <w:tcPr>
            <w:tcW w:w="3238" w:type="dxa"/>
            <w:shd w:val="clear" w:color="auto" w:fill="auto"/>
            <w:vAlign w:val="center"/>
            <w:hideMark/>
          </w:tcPr>
          <w:p w14:paraId="47170F4A" w14:textId="77777777" w:rsidR="00E5327D" w:rsidRPr="00E5327D" w:rsidRDefault="00E5327D" w:rsidP="00DD575A">
            <w:pPr>
              <w:jc w:val="center"/>
              <w:rPr>
                <w:rFonts w:ascii="Arial" w:hAnsi="Arial" w:cs="Arial"/>
                <w:color w:val="000000"/>
                <w:sz w:val="20"/>
                <w:szCs w:val="20"/>
              </w:rPr>
            </w:pPr>
            <w:r w:rsidRPr="00E5327D">
              <w:rPr>
                <w:rFonts w:ascii="Arial" w:hAnsi="Arial" w:cs="Arial"/>
                <w:color w:val="000000"/>
                <w:sz w:val="20"/>
                <w:szCs w:val="20"/>
              </w:rPr>
              <w:t>• Хибридни и когнитивни операции: Масирани кампании в социалните мрежи (предимно Telegram и Facebook) за целенасочена делигитимация на Запада.</w:t>
            </w:r>
            <w:r w:rsidRPr="00E5327D">
              <w:rPr>
                <w:rFonts w:ascii="Arial" w:hAnsi="Arial" w:cs="Arial"/>
                <w:color w:val="000000"/>
                <w:sz w:val="20"/>
                <w:szCs w:val="20"/>
              </w:rPr>
              <w:br/>
              <w:t>• Антиколониален наратив: Инструментализиране на историческото недоволство спрямо Франция и представяне на Русия като алтернативен защитник на суверенитета.</w:t>
            </w:r>
            <w:r w:rsidRPr="00E5327D">
              <w:rPr>
                <w:rFonts w:ascii="Arial" w:hAnsi="Arial" w:cs="Arial"/>
                <w:color w:val="000000"/>
                <w:sz w:val="20"/>
                <w:szCs w:val="20"/>
              </w:rPr>
              <w:br/>
              <w:t>• Локални мрежи: Финансиране на местни инфлуенсъри и медии (African Initiative), легитимиращи руското присъствие сред населението.</w:t>
            </w:r>
          </w:p>
        </w:tc>
      </w:tr>
      <w:tr w:rsidR="00E5327D" w:rsidRPr="00E5327D" w14:paraId="7ACFC547" w14:textId="77777777" w:rsidTr="00DD575A">
        <w:trPr>
          <w:cantSplit/>
          <w:trHeight w:val="1134"/>
        </w:trPr>
        <w:tc>
          <w:tcPr>
            <w:tcW w:w="1847" w:type="dxa"/>
            <w:shd w:val="clear" w:color="auto" w:fill="auto"/>
            <w:vAlign w:val="center"/>
            <w:hideMark/>
          </w:tcPr>
          <w:p w14:paraId="05FF4088" w14:textId="44819999" w:rsidR="00E5327D" w:rsidRPr="00E5327D" w:rsidRDefault="00E5327D" w:rsidP="00DD575A">
            <w:pPr>
              <w:jc w:val="center"/>
              <w:rPr>
                <w:rFonts w:ascii="Arial" w:hAnsi="Arial" w:cs="Arial"/>
                <w:b/>
                <w:i/>
                <w:color w:val="000000"/>
                <w:sz w:val="20"/>
                <w:szCs w:val="20"/>
              </w:rPr>
            </w:pPr>
            <w:r w:rsidRPr="00E5327D">
              <w:rPr>
                <w:rFonts w:ascii="Arial" w:hAnsi="Arial" w:cs="Arial"/>
                <w:b/>
                <w:i/>
                <w:color w:val="000000"/>
                <w:sz w:val="20"/>
                <w:szCs w:val="20"/>
              </w:rPr>
              <w:t>5. Опе</w:t>
            </w:r>
            <w:r w:rsidR="00DD575A" w:rsidRPr="007A0DF8">
              <w:rPr>
                <w:rFonts w:ascii="Arial" w:hAnsi="Arial" w:cs="Arial"/>
                <w:b/>
                <w:i/>
                <w:color w:val="000000"/>
                <w:sz w:val="20"/>
                <w:szCs w:val="20"/>
              </w:rPr>
              <w:t>ративна динамика. Време за реакция (решаващ фактор)</w:t>
            </w:r>
          </w:p>
        </w:tc>
        <w:tc>
          <w:tcPr>
            <w:tcW w:w="3976" w:type="dxa"/>
            <w:shd w:val="clear" w:color="auto" w:fill="auto"/>
            <w:vAlign w:val="center"/>
            <w:hideMark/>
          </w:tcPr>
          <w:p w14:paraId="2C5B660B" w14:textId="7830D0B9" w:rsidR="00E5327D" w:rsidRPr="00E5327D" w:rsidRDefault="00DD575A" w:rsidP="00DD575A">
            <w:pPr>
              <w:jc w:val="center"/>
              <w:rPr>
                <w:rFonts w:ascii="Arial" w:hAnsi="Arial" w:cs="Arial"/>
                <w:color w:val="000000"/>
                <w:sz w:val="20"/>
                <w:szCs w:val="20"/>
              </w:rPr>
            </w:pPr>
            <w:r w:rsidRPr="007A0DF8">
              <w:rPr>
                <w:rFonts w:ascii="Arial" w:hAnsi="Arial" w:cs="Arial"/>
                <w:color w:val="000000"/>
                <w:sz w:val="20"/>
                <w:szCs w:val="20"/>
              </w:rPr>
              <w:t>• Бюрократична тромавост</w:t>
            </w:r>
            <w:r w:rsidR="00E5327D" w:rsidRPr="00E5327D">
              <w:rPr>
                <w:rFonts w:ascii="Arial" w:hAnsi="Arial" w:cs="Arial"/>
                <w:color w:val="000000"/>
                <w:sz w:val="20"/>
                <w:szCs w:val="20"/>
              </w:rPr>
              <w:t>: Вземането на решения изисква сложни парламентарни дебати, правни съгласувания и постигане на консенсус между съюзниците в ЕС и НАТО.</w:t>
            </w:r>
            <w:r w:rsidR="00E5327D" w:rsidRPr="00E5327D">
              <w:rPr>
                <w:rFonts w:ascii="Arial" w:hAnsi="Arial" w:cs="Arial"/>
                <w:color w:val="000000"/>
                <w:sz w:val="20"/>
                <w:szCs w:val="20"/>
              </w:rPr>
              <w:br/>
              <w:t>• Забавено развръщане: Процедурите по изпращане на мисии, техника или финансови пакети отнемат месеци или години.</w:t>
            </w:r>
            <w:r w:rsidR="00E5327D" w:rsidRPr="00E5327D">
              <w:rPr>
                <w:rFonts w:ascii="Arial" w:hAnsi="Arial" w:cs="Arial"/>
                <w:color w:val="000000"/>
                <w:sz w:val="20"/>
                <w:szCs w:val="20"/>
              </w:rPr>
              <w:br/>
              <w:t>• Загуба на инициатива: Тромавият институционален механизъм изпуска критичния момент при рязка ескалация на сигурността.</w:t>
            </w:r>
          </w:p>
        </w:tc>
        <w:tc>
          <w:tcPr>
            <w:tcW w:w="3238" w:type="dxa"/>
            <w:shd w:val="clear" w:color="auto" w:fill="auto"/>
            <w:vAlign w:val="center"/>
            <w:hideMark/>
          </w:tcPr>
          <w:p w14:paraId="49667628" w14:textId="4032DE74" w:rsidR="00E5327D" w:rsidRPr="00E5327D" w:rsidRDefault="00E5327D" w:rsidP="00DD575A">
            <w:pPr>
              <w:jc w:val="center"/>
              <w:rPr>
                <w:rFonts w:ascii="Arial" w:hAnsi="Arial" w:cs="Arial"/>
                <w:color w:val="000000"/>
                <w:sz w:val="20"/>
                <w:szCs w:val="20"/>
              </w:rPr>
            </w:pPr>
            <w:r w:rsidRPr="00E5327D">
              <w:rPr>
                <w:rFonts w:ascii="Arial" w:hAnsi="Arial" w:cs="Arial"/>
                <w:color w:val="000000"/>
                <w:sz w:val="20"/>
                <w:szCs w:val="20"/>
              </w:rPr>
              <w:t>• Висока скорост на реакция: Централизирано, еднолично вземане на решения на най-високо държавно равнище, често в директен контакт с африканските лидери.</w:t>
            </w:r>
            <w:r w:rsidRPr="00E5327D">
              <w:rPr>
                <w:rFonts w:ascii="Arial" w:hAnsi="Arial" w:cs="Arial"/>
                <w:color w:val="000000"/>
                <w:sz w:val="20"/>
                <w:szCs w:val="20"/>
              </w:rPr>
              <w:br/>
              <w:t>• Светкавично разполагане: В</w:t>
            </w:r>
            <w:r w:rsidR="00DD575A" w:rsidRPr="007A0DF8">
              <w:rPr>
                <w:rFonts w:ascii="Arial" w:hAnsi="Arial" w:cs="Arial"/>
                <w:color w:val="000000"/>
                <w:sz w:val="20"/>
                <w:szCs w:val="20"/>
              </w:rPr>
              <w:t>оенни инструктори, бойци и военна</w:t>
            </w:r>
            <w:r w:rsidRPr="00E5327D">
              <w:rPr>
                <w:rFonts w:ascii="Arial" w:hAnsi="Arial" w:cs="Arial"/>
                <w:color w:val="000000"/>
                <w:sz w:val="20"/>
                <w:szCs w:val="20"/>
              </w:rPr>
              <w:t xml:space="preserve"> техника се прехвърлят на терен в рамките на броени дни.</w:t>
            </w:r>
            <w:r w:rsidRPr="00E5327D">
              <w:rPr>
                <w:rFonts w:ascii="Arial" w:hAnsi="Arial" w:cs="Arial"/>
                <w:color w:val="000000"/>
                <w:sz w:val="20"/>
                <w:szCs w:val="20"/>
              </w:rPr>
              <w:br/>
              <w:t>• Решаващо тактическо предимство: Способността за незабавно запълване на вакуума в сигурността осигурява надмощие в силно динамична среда.</w:t>
            </w:r>
          </w:p>
        </w:tc>
      </w:tr>
    </w:tbl>
    <w:p w14:paraId="2FB2B0D4" w14:textId="77777777" w:rsidR="00761640" w:rsidRPr="007A0DF8" w:rsidRDefault="00761640" w:rsidP="00761640">
      <w:pPr>
        <w:spacing w:before="100" w:beforeAutospacing="1" w:after="100" w:afterAutospacing="1"/>
        <w:jc w:val="both"/>
        <w:rPr>
          <w:sz w:val="20"/>
          <w:szCs w:val="20"/>
        </w:rPr>
      </w:pPr>
      <w:r w:rsidRPr="007A0DF8">
        <w:rPr>
          <w:b/>
          <w:bCs/>
          <w:sz w:val="20"/>
          <w:szCs w:val="20"/>
        </w:rPr>
        <w:t>Таблица 1. Сравнителна матрица на геополитическите инструменти за влияние в Африка</w:t>
      </w:r>
    </w:p>
    <w:p w14:paraId="11DF6C73" w14:textId="120309C0" w:rsidR="00414685" w:rsidRPr="00DD2E7B" w:rsidRDefault="00414685" w:rsidP="00126093">
      <w:pPr>
        <w:ind w:firstLine="708"/>
        <w:jc w:val="both"/>
        <w:rPr>
          <w:szCs w:val="28"/>
        </w:rPr>
      </w:pPr>
      <w:r w:rsidRPr="00DD2E7B">
        <w:rPr>
          <w:szCs w:val="28"/>
        </w:rPr>
        <w:t>Детайлният преглед разкрива, че ключовото предимство на руския модел не се крие във финанс</w:t>
      </w:r>
      <w:bookmarkStart w:id="0" w:name="_GoBack"/>
      <w:bookmarkEnd w:id="0"/>
      <w:r w:rsidRPr="00DD2E7B">
        <w:rPr>
          <w:szCs w:val="28"/>
        </w:rPr>
        <w:t xml:space="preserve">овия му обем, а в неговата безкомпромисна оперативна скорост и липса на нормативни бариери. </w:t>
      </w:r>
      <w:r w:rsidR="00167E1A" w:rsidRPr="00DD2E7B">
        <w:t>Възползвайки се умело от парадокса на западната политическа обусловеност, Русия превърна своя модел в ефективен инструмент за бързо геополитическо изтласкване на Запада от ключови региони на континента.</w:t>
      </w:r>
    </w:p>
    <w:p w14:paraId="435037B1" w14:textId="77777777" w:rsidR="00414685" w:rsidRPr="00B06A0C" w:rsidRDefault="00414685" w:rsidP="00B06A0C">
      <w:pPr>
        <w:jc w:val="both"/>
        <w:rPr>
          <w:i/>
          <w:szCs w:val="28"/>
          <w:u w:val="single"/>
        </w:rPr>
      </w:pPr>
      <w:r w:rsidRPr="00B06A0C">
        <w:rPr>
          <w:b/>
          <w:bCs/>
          <w:i/>
          <w:szCs w:val="28"/>
          <w:u w:val="single"/>
        </w:rPr>
        <w:lastRenderedPageBreak/>
        <w:t>5. Последици за сигурността в региона и отражението им върху ЕС и НАТО</w:t>
      </w:r>
    </w:p>
    <w:p w14:paraId="6BDD29C2" w14:textId="3E591A10" w:rsidR="00414685" w:rsidRPr="00414685" w:rsidRDefault="00414685" w:rsidP="00676503">
      <w:pPr>
        <w:ind w:firstLine="708"/>
        <w:jc w:val="both"/>
        <w:rPr>
          <w:szCs w:val="28"/>
        </w:rPr>
      </w:pPr>
      <w:r w:rsidRPr="00414685">
        <w:rPr>
          <w:szCs w:val="28"/>
        </w:rPr>
        <w:t>Динамиката на ге</w:t>
      </w:r>
      <w:r w:rsidR="00DD2E7B">
        <w:rPr>
          <w:szCs w:val="28"/>
        </w:rPr>
        <w:t>ополитическия сблъсък предизвик</w:t>
      </w:r>
      <w:r w:rsidRPr="00414685">
        <w:rPr>
          <w:szCs w:val="28"/>
        </w:rPr>
        <w:t>а верижна дестабилизация. Ерозията на западното влияние в региона на Сахел доведе до фундаментален разпад на региона</w:t>
      </w:r>
      <w:r w:rsidR="00676503">
        <w:rPr>
          <w:szCs w:val="28"/>
        </w:rPr>
        <w:t>лната архитектура за сигурност.</w:t>
      </w:r>
    </w:p>
    <w:p w14:paraId="1E97DD9B" w14:textId="77777777" w:rsidR="00414685" w:rsidRPr="00B06A0C" w:rsidRDefault="00414685" w:rsidP="00B06A0C">
      <w:pPr>
        <w:jc w:val="both"/>
        <w:rPr>
          <w:i/>
          <w:szCs w:val="28"/>
          <w:u w:val="single"/>
        </w:rPr>
      </w:pPr>
      <w:r w:rsidRPr="00B06A0C">
        <w:rPr>
          <w:b/>
          <w:bCs/>
          <w:i/>
          <w:szCs w:val="28"/>
          <w:u w:val="single"/>
        </w:rPr>
        <w:t>5.1. Фрагментация на регионалните съюзи (Казусът със създаването на AES)</w:t>
      </w:r>
    </w:p>
    <w:p w14:paraId="561E6869" w14:textId="3121436E" w:rsidR="00414685" w:rsidRPr="00414685" w:rsidRDefault="00414685" w:rsidP="00676503">
      <w:pPr>
        <w:ind w:firstLine="708"/>
        <w:jc w:val="both"/>
        <w:rPr>
          <w:szCs w:val="28"/>
        </w:rPr>
      </w:pPr>
      <w:r w:rsidRPr="00414685">
        <w:rPr>
          <w:szCs w:val="28"/>
        </w:rPr>
        <w:t xml:space="preserve">Окончателното оттегляне на Мали, Буркина Фасо и Нигер от ЕКОВАС лиши организацията от </w:t>
      </w:r>
      <w:r w:rsidR="008B0603" w:rsidRPr="00966C7D">
        <w:rPr>
          <w:szCs w:val="28"/>
        </w:rPr>
        <w:t>оперативния и политически капацитет за предотвратяване на конфликти в Западна Африка.</w:t>
      </w:r>
      <w:r w:rsidR="008B0603">
        <w:rPr>
          <w:szCs w:val="28"/>
        </w:rPr>
        <w:t xml:space="preserve"> </w:t>
      </w:r>
      <w:r w:rsidR="008B0603" w:rsidRPr="00966C7D">
        <w:rPr>
          <w:szCs w:val="28"/>
        </w:rPr>
        <w:t>В отговор на дипломатическата изолация, трите държави консолидираха своите режими в алтернативна структура – „Алианс на държавите от Сахел“ (</w:t>
      </w:r>
      <w:r w:rsidR="008B0603" w:rsidRPr="00966C7D">
        <w:rPr>
          <w:i/>
          <w:iCs/>
          <w:szCs w:val="28"/>
        </w:rPr>
        <w:t>AES</w:t>
      </w:r>
      <w:r w:rsidR="00326501">
        <w:rPr>
          <w:szCs w:val="28"/>
        </w:rPr>
        <w:t>). Тази организация</w:t>
      </w:r>
      <w:r w:rsidR="008B0603" w:rsidRPr="00966C7D">
        <w:rPr>
          <w:szCs w:val="28"/>
        </w:rPr>
        <w:t xml:space="preserve"> функционира като изразен антизападен военно-политически блок, разполагащ с клауза за взаимна отбрана.</w:t>
      </w:r>
      <w:r w:rsidR="008B0603">
        <w:rPr>
          <w:szCs w:val="28"/>
        </w:rPr>
        <w:t xml:space="preserve"> </w:t>
      </w:r>
      <w:r w:rsidR="008B0603" w:rsidRPr="00966C7D">
        <w:rPr>
          <w:szCs w:val="28"/>
        </w:rPr>
        <w:t xml:space="preserve">Разривът между </w:t>
      </w:r>
      <w:r w:rsidR="008B0603" w:rsidRPr="00966C7D">
        <w:rPr>
          <w:i/>
          <w:iCs/>
          <w:szCs w:val="28"/>
        </w:rPr>
        <w:t>AES</w:t>
      </w:r>
      <w:r w:rsidR="008B0603" w:rsidRPr="00966C7D">
        <w:rPr>
          <w:szCs w:val="28"/>
        </w:rPr>
        <w:t xml:space="preserve"> и ЕКОВАС преустанови съвместните гранични патрули и обмена на разузнавателна информация. Тази фрагментация унищожи традиционната буферна зона срещу ислямския радикализъм и отвори свободен транзитен коридор за експанзия на джихадистки организации към крайбрежните държави от Гвинейския залив.</w:t>
      </w:r>
    </w:p>
    <w:p w14:paraId="67986553" w14:textId="15DB2349" w:rsidR="00414685" w:rsidRPr="00B06A0C" w:rsidRDefault="00414685" w:rsidP="00B06A0C">
      <w:pPr>
        <w:jc w:val="both"/>
        <w:rPr>
          <w:i/>
          <w:szCs w:val="28"/>
          <w:u w:val="single"/>
        </w:rPr>
      </w:pPr>
      <w:r w:rsidRPr="00B06A0C">
        <w:rPr>
          <w:b/>
          <w:bCs/>
          <w:i/>
          <w:szCs w:val="28"/>
          <w:u w:val="single"/>
        </w:rPr>
        <w:t>5.2. Предизвикателства пред европейската сигурност</w:t>
      </w:r>
    </w:p>
    <w:p w14:paraId="689BDFBE" w14:textId="11ACDACE" w:rsidR="00414685" w:rsidRPr="00414685" w:rsidRDefault="00414685" w:rsidP="002F4561">
      <w:pPr>
        <w:ind w:firstLine="708"/>
        <w:jc w:val="both"/>
        <w:rPr>
          <w:szCs w:val="28"/>
        </w:rPr>
      </w:pPr>
      <w:r w:rsidRPr="00414685">
        <w:rPr>
          <w:szCs w:val="28"/>
        </w:rPr>
        <w:t>Замяната на западните контингенти с руския „Африкански корпус“ позволи на Кремъл да установи стратегически плацдарм в близост до Средиземно море. Решението на военното ръководство в Нигер да отмени закона, криминализиращ трафика на хора</w:t>
      </w:r>
      <w:r w:rsidR="002F4561">
        <w:rPr>
          <w:szCs w:val="28"/>
        </w:rPr>
        <w:t xml:space="preserve"> (</w:t>
      </w:r>
      <w:r w:rsidR="002F4561" w:rsidRPr="00966C7D">
        <w:rPr>
          <w:szCs w:val="28"/>
        </w:rPr>
        <w:t>Закон 2015-036</w:t>
      </w:r>
      <w:r w:rsidR="002F4561">
        <w:rPr>
          <w:szCs w:val="28"/>
        </w:rPr>
        <w:t>)</w:t>
      </w:r>
      <w:r w:rsidRPr="00414685">
        <w:rPr>
          <w:szCs w:val="28"/>
        </w:rPr>
        <w:t>, възобнови дейността на миграционния хъб Агадез, осигурявайки на Москва лост за хибридно изнудване чрез стимулиране на бежански вълни. Този процес оказва натиск върху Източносредиземно</w:t>
      </w:r>
      <w:r w:rsidR="00126093">
        <w:rPr>
          <w:szCs w:val="28"/>
        </w:rPr>
        <w:t>морския и Балканския бежански</w:t>
      </w:r>
      <w:r w:rsidRPr="00414685">
        <w:rPr>
          <w:szCs w:val="28"/>
        </w:rPr>
        <w:t xml:space="preserve"> маршрут, засягайки пряко Югоизточния фланг на НАТО</w:t>
      </w:r>
      <w:r w:rsidR="00D15F1C">
        <w:rPr>
          <w:szCs w:val="28"/>
        </w:rPr>
        <w:t xml:space="preserve"> и </w:t>
      </w:r>
      <w:r w:rsidR="00676503">
        <w:rPr>
          <w:szCs w:val="28"/>
        </w:rPr>
        <w:t>ЕС (вкл. и България)</w:t>
      </w:r>
      <w:r w:rsidR="00B6286D">
        <w:rPr>
          <w:szCs w:val="28"/>
        </w:rPr>
        <w:t xml:space="preserve">. </w:t>
      </w:r>
      <w:r w:rsidRPr="00414685">
        <w:rPr>
          <w:szCs w:val="28"/>
        </w:rPr>
        <w:t xml:space="preserve">Успоредно с това, изтеглянето на американските сили създаде критичен разузнавателен вакуум, а изтласкването на западните компании прекъсна достъпа до важни минерали (уран, литий) и замрази ключови проекти като Транссахарския газопровод. В отговор на тези дефицити, Алиансът активира своя </w:t>
      </w:r>
      <w:r w:rsidR="00ED22E5">
        <w:rPr>
          <w:szCs w:val="28"/>
        </w:rPr>
        <w:t>План за действие за Южния фланг</w:t>
      </w:r>
      <w:r w:rsidRPr="00414685">
        <w:rPr>
          <w:szCs w:val="28"/>
        </w:rPr>
        <w:t xml:space="preserve"> (SNAP).</w:t>
      </w:r>
    </w:p>
    <w:p w14:paraId="3EE363F3" w14:textId="77777777" w:rsidR="00414685" w:rsidRPr="00B06A0C" w:rsidRDefault="00414685" w:rsidP="00B06A0C">
      <w:pPr>
        <w:jc w:val="both"/>
        <w:rPr>
          <w:i/>
          <w:szCs w:val="28"/>
          <w:u w:val="single"/>
        </w:rPr>
      </w:pPr>
      <w:r w:rsidRPr="00B06A0C">
        <w:rPr>
          <w:b/>
          <w:bCs/>
          <w:i/>
          <w:szCs w:val="28"/>
          <w:u w:val="single"/>
        </w:rPr>
        <w:t>5.3. Китайският фактор: негласното разпределение на ролите между Москва и Пекин</w:t>
      </w:r>
    </w:p>
    <w:p w14:paraId="3D8FCA23" w14:textId="51683A25" w:rsidR="00FB5987" w:rsidRPr="00C76510" w:rsidRDefault="00414685" w:rsidP="00657295">
      <w:pPr>
        <w:ind w:firstLine="706"/>
        <w:jc w:val="both"/>
        <w:rPr>
          <w:szCs w:val="28"/>
        </w:rPr>
      </w:pPr>
      <w:r w:rsidRPr="00C76510">
        <w:rPr>
          <w:szCs w:val="28"/>
        </w:rPr>
        <w:t>Въпре</w:t>
      </w:r>
      <w:r w:rsidR="003F66DB" w:rsidRPr="00C76510">
        <w:rPr>
          <w:szCs w:val="28"/>
        </w:rPr>
        <w:t>ки очакванията за стратегическа надпревара</w:t>
      </w:r>
      <w:r w:rsidRPr="00C76510">
        <w:rPr>
          <w:szCs w:val="28"/>
        </w:rPr>
        <w:t>, Москва и Пекин не влизат в пряка ко</w:t>
      </w:r>
      <w:r w:rsidR="003F66DB" w:rsidRPr="00C76510">
        <w:rPr>
          <w:szCs w:val="28"/>
        </w:rPr>
        <w:t xml:space="preserve">нфронтация. Те прилагат принципа </w:t>
      </w:r>
      <w:r w:rsidR="00D86915" w:rsidRPr="00C76510">
        <w:rPr>
          <w:szCs w:val="28"/>
        </w:rPr>
        <w:t xml:space="preserve">на </w:t>
      </w:r>
      <w:r w:rsidR="00D86915" w:rsidRPr="00C76510">
        <w:rPr>
          <w:szCs w:val="28"/>
        </w:rPr>
        <w:t>ав</w:t>
      </w:r>
      <w:r w:rsidR="00D86915" w:rsidRPr="00C76510">
        <w:rPr>
          <w:szCs w:val="28"/>
        </w:rPr>
        <w:t xml:space="preserve">торитарна симбиоза с </w:t>
      </w:r>
      <w:r w:rsidR="003F66DB" w:rsidRPr="00C76510">
        <w:rPr>
          <w:szCs w:val="28"/>
        </w:rPr>
        <w:t>ясно</w:t>
      </w:r>
      <w:r w:rsidR="00D86915" w:rsidRPr="00C76510">
        <w:rPr>
          <w:szCs w:val="28"/>
        </w:rPr>
        <w:t xml:space="preserve"> разпределение</w:t>
      </w:r>
      <w:r w:rsidR="003F66DB" w:rsidRPr="00C76510">
        <w:rPr>
          <w:szCs w:val="28"/>
        </w:rPr>
        <w:t xml:space="preserve"> на ролите</w:t>
      </w:r>
      <w:r w:rsidR="00D86915" w:rsidRPr="00C76510">
        <w:rPr>
          <w:szCs w:val="28"/>
        </w:rPr>
        <w:t>.</w:t>
      </w:r>
      <w:r w:rsidRPr="00C76510">
        <w:rPr>
          <w:szCs w:val="28"/>
        </w:rPr>
        <w:t xml:space="preserve"> Русия поема си</w:t>
      </w:r>
      <w:r w:rsidR="003F66DB" w:rsidRPr="00C76510">
        <w:rPr>
          <w:szCs w:val="28"/>
        </w:rPr>
        <w:t>ловите ри</w:t>
      </w:r>
      <w:r w:rsidR="00C76510" w:rsidRPr="00C76510">
        <w:rPr>
          <w:szCs w:val="28"/>
        </w:rPr>
        <w:t xml:space="preserve">скове, а </w:t>
      </w:r>
      <w:r w:rsidR="003F66DB" w:rsidRPr="00C76510">
        <w:rPr>
          <w:szCs w:val="28"/>
        </w:rPr>
        <w:t xml:space="preserve">Китай се възползва умело от </w:t>
      </w:r>
      <w:r w:rsidR="00FB5987" w:rsidRPr="00C76510">
        <w:rPr>
          <w:szCs w:val="28"/>
        </w:rPr>
        <w:t xml:space="preserve">осигурената </w:t>
      </w:r>
      <w:r w:rsidR="003F66DB" w:rsidRPr="00C76510">
        <w:rPr>
          <w:szCs w:val="28"/>
        </w:rPr>
        <w:t>сигурност за да разшири</w:t>
      </w:r>
      <w:r w:rsidR="00FB5987" w:rsidRPr="00C76510">
        <w:rPr>
          <w:szCs w:val="28"/>
        </w:rPr>
        <w:t xml:space="preserve"> безпрепятствено своите мащабни икономически инвестиции по инициатив</w:t>
      </w:r>
      <w:r w:rsidR="003F66DB" w:rsidRPr="00C76510">
        <w:rPr>
          <w:szCs w:val="28"/>
        </w:rPr>
        <w:t>ата „Един пояс, един път“</w:t>
      </w:r>
      <w:r w:rsidR="00126093" w:rsidRPr="00C76510">
        <w:rPr>
          <w:szCs w:val="28"/>
        </w:rPr>
        <w:t xml:space="preserve"> </w:t>
      </w:r>
      <w:r w:rsidR="00C76510" w:rsidRPr="00C76510">
        <w:rPr>
          <w:szCs w:val="28"/>
        </w:rPr>
        <w:t>(</w:t>
      </w:r>
      <w:r w:rsidR="00657295" w:rsidRPr="00657295">
        <w:rPr>
          <w:szCs w:val="28"/>
        </w:rPr>
        <w:t>Петропопр</w:t>
      </w:r>
      <w:r w:rsidR="00E16931">
        <w:rPr>
          <w:szCs w:val="28"/>
        </w:rPr>
        <w:t>оводът Нигер – Бенин</w:t>
      </w:r>
      <w:r w:rsidR="00657295">
        <w:rPr>
          <w:szCs w:val="28"/>
        </w:rPr>
        <w:t xml:space="preserve">, </w:t>
      </w:r>
      <w:r w:rsidR="00657295" w:rsidRPr="00657295">
        <w:rPr>
          <w:szCs w:val="28"/>
        </w:rPr>
        <w:t>Пристанищ</w:t>
      </w:r>
      <w:r w:rsidR="00657295">
        <w:rPr>
          <w:szCs w:val="28"/>
        </w:rPr>
        <w:t xml:space="preserve">ен комплекс Багамойо (Танзания), </w:t>
      </w:r>
      <w:r w:rsidR="008409FD">
        <w:rPr>
          <w:szCs w:val="28"/>
        </w:rPr>
        <w:t xml:space="preserve">Железопътната мрежа SGR </w:t>
      </w:r>
      <w:r w:rsidR="00657295" w:rsidRPr="00657295">
        <w:rPr>
          <w:szCs w:val="28"/>
        </w:rPr>
        <w:t>Кения – Уганда</w:t>
      </w:r>
      <w:r w:rsidR="00C76510" w:rsidRPr="00C76510">
        <w:rPr>
          <w:szCs w:val="28"/>
        </w:rPr>
        <w:t>)</w:t>
      </w:r>
      <w:r w:rsidR="00FB5987" w:rsidRPr="00C76510">
        <w:rPr>
          <w:szCs w:val="28"/>
        </w:rPr>
        <w:t>, без да поема политическите негативи от разполагането на собствени войски. Тази конфигурация формира затворен цикъл, който превръща региона в своеобразна лаборатор</w:t>
      </w:r>
      <w:r w:rsidR="00FB5987" w:rsidRPr="00C76510">
        <w:rPr>
          <w:szCs w:val="28"/>
        </w:rPr>
        <w:t>ия за постзападен световен ред.</w:t>
      </w:r>
    </w:p>
    <w:p w14:paraId="01DFF4CD" w14:textId="77777777" w:rsidR="00FB5987" w:rsidRPr="00B06A0C" w:rsidRDefault="000431D9" w:rsidP="00B06A0C">
      <w:pPr>
        <w:jc w:val="both"/>
        <w:rPr>
          <w:i/>
          <w:szCs w:val="28"/>
          <w:u w:val="single"/>
        </w:rPr>
      </w:pPr>
      <w:r w:rsidRPr="00B06A0C">
        <w:rPr>
          <w:b/>
          <w:bCs/>
          <w:i/>
          <w:szCs w:val="28"/>
          <w:u w:val="single"/>
        </w:rPr>
        <w:t>5.4. Ролята на „новите рег</w:t>
      </w:r>
      <w:r w:rsidR="00D4364C" w:rsidRPr="00B06A0C">
        <w:rPr>
          <w:b/>
          <w:bCs/>
          <w:i/>
          <w:szCs w:val="28"/>
          <w:u w:val="single"/>
        </w:rPr>
        <w:t>ионални</w:t>
      </w:r>
      <w:r w:rsidRPr="00B06A0C">
        <w:rPr>
          <w:b/>
          <w:bCs/>
          <w:i/>
          <w:szCs w:val="28"/>
          <w:u w:val="single"/>
        </w:rPr>
        <w:t xml:space="preserve"> играчи</w:t>
      </w:r>
      <w:r w:rsidR="00414685" w:rsidRPr="00B06A0C">
        <w:rPr>
          <w:b/>
          <w:bCs/>
          <w:i/>
          <w:szCs w:val="28"/>
          <w:u w:val="single"/>
        </w:rPr>
        <w:t>“ (Турция и ОАЕ)</w:t>
      </w:r>
    </w:p>
    <w:p w14:paraId="2D2FE104" w14:textId="4FF9E36B" w:rsidR="00414685" w:rsidRPr="00FB5987" w:rsidRDefault="00414685" w:rsidP="00FB5987">
      <w:pPr>
        <w:ind w:firstLine="706"/>
        <w:jc w:val="both"/>
        <w:rPr>
          <w:szCs w:val="28"/>
        </w:rPr>
      </w:pPr>
      <w:r w:rsidRPr="00A2070C">
        <w:rPr>
          <w:szCs w:val="28"/>
        </w:rPr>
        <w:lastRenderedPageBreak/>
        <w:t xml:space="preserve">Матрицата се усложнява от навлизането на </w:t>
      </w:r>
      <w:r w:rsidR="008409FD">
        <w:rPr>
          <w:szCs w:val="28"/>
        </w:rPr>
        <w:t>новите</w:t>
      </w:r>
      <w:r w:rsidR="000431D9" w:rsidRPr="00A2070C">
        <w:rPr>
          <w:szCs w:val="28"/>
        </w:rPr>
        <w:t xml:space="preserve"> регионални сили</w:t>
      </w:r>
      <w:r w:rsidRPr="00A2070C">
        <w:rPr>
          <w:szCs w:val="28"/>
        </w:rPr>
        <w:t xml:space="preserve">. </w:t>
      </w:r>
      <w:r w:rsidR="00A2070C" w:rsidRPr="00966C7D">
        <w:rPr>
          <w:szCs w:val="28"/>
        </w:rPr>
        <w:t xml:space="preserve">Турция </w:t>
      </w:r>
      <w:r w:rsidR="008409FD">
        <w:rPr>
          <w:szCs w:val="28"/>
        </w:rPr>
        <w:t xml:space="preserve">се утвърждава </w:t>
      </w:r>
      <w:r w:rsidR="00A2070C" w:rsidRPr="00966C7D">
        <w:rPr>
          <w:szCs w:val="28"/>
        </w:rPr>
        <w:t>като ключов доставчик на високотехнологични бе</w:t>
      </w:r>
      <w:r w:rsidR="008409FD">
        <w:rPr>
          <w:szCs w:val="28"/>
        </w:rPr>
        <w:t>зпилотни летателни апарати (</w:t>
      </w:r>
      <w:r w:rsidR="00A2070C" w:rsidRPr="00966C7D">
        <w:rPr>
          <w:i/>
          <w:iCs/>
          <w:szCs w:val="28"/>
        </w:rPr>
        <w:t>Bayraktar TB2</w:t>
      </w:r>
      <w:r w:rsidR="00A2070C" w:rsidRPr="00966C7D">
        <w:rPr>
          <w:szCs w:val="28"/>
        </w:rPr>
        <w:t xml:space="preserve"> и </w:t>
      </w:r>
      <w:r w:rsidR="00A2070C" w:rsidRPr="00966C7D">
        <w:rPr>
          <w:i/>
          <w:iCs/>
          <w:szCs w:val="28"/>
        </w:rPr>
        <w:t>Akinci</w:t>
      </w:r>
      <w:r w:rsidR="00A2070C" w:rsidRPr="00966C7D">
        <w:rPr>
          <w:szCs w:val="28"/>
        </w:rPr>
        <w:t>) за армиите на Мали, Б</w:t>
      </w:r>
      <w:r w:rsidR="00D86915">
        <w:rPr>
          <w:szCs w:val="28"/>
        </w:rPr>
        <w:t>уркина Фасо и Нигер. Това</w:t>
      </w:r>
      <w:r w:rsidR="00A2070C" w:rsidRPr="00966C7D">
        <w:rPr>
          <w:szCs w:val="28"/>
        </w:rPr>
        <w:t xml:space="preserve"> осигурява на местните режими модерна во</w:t>
      </w:r>
      <w:r w:rsidR="00D86915">
        <w:rPr>
          <w:szCs w:val="28"/>
        </w:rPr>
        <w:t xml:space="preserve">енна техника без </w:t>
      </w:r>
      <w:r w:rsidR="00A2070C" w:rsidRPr="00966C7D">
        <w:rPr>
          <w:szCs w:val="28"/>
        </w:rPr>
        <w:t>условности</w:t>
      </w:r>
      <w:r w:rsidR="00D86915">
        <w:rPr>
          <w:szCs w:val="28"/>
        </w:rPr>
        <w:t>те</w:t>
      </w:r>
      <w:r w:rsidR="00A2070C" w:rsidRPr="00966C7D">
        <w:rPr>
          <w:szCs w:val="28"/>
        </w:rPr>
        <w:t xml:space="preserve"> на Запада и </w:t>
      </w:r>
      <w:r w:rsidR="00D86915">
        <w:rPr>
          <w:szCs w:val="28"/>
        </w:rPr>
        <w:t xml:space="preserve">същевременно без </w:t>
      </w:r>
      <w:r w:rsidR="00A2070C" w:rsidRPr="00966C7D">
        <w:rPr>
          <w:szCs w:val="28"/>
        </w:rPr>
        <w:t>негативи</w:t>
      </w:r>
      <w:r w:rsidR="00D86915">
        <w:rPr>
          <w:szCs w:val="28"/>
        </w:rPr>
        <w:t>те</w:t>
      </w:r>
      <w:r w:rsidR="00A2070C" w:rsidRPr="00966C7D">
        <w:rPr>
          <w:szCs w:val="28"/>
        </w:rPr>
        <w:t>, с</w:t>
      </w:r>
      <w:r w:rsidR="008409FD">
        <w:rPr>
          <w:szCs w:val="28"/>
        </w:rPr>
        <w:t>ъпътстващи руските ЧВК</w:t>
      </w:r>
      <w:r w:rsidR="00A2070C" w:rsidRPr="00966C7D">
        <w:rPr>
          <w:szCs w:val="28"/>
        </w:rPr>
        <w:t>.</w:t>
      </w:r>
      <w:r w:rsidR="008409FD">
        <w:rPr>
          <w:color w:val="FF0000"/>
          <w:szCs w:val="28"/>
        </w:rPr>
        <w:t xml:space="preserve"> </w:t>
      </w:r>
      <w:r w:rsidR="00A2070C" w:rsidRPr="00966C7D">
        <w:rPr>
          <w:szCs w:val="28"/>
        </w:rPr>
        <w:t>Паралелно с това, Обединените арабски емирства (ОАЕ) се превръщат в незаменим икономически балансьор. Финансово-логистичните центрове в Персийския залив обслужват преработката и търговията с</w:t>
      </w:r>
      <w:r w:rsidR="00A2070C">
        <w:rPr>
          <w:szCs w:val="28"/>
        </w:rPr>
        <w:t xml:space="preserve">ъс </w:t>
      </w:r>
      <w:r w:rsidR="00A2070C" w:rsidRPr="00966C7D">
        <w:rPr>
          <w:szCs w:val="28"/>
        </w:rPr>
        <w:t>стратегически ресурси, вк</w:t>
      </w:r>
      <w:r w:rsidR="008409FD">
        <w:rPr>
          <w:szCs w:val="28"/>
        </w:rPr>
        <w:t>л.</w:t>
      </w:r>
      <w:r w:rsidR="00A2070C" w:rsidRPr="00966C7D">
        <w:rPr>
          <w:szCs w:val="28"/>
        </w:rPr>
        <w:t xml:space="preserve"> добитото злато от к</w:t>
      </w:r>
      <w:r w:rsidR="00D86915">
        <w:rPr>
          <w:szCs w:val="28"/>
        </w:rPr>
        <w:t>онтролираните от руски компании</w:t>
      </w:r>
      <w:r w:rsidR="00A2070C" w:rsidRPr="00966C7D">
        <w:rPr>
          <w:szCs w:val="28"/>
        </w:rPr>
        <w:t xml:space="preserve"> мини в Сахел и Судан. По този начин ОАЕ функционират като критично свързващо звено, което осигурява на санкционираните военни режими достъп до международните финансови пазари, минимизирайки ефекта от з</w:t>
      </w:r>
      <w:r w:rsidR="00A2070C">
        <w:rPr>
          <w:szCs w:val="28"/>
        </w:rPr>
        <w:t>ападните икономически санкции</w:t>
      </w:r>
      <w:r w:rsidR="00A2070C" w:rsidRPr="00966C7D">
        <w:rPr>
          <w:szCs w:val="28"/>
        </w:rPr>
        <w:t>.</w:t>
      </w:r>
    </w:p>
    <w:p w14:paraId="1D186915" w14:textId="1529A42B" w:rsidR="00414685" w:rsidRPr="00993427" w:rsidRDefault="00A94E92" w:rsidP="00993427">
      <w:pPr>
        <w:jc w:val="both"/>
        <w:rPr>
          <w:i/>
          <w:szCs w:val="28"/>
          <w:u w:val="single"/>
        </w:rPr>
      </w:pPr>
      <w:r w:rsidRPr="00993427">
        <w:rPr>
          <w:b/>
          <w:bCs/>
          <w:i/>
          <w:szCs w:val="28"/>
          <w:u w:val="single"/>
        </w:rPr>
        <w:t>6. Заключение: с</w:t>
      </w:r>
      <w:r w:rsidR="00414685" w:rsidRPr="00993427">
        <w:rPr>
          <w:b/>
          <w:bCs/>
          <w:i/>
          <w:szCs w:val="28"/>
          <w:u w:val="single"/>
        </w:rPr>
        <w:t>тратегически изводи и перспективи пред евроатлантическата дипломация</w:t>
      </w:r>
    </w:p>
    <w:p w14:paraId="4C83FE67" w14:textId="77777777" w:rsidR="00414685" w:rsidRPr="00993427" w:rsidRDefault="00414685" w:rsidP="00993427">
      <w:pPr>
        <w:jc w:val="both"/>
        <w:rPr>
          <w:i/>
          <w:szCs w:val="28"/>
          <w:u w:val="single"/>
        </w:rPr>
      </w:pPr>
      <w:r w:rsidRPr="00993427">
        <w:rPr>
          <w:b/>
          <w:bCs/>
          <w:i/>
          <w:szCs w:val="28"/>
          <w:u w:val="single"/>
        </w:rPr>
        <w:t>6.1. Синтез на резултатите от изследването</w:t>
      </w:r>
    </w:p>
    <w:p w14:paraId="324FA6A3" w14:textId="03E65C1D" w:rsidR="00414685" w:rsidRPr="00414685" w:rsidRDefault="00414685" w:rsidP="002235B2">
      <w:pPr>
        <w:ind w:firstLine="708"/>
        <w:jc w:val="both"/>
        <w:rPr>
          <w:szCs w:val="28"/>
        </w:rPr>
      </w:pPr>
      <w:r w:rsidRPr="00414685">
        <w:rPr>
          <w:szCs w:val="28"/>
        </w:rPr>
        <w:t>Анализът доказва, че кризата на западното влияние представлява концептуален провал на политико-дипломатическия модел. В същото време обаче, наложилият се руски модел крие съществен структурен недостатък. Въпреки че осигурява моментно оцеляване на режимите, той не предлага решение на крайната бедност, демографския натиск и ислямския радикализъм. Руското присъствие не произвежда устойчива сигурност, а на практика замразява конфликтите и поставя държавите в състо</w:t>
      </w:r>
      <w:r w:rsidR="002235B2">
        <w:rPr>
          <w:szCs w:val="28"/>
        </w:rPr>
        <w:t>яние на перманентна зависимост.</w:t>
      </w:r>
    </w:p>
    <w:p w14:paraId="005AD291" w14:textId="77777777" w:rsidR="00A94E92" w:rsidRPr="00993427" w:rsidRDefault="00414685" w:rsidP="00993427">
      <w:pPr>
        <w:jc w:val="both"/>
        <w:rPr>
          <w:b/>
          <w:bCs/>
          <w:i/>
          <w:szCs w:val="28"/>
          <w:u w:val="single"/>
        </w:rPr>
      </w:pPr>
      <w:r w:rsidRPr="00993427">
        <w:rPr>
          <w:b/>
          <w:bCs/>
          <w:i/>
          <w:szCs w:val="28"/>
          <w:u w:val="single"/>
        </w:rPr>
        <w:t>6.2. Утвърждаване на „африканската субектност“ (African Agency)</w:t>
      </w:r>
    </w:p>
    <w:p w14:paraId="43637D84" w14:textId="401B4261" w:rsidR="00414685" w:rsidRPr="002235B2" w:rsidRDefault="00A94E92" w:rsidP="002235B2">
      <w:pPr>
        <w:ind w:firstLine="708"/>
        <w:jc w:val="both"/>
        <w:rPr>
          <w:szCs w:val="28"/>
        </w:rPr>
      </w:pPr>
      <w:r w:rsidRPr="00BF0F3E">
        <w:rPr>
          <w:szCs w:val="28"/>
        </w:rPr>
        <w:t>Настоящото изследване потвърждава тезата, че Африка окончателно е преодоляла статута си на геополит</w:t>
      </w:r>
      <w:r>
        <w:rPr>
          <w:szCs w:val="28"/>
        </w:rPr>
        <w:t>ическа периферия. В съвременния силно фрагментиран свят,</w:t>
      </w:r>
      <w:r w:rsidRPr="00BF0F3E">
        <w:rPr>
          <w:szCs w:val="28"/>
        </w:rPr>
        <w:t xml:space="preserve"> континентът функционира като динамичен пазар на съюзи и услуги за сигурност. Африканските държави се утвърждават като активни и изключително прагматични геополитически субекти. Те отказ</w:t>
      </w:r>
      <w:r w:rsidR="00DB1158">
        <w:rPr>
          <w:szCs w:val="28"/>
        </w:rPr>
        <w:t>ват да бъдат обекти на външен диктат</w:t>
      </w:r>
      <w:r w:rsidRPr="00BF0F3E">
        <w:rPr>
          <w:szCs w:val="28"/>
        </w:rPr>
        <w:t xml:space="preserve"> и умело „пазаруват“ сигурност, диверсифицирайки своите партньорства. Балансирайки интересите на Запада, Русия, К</w:t>
      </w:r>
      <w:r w:rsidR="00714213">
        <w:rPr>
          <w:szCs w:val="28"/>
        </w:rPr>
        <w:t>итай и новите регионални сили</w:t>
      </w:r>
      <w:r w:rsidRPr="00BF0F3E">
        <w:rPr>
          <w:szCs w:val="28"/>
        </w:rPr>
        <w:t xml:space="preserve"> (като Турция и ОАЕ), местните лидери превърнаха националния суверенитет в инструмент </w:t>
      </w:r>
      <w:r>
        <w:rPr>
          <w:szCs w:val="28"/>
        </w:rPr>
        <w:t>за извличане на максимални</w:t>
      </w:r>
      <w:r w:rsidRPr="00BF0F3E">
        <w:rPr>
          <w:szCs w:val="28"/>
        </w:rPr>
        <w:t xml:space="preserve"> ползи</w:t>
      </w:r>
      <w:r w:rsidR="007F327C">
        <w:rPr>
          <w:szCs w:val="28"/>
        </w:rPr>
        <w:t xml:space="preserve"> за своите държави</w:t>
      </w:r>
      <w:r w:rsidR="002235B2">
        <w:rPr>
          <w:szCs w:val="28"/>
        </w:rPr>
        <w:t>.</w:t>
      </w:r>
    </w:p>
    <w:p w14:paraId="705AE88E" w14:textId="0FB55A9A" w:rsidR="00714213" w:rsidRPr="00993427" w:rsidRDefault="00993427" w:rsidP="00993427">
      <w:pPr>
        <w:jc w:val="both"/>
        <w:rPr>
          <w:b/>
          <w:bCs/>
          <w:i/>
          <w:szCs w:val="28"/>
          <w:u w:val="single"/>
        </w:rPr>
      </w:pPr>
      <w:r>
        <w:rPr>
          <w:b/>
          <w:bCs/>
          <w:i/>
          <w:szCs w:val="28"/>
          <w:u w:val="single"/>
        </w:rPr>
        <w:t>6.3. П</w:t>
      </w:r>
      <w:r w:rsidR="00414685" w:rsidRPr="00993427">
        <w:rPr>
          <w:b/>
          <w:bCs/>
          <w:i/>
          <w:szCs w:val="28"/>
          <w:u w:val="single"/>
        </w:rPr>
        <w:t>репоръки за адаптиране на западния стратегически подход</w:t>
      </w:r>
    </w:p>
    <w:p w14:paraId="31B13581" w14:textId="3A2A8DD0" w:rsidR="00414685" w:rsidRPr="00414685" w:rsidRDefault="00714213" w:rsidP="002235B2">
      <w:pPr>
        <w:ind w:firstLine="708"/>
        <w:jc w:val="both"/>
        <w:rPr>
          <w:szCs w:val="28"/>
        </w:rPr>
      </w:pPr>
      <w:r w:rsidRPr="00BF0F3E">
        <w:rPr>
          <w:szCs w:val="28"/>
        </w:rPr>
        <w:t xml:space="preserve">За да възстановят геополитическото си влияние и да гарантират сигурността на Южния си фланг, държавите от ЕС и НАТО трябва да </w:t>
      </w:r>
      <w:r w:rsidR="007F327C">
        <w:rPr>
          <w:szCs w:val="28"/>
        </w:rPr>
        <w:t xml:space="preserve">адаптират своите стратегически концепции </w:t>
      </w:r>
      <w:r w:rsidR="002235B2">
        <w:rPr>
          <w:szCs w:val="28"/>
        </w:rPr>
        <w:t>в няколко ключови направления:</w:t>
      </w:r>
    </w:p>
    <w:p w14:paraId="1DDF35DC" w14:textId="6B80DB6D" w:rsidR="00414685" w:rsidRPr="002235B2" w:rsidRDefault="00414685" w:rsidP="002235B2">
      <w:pPr>
        <w:pStyle w:val="ListParagraph"/>
        <w:numPr>
          <w:ilvl w:val="0"/>
          <w:numId w:val="4"/>
        </w:numPr>
        <w:ind w:left="0" w:firstLine="720"/>
        <w:jc w:val="both"/>
        <w:rPr>
          <w:szCs w:val="28"/>
        </w:rPr>
      </w:pPr>
      <w:r w:rsidRPr="00A72558">
        <w:rPr>
          <w:b/>
          <w:bCs/>
          <w:szCs w:val="28"/>
        </w:rPr>
        <w:t>Отказ от патернализма:</w:t>
      </w:r>
      <w:r w:rsidRPr="00A72558">
        <w:rPr>
          <w:szCs w:val="28"/>
        </w:rPr>
        <w:t xml:space="preserve"> Външната политика на евроатлантичес</w:t>
      </w:r>
      <w:r w:rsidR="007F327C">
        <w:rPr>
          <w:szCs w:val="28"/>
        </w:rPr>
        <w:t xml:space="preserve">ката общност трябва </w:t>
      </w:r>
      <w:r w:rsidRPr="00A72558">
        <w:rPr>
          <w:szCs w:val="28"/>
        </w:rPr>
        <w:t xml:space="preserve">да изостави модела на политическо менторство и да премине към изграждане на равноправни и взаимноизгодни партньорства. </w:t>
      </w:r>
      <w:r w:rsidR="00A72558" w:rsidRPr="00A72558">
        <w:rPr>
          <w:szCs w:val="28"/>
        </w:rPr>
        <w:t xml:space="preserve">Всяко подценяване на </w:t>
      </w:r>
      <w:r w:rsidR="007F327C">
        <w:rPr>
          <w:szCs w:val="28"/>
        </w:rPr>
        <w:t xml:space="preserve">т.нар. „африканска субектност“ </w:t>
      </w:r>
      <w:r w:rsidR="00A72558" w:rsidRPr="00A72558">
        <w:rPr>
          <w:szCs w:val="28"/>
        </w:rPr>
        <w:t>и всеки опит за налагане на бюрократичен диктат автоматично тласка местните елити към орбитата на Москва и Пекин.</w:t>
      </w:r>
    </w:p>
    <w:p w14:paraId="0FD2248D" w14:textId="03BC1C6A" w:rsidR="00414685" w:rsidRPr="002235B2" w:rsidRDefault="00414685" w:rsidP="002235B2">
      <w:pPr>
        <w:pStyle w:val="ListParagraph"/>
        <w:numPr>
          <w:ilvl w:val="0"/>
          <w:numId w:val="4"/>
        </w:numPr>
        <w:ind w:left="0" w:firstLine="720"/>
        <w:jc w:val="both"/>
        <w:rPr>
          <w:szCs w:val="28"/>
        </w:rPr>
      </w:pPr>
      <w:r w:rsidRPr="00936710">
        <w:rPr>
          <w:b/>
          <w:bCs/>
          <w:szCs w:val="28"/>
        </w:rPr>
        <w:lastRenderedPageBreak/>
        <w:t>Преформатиране на военната помощ:</w:t>
      </w:r>
      <w:r w:rsidRPr="00936710">
        <w:rPr>
          <w:szCs w:val="28"/>
        </w:rPr>
        <w:t xml:space="preserve"> </w:t>
      </w:r>
      <w:r w:rsidR="00936710" w:rsidRPr="00936710">
        <w:rPr>
          <w:szCs w:val="28"/>
        </w:rPr>
        <w:t>Рамката на мисиите на НАТО и Европейския механизъм за подкрепа на мира (EPF) изисква дълбоко преструктуриране. Необходима е ускорена процедура за дос</w:t>
      </w:r>
      <w:r w:rsidR="00936710">
        <w:rPr>
          <w:szCs w:val="28"/>
        </w:rPr>
        <w:t>тавка на отбранителни способности</w:t>
      </w:r>
      <w:r w:rsidR="00936710" w:rsidRPr="00936710">
        <w:rPr>
          <w:szCs w:val="28"/>
        </w:rPr>
        <w:t xml:space="preserve">, </w:t>
      </w:r>
      <w:r w:rsidR="00936710">
        <w:rPr>
          <w:szCs w:val="28"/>
        </w:rPr>
        <w:t xml:space="preserve">осигуряване на </w:t>
      </w:r>
      <w:r w:rsidR="00936710" w:rsidRPr="00936710">
        <w:rPr>
          <w:szCs w:val="28"/>
        </w:rPr>
        <w:t>разузнавателна информация и логистична поддръжка, която да преодолее настоящата бюрократичност, неспособна да отговори на динамиката на кризите.</w:t>
      </w:r>
    </w:p>
    <w:p w14:paraId="6A421843" w14:textId="6004A8B8" w:rsidR="00414685" w:rsidRPr="002235B2" w:rsidRDefault="00414685" w:rsidP="002235B2">
      <w:pPr>
        <w:pStyle w:val="ListParagraph"/>
        <w:numPr>
          <w:ilvl w:val="0"/>
          <w:numId w:val="4"/>
        </w:numPr>
        <w:tabs>
          <w:tab w:val="clear" w:pos="720"/>
          <w:tab w:val="left" w:pos="1440"/>
          <w:tab w:val="left" w:pos="2070"/>
        </w:tabs>
        <w:ind w:left="0" w:firstLine="720"/>
        <w:jc w:val="both"/>
        <w:rPr>
          <w:szCs w:val="28"/>
        </w:rPr>
      </w:pPr>
      <w:r w:rsidRPr="00936710">
        <w:rPr>
          <w:b/>
          <w:bCs/>
          <w:szCs w:val="28"/>
        </w:rPr>
        <w:t>Неутрализиране на хибридните заплахи по Южния фланг:</w:t>
      </w:r>
      <w:r w:rsidRPr="00936710">
        <w:rPr>
          <w:szCs w:val="28"/>
        </w:rPr>
        <w:t xml:space="preserve"> </w:t>
      </w:r>
      <w:r w:rsidR="00936710" w:rsidRPr="00936710">
        <w:rPr>
          <w:szCs w:val="28"/>
        </w:rPr>
        <w:t>Алиансът трябва системно да противодейства на опитите на Руската федерация за използване на миграционните вълни от Сахел като оръжие за хибриден натиск. Активирането на Плана за действие за Южното съседство (SNAP) и назначаването на Специален представител на НАТО трябва да бъдат уплътнени с изграждането на съвместни разузнавателни операционни центрове и засилен контрол по транзитните маршрути в Средиземно море.</w:t>
      </w:r>
    </w:p>
    <w:p w14:paraId="7FB01F21" w14:textId="3DBA4DB5" w:rsidR="00414685" w:rsidRPr="008E58AD" w:rsidRDefault="00414685" w:rsidP="00414685">
      <w:pPr>
        <w:numPr>
          <w:ilvl w:val="0"/>
          <w:numId w:val="4"/>
        </w:numPr>
        <w:ind w:left="0" w:firstLine="720"/>
        <w:jc w:val="both"/>
        <w:rPr>
          <w:szCs w:val="28"/>
        </w:rPr>
      </w:pPr>
      <w:r w:rsidRPr="00414685">
        <w:rPr>
          <w:b/>
          <w:bCs/>
          <w:szCs w:val="28"/>
        </w:rPr>
        <w:t>Противодействие срещу руските информационно-психологически операции:</w:t>
      </w:r>
      <w:r w:rsidRPr="00414685">
        <w:rPr>
          <w:szCs w:val="28"/>
        </w:rPr>
        <w:t xml:space="preserve"> </w:t>
      </w:r>
      <w:r w:rsidR="00936710" w:rsidRPr="00BF0F3E">
        <w:rPr>
          <w:szCs w:val="28"/>
        </w:rPr>
        <w:t>Елиминиран</w:t>
      </w:r>
      <w:r w:rsidR="00936710">
        <w:rPr>
          <w:szCs w:val="28"/>
        </w:rPr>
        <w:t xml:space="preserve">ето на руските </w:t>
      </w:r>
      <w:r w:rsidR="00936710" w:rsidRPr="00BF0F3E">
        <w:rPr>
          <w:szCs w:val="28"/>
        </w:rPr>
        <w:t>мрежи</w:t>
      </w:r>
      <w:r w:rsidR="00936710">
        <w:rPr>
          <w:szCs w:val="28"/>
        </w:rPr>
        <w:t xml:space="preserve"> за </w:t>
      </w:r>
      <w:r w:rsidR="007E3E2A">
        <w:rPr>
          <w:szCs w:val="28"/>
        </w:rPr>
        <w:t xml:space="preserve">информационно-психологически операции </w:t>
      </w:r>
      <w:r w:rsidR="00936710" w:rsidRPr="00BF0F3E">
        <w:rPr>
          <w:szCs w:val="28"/>
        </w:rPr>
        <w:t>не може да се реализира чрез симетрична пропаганда</w:t>
      </w:r>
      <w:r w:rsidR="007E3E2A">
        <w:rPr>
          <w:szCs w:val="28"/>
        </w:rPr>
        <w:t xml:space="preserve"> и дезинформация</w:t>
      </w:r>
      <w:r w:rsidR="00936710" w:rsidRPr="00BF0F3E">
        <w:rPr>
          <w:szCs w:val="28"/>
        </w:rPr>
        <w:t xml:space="preserve">. </w:t>
      </w:r>
      <w:r w:rsidRPr="00414685">
        <w:rPr>
          <w:szCs w:val="28"/>
        </w:rPr>
        <w:t>Евроатлантическата стратегия трябва да инвестира в разкриването на реалната икономическа и обществена цена на руския модел, подкрепяйки развитието на независима местна информационна среда.</w:t>
      </w:r>
    </w:p>
    <w:p w14:paraId="22A73A23" w14:textId="77777777" w:rsidR="00414685" w:rsidRPr="00993427" w:rsidRDefault="00414685" w:rsidP="00714213">
      <w:pPr>
        <w:ind w:firstLine="360"/>
        <w:jc w:val="both"/>
        <w:rPr>
          <w:i/>
          <w:szCs w:val="28"/>
          <w:u w:val="single"/>
        </w:rPr>
      </w:pPr>
      <w:r w:rsidRPr="00993427">
        <w:rPr>
          <w:b/>
          <w:bCs/>
          <w:i/>
          <w:szCs w:val="28"/>
          <w:u w:val="single"/>
        </w:rPr>
        <w:t>Обобщение</w:t>
      </w:r>
    </w:p>
    <w:p w14:paraId="69CEAF9C" w14:textId="77777777" w:rsidR="00EC0DED" w:rsidRDefault="00414685" w:rsidP="00EC0DED">
      <w:pPr>
        <w:ind w:firstLine="360"/>
        <w:jc w:val="both"/>
        <w:rPr>
          <w:szCs w:val="28"/>
        </w:rPr>
      </w:pPr>
      <w:r w:rsidRPr="00414685">
        <w:rPr>
          <w:szCs w:val="28"/>
        </w:rPr>
        <w:t>Бъдещето на евроатлантическата сигурност зависи в критична степен от капацитета на Запада да предложи гъвкав, конкурентоспособен и зачитащ местния суверенитет стратегически модел — такъв, който гарантира непосредствената сигурност на държавите, без да жертва дългосрочнот</w:t>
      </w:r>
      <w:r w:rsidR="00676503">
        <w:rPr>
          <w:szCs w:val="28"/>
        </w:rPr>
        <w:t>о развитие на техните общества.</w:t>
      </w:r>
    </w:p>
    <w:p w14:paraId="165F69BC" w14:textId="77777777" w:rsidR="00EC0DED" w:rsidRDefault="00EC0DED" w:rsidP="00EC0DED">
      <w:pPr>
        <w:ind w:firstLine="360"/>
        <w:jc w:val="both"/>
        <w:rPr>
          <w:szCs w:val="28"/>
        </w:rPr>
      </w:pPr>
    </w:p>
    <w:p w14:paraId="566CD569" w14:textId="3933E184" w:rsidR="00B90444" w:rsidRPr="00EC0DED" w:rsidRDefault="00B90444" w:rsidP="00EC0DED">
      <w:pPr>
        <w:ind w:firstLine="360"/>
        <w:jc w:val="both"/>
        <w:rPr>
          <w:szCs w:val="28"/>
        </w:rPr>
      </w:pPr>
      <w:r w:rsidRPr="00EC0DED">
        <w:rPr>
          <w:b/>
          <w:i/>
          <w:iCs/>
          <w:szCs w:val="28"/>
          <w:u w:val="single"/>
        </w:rPr>
        <w:t>Л</w:t>
      </w:r>
      <w:r w:rsidR="00EC0DED" w:rsidRPr="00EC0DED">
        <w:rPr>
          <w:b/>
          <w:i/>
          <w:iCs/>
          <w:szCs w:val="28"/>
          <w:u w:val="single"/>
        </w:rPr>
        <w:t>итература:</w:t>
      </w:r>
    </w:p>
    <w:p w14:paraId="2D1DE8AE" w14:textId="7880946A" w:rsidR="00B90444" w:rsidRPr="00EC0DED" w:rsidRDefault="00B90444" w:rsidP="00B90444">
      <w:pPr>
        <w:pStyle w:val="NormalWeb"/>
        <w:numPr>
          <w:ilvl w:val="0"/>
          <w:numId w:val="13"/>
        </w:numPr>
        <w:tabs>
          <w:tab w:val="left" w:pos="270"/>
        </w:tabs>
        <w:ind w:left="270" w:hanging="270"/>
        <w:rPr>
          <w:i/>
          <w:iCs/>
          <w:sz w:val="20"/>
          <w:szCs w:val="20"/>
        </w:rPr>
      </w:pPr>
      <w:r w:rsidRPr="00EC0DED">
        <w:rPr>
          <w:b/>
          <w:bCs/>
          <w:sz w:val="20"/>
          <w:szCs w:val="20"/>
        </w:rPr>
        <w:t>Абрамова, И. О., &amp; Фитуни, Л. Л. (2024).</w:t>
      </w:r>
      <w:r w:rsidRPr="00EC0DED">
        <w:rPr>
          <w:sz w:val="20"/>
          <w:szCs w:val="20"/>
        </w:rPr>
        <w:t xml:space="preserve"> Втората среща на върха Русия–Африка и формирането на новия световен ред. </w:t>
      </w:r>
      <w:r w:rsidRPr="00EC0DED">
        <w:rPr>
          <w:i/>
          <w:iCs/>
          <w:sz w:val="20"/>
          <w:szCs w:val="20"/>
        </w:rPr>
        <w:t>Ученые записки Института Африки РАН</w:t>
      </w:r>
      <w:r w:rsidRPr="00EC0DED">
        <w:rPr>
          <w:sz w:val="20"/>
          <w:szCs w:val="20"/>
        </w:rPr>
        <w:t>, 2024(1), 5–18.</w:t>
      </w:r>
    </w:p>
    <w:p w14:paraId="6F74283C" w14:textId="77CA99E5" w:rsidR="00B90444" w:rsidRPr="00EC0DED" w:rsidRDefault="00B90444" w:rsidP="00B90444">
      <w:pPr>
        <w:pStyle w:val="NormalWeb"/>
        <w:numPr>
          <w:ilvl w:val="0"/>
          <w:numId w:val="13"/>
        </w:numPr>
        <w:tabs>
          <w:tab w:val="left" w:pos="270"/>
        </w:tabs>
        <w:ind w:left="270" w:hanging="270"/>
        <w:rPr>
          <w:sz w:val="20"/>
          <w:szCs w:val="20"/>
        </w:rPr>
      </w:pPr>
      <w:r w:rsidRPr="00EC0DED">
        <w:rPr>
          <w:b/>
          <w:bCs/>
          <w:sz w:val="20"/>
          <w:szCs w:val="20"/>
        </w:rPr>
        <w:t>Дегтерев, Д. А. (2024).</w:t>
      </w:r>
      <w:r w:rsidRPr="00EC0DED">
        <w:rPr>
          <w:sz w:val="20"/>
          <w:szCs w:val="20"/>
        </w:rPr>
        <w:t xml:space="preserve"> «Африканская агентность» в конструировании международно-политического дискурса: международные исследования в Африке. </w:t>
      </w:r>
      <w:r w:rsidRPr="00EC0DED">
        <w:rPr>
          <w:i/>
          <w:iCs/>
          <w:sz w:val="20"/>
          <w:szCs w:val="20"/>
        </w:rPr>
        <w:t>Журнал «Международная аналитика»</w:t>
      </w:r>
      <w:r w:rsidRPr="00EC0DED">
        <w:rPr>
          <w:sz w:val="20"/>
          <w:szCs w:val="20"/>
        </w:rPr>
        <w:t>, 15(2), 25–41.</w:t>
      </w:r>
    </w:p>
    <w:p w14:paraId="56387B82" w14:textId="327EDBE8" w:rsidR="00B90444" w:rsidRPr="00EC0DED" w:rsidRDefault="00B90444" w:rsidP="00B90444">
      <w:pPr>
        <w:pStyle w:val="NormalWeb"/>
        <w:numPr>
          <w:ilvl w:val="0"/>
          <w:numId w:val="13"/>
        </w:numPr>
        <w:tabs>
          <w:tab w:val="left" w:pos="270"/>
        </w:tabs>
        <w:ind w:left="270" w:hanging="270"/>
        <w:rPr>
          <w:sz w:val="20"/>
          <w:szCs w:val="20"/>
        </w:rPr>
      </w:pPr>
      <w:r w:rsidRPr="00EC0DED">
        <w:rPr>
          <w:b/>
          <w:bCs/>
          <w:sz w:val="20"/>
          <w:szCs w:val="20"/>
        </w:rPr>
        <w:t>Amani Africa / ISS (2025).</w:t>
      </w:r>
      <w:r w:rsidRPr="00EC0DED">
        <w:rPr>
          <w:sz w:val="20"/>
          <w:szCs w:val="20"/>
        </w:rPr>
        <w:t xml:space="preserve"> </w:t>
      </w:r>
      <w:r w:rsidRPr="00EC0DED">
        <w:rPr>
          <w:i/>
          <w:iCs/>
          <w:sz w:val="20"/>
          <w:szCs w:val="20"/>
        </w:rPr>
        <w:t>The Withdrawal of AES from ECOWAS: Re-evaluating Existing Instruments for Regional Integration</w:t>
      </w:r>
      <w:r w:rsidRPr="00EC0DED">
        <w:rPr>
          <w:sz w:val="20"/>
          <w:szCs w:val="20"/>
        </w:rPr>
        <w:t>. Addis Ababa / Abuja: Institute for Security Studies.</w:t>
      </w:r>
    </w:p>
    <w:p w14:paraId="4FE711DA" w14:textId="47C7148B" w:rsidR="00B90444" w:rsidRPr="00EC0DED" w:rsidRDefault="00B90444" w:rsidP="00B90444">
      <w:pPr>
        <w:pStyle w:val="NormalWeb"/>
        <w:numPr>
          <w:ilvl w:val="0"/>
          <w:numId w:val="13"/>
        </w:numPr>
        <w:tabs>
          <w:tab w:val="left" w:pos="270"/>
        </w:tabs>
        <w:ind w:left="270" w:hanging="270"/>
        <w:rPr>
          <w:sz w:val="20"/>
          <w:szCs w:val="20"/>
        </w:rPr>
      </w:pPr>
      <w:r w:rsidRPr="00EC0DED">
        <w:rPr>
          <w:b/>
          <w:bCs/>
          <w:sz w:val="20"/>
          <w:szCs w:val="20"/>
        </w:rPr>
        <w:t>Doxsee, C., &amp; Thompson, J. (2024).</w:t>
      </w:r>
      <w:r w:rsidRPr="00EC0DED">
        <w:rPr>
          <w:sz w:val="20"/>
          <w:szCs w:val="20"/>
        </w:rPr>
        <w:t xml:space="preserve"> </w:t>
      </w:r>
      <w:r w:rsidRPr="00EC0DED">
        <w:rPr>
          <w:i/>
          <w:iCs/>
          <w:sz w:val="20"/>
          <w:szCs w:val="20"/>
        </w:rPr>
        <w:t>The Transformation of Russian Mercenary Operations: From Wagner to Africa Corps</w:t>
      </w:r>
      <w:r w:rsidRPr="00EC0DED">
        <w:rPr>
          <w:sz w:val="20"/>
          <w:szCs w:val="20"/>
        </w:rPr>
        <w:t>. Washington, D.C.: Center for Strategic and International Studies (CSIS).</w:t>
      </w:r>
    </w:p>
    <w:p w14:paraId="6EA4BA0D" w14:textId="3B6BFA5A" w:rsidR="00B90444" w:rsidRPr="00EC0DED" w:rsidRDefault="00B90444" w:rsidP="00B90444">
      <w:pPr>
        <w:pStyle w:val="NormalWeb"/>
        <w:numPr>
          <w:ilvl w:val="0"/>
          <w:numId w:val="13"/>
        </w:numPr>
        <w:tabs>
          <w:tab w:val="left" w:pos="270"/>
        </w:tabs>
        <w:ind w:left="270" w:hanging="270"/>
        <w:rPr>
          <w:sz w:val="20"/>
          <w:szCs w:val="20"/>
        </w:rPr>
      </w:pPr>
      <w:r w:rsidRPr="00EC0DED">
        <w:rPr>
          <w:b/>
          <w:bCs/>
          <w:sz w:val="20"/>
          <w:szCs w:val="20"/>
        </w:rPr>
        <w:t>EU Institute for Security Studies (EUISS) (2024).</w:t>
      </w:r>
      <w:r w:rsidRPr="00EC0DED">
        <w:rPr>
          <w:sz w:val="20"/>
          <w:szCs w:val="20"/>
        </w:rPr>
        <w:t xml:space="preserve"> </w:t>
      </w:r>
      <w:r w:rsidRPr="00EC0DED">
        <w:rPr>
          <w:i/>
          <w:iCs/>
          <w:sz w:val="20"/>
          <w:szCs w:val="20"/>
        </w:rPr>
        <w:t>Cascading Instability: The Sahel Collapse and Its Spillover into the Gulf of Guinea</w:t>
      </w:r>
      <w:r w:rsidRPr="00EC0DED">
        <w:rPr>
          <w:sz w:val="20"/>
          <w:szCs w:val="20"/>
        </w:rPr>
        <w:t>. Paris: EUISS.</w:t>
      </w:r>
    </w:p>
    <w:p w14:paraId="4082671B" w14:textId="38703114" w:rsidR="00B90444" w:rsidRPr="00EC0DED" w:rsidRDefault="00B90444" w:rsidP="00B90444">
      <w:pPr>
        <w:pStyle w:val="NormalWeb"/>
        <w:numPr>
          <w:ilvl w:val="0"/>
          <w:numId w:val="13"/>
        </w:numPr>
        <w:tabs>
          <w:tab w:val="left" w:pos="270"/>
        </w:tabs>
        <w:ind w:left="270" w:hanging="270"/>
        <w:rPr>
          <w:sz w:val="20"/>
          <w:szCs w:val="20"/>
        </w:rPr>
      </w:pPr>
      <w:r w:rsidRPr="00EC0DED">
        <w:rPr>
          <w:b/>
          <w:bCs/>
          <w:sz w:val="20"/>
          <w:szCs w:val="20"/>
        </w:rPr>
        <w:t>Global Initiative Against Transnational Organized Crime (GI-TOC) (2023).</w:t>
      </w:r>
      <w:r w:rsidRPr="00EC0DED">
        <w:rPr>
          <w:sz w:val="20"/>
          <w:szCs w:val="20"/>
        </w:rPr>
        <w:t xml:space="preserve"> </w:t>
      </w:r>
      <w:r w:rsidRPr="00EC0DED">
        <w:rPr>
          <w:i/>
          <w:iCs/>
          <w:sz w:val="20"/>
          <w:szCs w:val="20"/>
        </w:rPr>
        <w:t>The Gold Standard: How Wagner and Russia monetize African Resources</w:t>
      </w:r>
      <w:r w:rsidRPr="00EC0DED">
        <w:rPr>
          <w:sz w:val="20"/>
          <w:szCs w:val="20"/>
        </w:rPr>
        <w:t>. Geneva: GI-TOC.</w:t>
      </w:r>
    </w:p>
    <w:p w14:paraId="65BA3D50" w14:textId="431792B3" w:rsidR="00B90444" w:rsidRPr="00EC0DED" w:rsidRDefault="00B90444" w:rsidP="00B90444">
      <w:pPr>
        <w:pStyle w:val="NormalWeb"/>
        <w:numPr>
          <w:ilvl w:val="0"/>
          <w:numId w:val="13"/>
        </w:numPr>
        <w:tabs>
          <w:tab w:val="left" w:pos="270"/>
        </w:tabs>
        <w:ind w:left="270" w:hanging="270"/>
        <w:rPr>
          <w:sz w:val="20"/>
          <w:szCs w:val="20"/>
        </w:rPr>
      </w:pPr>
      <w:r w:rsidRPr="00EC0DED">
        <w:rPr>
          <w:b/>
          <w:bCs/>
          <w:sz w:val="20"/>
          <w:szCs w:val="20"/>
        </w:rPr>
        <w:t>Ramani, S. (2023).</w:t>
      </w:r>
      <w:r w:rsidRPr="00EC0DED">
        <w:rPr>
          <w:sz w:val="20"/>
          <w:szCs w:val="20"/>
        </w:rPr>
        <w:t xml:space="preserve"> </w:t>
      </w:r>
      <w:r w:rsidRPr="00EC0DED">
        <w:rPr>
          <w:i/>
          <w:iCs/>
          <w:sz w:val="20"/>
          <w:szCs w:val="20"/>
        </w:rPr>
        <w:t>Russia in Africa: Resurgent Power or Reluctant Intervener?</w:t>
      </w:r>
      <w:r w:rsidRPr="00EC0DED">
        <w:rPr>
          <w:sz w:val="20"/>
          <w:szCs w:val="20"/>
        </w:rPr>
        <w:t>. London: Hurst &amp; Company / Oxford University Press.</w:t>
      </w:r>
    </w:p>
    <w:p w14:paraId="34CF2358" w14:textId="7A63ACF9" w:rsidR="00B90444" w:rsidRPr="00EC0DED" w:rsidRDefault="00B90444" w:rsidP="00B90444">
      <w:pPr>
        <w:pStyle w:val="NormalWeb"/>
        <w:numPr>
          <w:ilvl w:val="0"/>
          <w:numId w:val="13"/>
        </w:numPr>
        <w:tabs>
          <w:tab w:val="left" w:pos="270"/>
        </w:tabs>
        <w:ind w:left="270" w:hanging="270"/>
        <w:rPr>
          <w:sz w:val="20"/>
          <w:szCs w:val="20"/>
        </w:rPr>
      </w:pPr>
      <w:r w:rsidRPr="00EC0DED">
        <w:rPr>
          <w:b/>
          <w:bCs/>
          <w:sz w:val="20"/>
          <w:szCs w:val="20"/>
        </w:rPr>
        <w:t>Royal United Services Institute (RUSI) (2024).</w:t>
      </w:r>
      <w:r w:rsidRPr="00EC0DED">
        <w:rPr>
          <w:sz w:val="20"/>
          <w:szCs w:val="20"/>
        </w:rPr>
        <w:t xml:space="preserve"> </w:t>
      </w:r>
      <w:r w:rsidRPr="00EC0DED">
        <w:rPr>
          <w:i/>
          <w:iCs/>
          <w:sz w:val="20"/>
          <w:szCs w:val="20"/>
        </w:rPr>
        <w:t>Threat Assessment: Russian Hybrid Operations in the Global South</w:t>
      </w:r>
      <w:r w:rsidRPr="00EC0DED">
        <w:rPr>
          <w:sz w:val="20"/>
          <w:szCs w:val="20"/>
        </w:rPr>
        <w:t>. Special Report. London: RUSI.</w:t>
      </w:r>
    </w:p>
    <w:p w14:paraId="5869254E" w14:textId="77777777" w:rsidR="00EC0DED" w:rsidRDefault="00B90444" w:rsidP="00EC0DED">
      <w:pPr>
        <w:pStyle w:val="NormalWeb"/>
        <w:numPr>
          <w:ilvl w:val="0"/>
          <w:numId w:val="13"/>
        </w:numPr>
        <w:tabs>
          <w:tab w:val="left" w:pos="270"/>
        </w:tabs>
        <w:ind w:left="270" w:hanging="270"/>
        <w:rPr>
          <w:sz w:val="20"/>
          <w:szCs w:val="20"/>
        </w:rPr>
      </w:pPr>
      <w:r w:rsidRPr="00EC0DED">
        <w:rPr>
          <w:b/>
          <w:bCs/>
          <w:sz w:val="20"/>
          <w:szCs w:val="20"/>
        </w:rPr>
        <w:t>Stockholm International Peace Research Institute (SIPRI) (2022).</w:t>
      </w:r>
      <w:r w:rsidRPr="00EC0DED">
        <w:rPr>
          <w:sz w:val="20"/>
          <w:szCs w:val="20"/>
        </w:rPr>
        <w:t xml:space="preserve"> </w:t>
      </w:r>
      <w:r w:rsidRPr="00EC0DED">
        <w:rPr>
          <w:i/>
          <w:iCs/>
          <w:sz w:val="20"/>
          <w:szCs w:val="20"/>
        </w:rPr>
        <w:t>EU Security Assistance in the Sahel: Evaluation of EUTM and EUCAP Missions</w:t>
      </w:r>
      <w:r w:rsidRPr="00EC0DED">
        <w:rPr>
          <w:sz w:val="20"/>
          <w:szCs w:val="20"/>
        </w:rPr>
        <w:t>. Solna: SIPRI.</w:t>
      </w:r>
    </w:p>
    <w:p w14:paraId="51EF334D" w14:textId="0AB9604C" w:rsidR="00EC0DED" w:rsidRPr="00EC0DED" w:rsidRDefault="00B90444" w:rsidP="00E16931">
      <w:pPr>
        <w:pStyle w:val="NormalWeb"/>
        <w:numPr>
          <w:ilvl w:val="0"/>
          <w:numId w:val="13"/>
        </w:numPr>
        <w:tabs>
          <w:tab w:val="left" w:pos="270"/>
        </w:tabs>
        <w:spacing w:before="0" w:beforeAutospacing="0" w:after="0" w:afterAutospacing="0"/>
        <w:ind w:left="274" w:hanging="274"/>
        <w:rPr>
          <w:sz w:val="20"/>
          <w:szCs w:val="20"/>
        </w:rPr>
      </w:pPr>
      <w:r w:rsidRPr="00EC0DED">
        <w:rPr>
          <w:b/>
          <w:bCs/>
          <w:sz w:val="20"/>
          <w:szCs w:val="20"/>
        </w:rPr>
        <w:t>Tull, D. M. (2021).</w:t>
      </w:r>
      <w:r w:rsidRPr="00EC0DED">
        <w:rPr>
          <w:sz w:val="20"/>
          <w:szCs w:val="20"/>
        </w:rPr>
        <w:t xml:space="preserve"> </w:t>
      </w:r>
      <w:r w:rsidRPr="00EC0DED">
        <w:rPr>
          <w:i/>
          <w:iCs/>
          <w:sz w:val="20"/>
          <w:szCs w:val="20"/>
        </w:rPr>
        <w:t>The Contestation of Franco-African Relations</w:t>
      </w:r>
      <w:r w:rsidRPr="00EC0DED">
        <w:rPr>
          <w:sz w:val="20"/>
          <w:szCs w:val="20"/>
        </w:rPr>
        <w:t>. SWP Research Paper. Berlin: German Institute for International and Security Affairs.</w:t>
      </w:r>
    </w:p>
    <w:p w14:paraId="2B8BA4A4" w14:textId="77777777" w:rsidR="00E16931" w:rsidRDefault="00E16931" w:rsidP="00E16931">
      <w:pPr>
        <w:ind w:firstLine="562"/>
        <w:jc w:val="both"/>
        <w:rPr>
          <w:i/>
          <w:iCs/>
          <w:sz w:val="20"/>
          <w:szCs w:val="20"/>
        </w:rPr>
      </w:pPr>
    </w:p>
    <w:p w14:paraId="1E577E31" w14:textId="2C0088C4" w:rsidR="00EC0DED" w:rsidRPr="00831AAD" w:rsidRDefault="00EC0DED" w:rsidP="00E16931">
      <w:pPr>
        <w:ind w:firstLine="562"/>
        <w:jc w:val="both"/>
        <w:rPr>
          <w:i/>
          <w:iCs/>
          <w:sz w:val="20"/>
          <w:szCs w:val="20"/>
          <w:lang w:val="en-US"/>
        </w:rPr>
      </w:pPr>
      <w:r w:rsidRPr="00831AAD">
        <w:rPr>
          <w:i/>
          <w:iCs/>
          <w:sz w:val="20"/>
          <w:szCs w:val="20"/>
        </w:rPr>
        <w:t>Вергиния Иванова Атанасова</w:t>
      </w:r>
      <w:r w:rsidRPr="00831AAD">
        <w:rPr>
          <w:i/>
          <w:iCs/>
          <w:sz w:val="20"/>
          <w:szCs w:val="20"/>
          <w:lang w:val="en-US"/>
        </w:rPr>
        <w:t>,</w:t>
      </w:r>
    </w:p>
    <w:p w14:paraId="452D2337" w14:textId="76EAE282" w:rsidR="00B90444" w:rsidRPr="00E16931" w:rsidRDefault="00EC0DED" w:rsidP="00E16931">
      <w:pPr>
        <w:ind w:firstLine="562"/>
        <w:jc w:val="both"/>
        <w:rPr>
          <w:i/>
          <w:iCs/>
          <w:sz w:val="20"/>
          <w:szCs w:val="20"/>
        </w:rPr>
      </w:pPr>
      <w:r w:rsidRPr="00831AAD">
        <w:rPr>
          <w:i/>
          <w:iCs/>
          <w:sz w:val="20"/>
          <w:szCs w:val="20"/>
        </w:rPr>
        <w:t xml:space="preserve">e-mail: </w:t>
      </w:r>
      <w:hyperlink r:id="rId8" w:history="1">
        <w:r w:rsidRPr="00831AAD">
          <w:rPr>
            <w:rStyle w:val="Hyperlink"/>
            <w:i/>
            <w:iCs/>
            <w:sz w:val="20"/>
            <w:szCs w:val="20"/>
            <w:lang w:val="en-US"/>
          </w:rPr>
          <w:t>verginiya_atanasova@abv.bg</w:t>
        </w:r>
      </w:hyperlink>
    </w:p>
    <w:sectPr w:rsidR="00B90444" w:rsidRPr="00E16931"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45DA31" w14:textId="77777777" w:rsidR="00077481" w:rsidRDefault="00077481" w:rsidP="00A0193A">
      <w:r>
        <w:separator/>
      </w:r>
    </w:p>
  </w:endnote>
  <w:endnote w:type="continuationSeparator" w:id="0">
    <w:p w14:paraId="0F440204" w14:textId="77777777" w:rsidR="00077481" w:rsidRDefault="00077481"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225FA6" w14:textId="77777777" w:rsidR="00077481" w:rsidRDefault="00077481" w:rsidP="00A0193A">
      <w:r>
        <w:separator/>
      </w:r>
    </w:p>
  </w:footnote>
  <w:footnote w:type="continuationSeparator" w:id="0">
    <w:p w14:paraId="09C78303" w14:textId="77777777" w:rsidR="00077481" w:rsidRDefault="00077481"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82698"/>
    <w:multiLevelType w:val="multilevel"/>
    <w:tmpl w:val="B2829C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2" w15:restartNumberingAfterBreak="0">
    <w:nsid w:val="16EE5AB6"/>
    <w:multiLevelType w:val="hybridMultilevel"/>
    <w:tmpl w:val="A53C8A50"/>
    <w:lvl w:ilvl="0" w:tplc="0402000F">
      <w:start w:val="1"/>
      <w:numFmt w:val="decimal"/>
      <w:lvlText w:val="%1."/>
      <w:lvlJc w:val="left"/>
      <w:pPr>
        <w:ind w:left="630" w:hanging="360"/>
      </w:pPr>
    </w:lvl>
    <w:lvl w:ilvl="1" w:tplc="04020019" w:tentative="1">
      <w:start w:val="1"/>
      <w:numFmt w:val="lowerLetter"/>
      <w:lvlText w:val="%2."/>
      <w:lvlJc w:val="left"/>
      <w:pPr>
        <w:ind w:left="3690" w:hanging="360"/>
      </w:pPr>
    </w:lvl>
    <w:lvl w:ilvl="2" w:tplc="0402001B" w:tentative="1">
      <w:start w:val="1"/>
      <w:numFmt w:val="lowerRoman"/>
      <w:lvlText w:val="%3."/>
      <w:lvlJc w:val="right"/>
      <w:pPr>
        <w:ind w:left="4410" w:hanging="180"/>
      </w:pPr>
    </w:lvl>
    <w:lvl w:ilvl="3" w:tplc="0402000F" w:tentative="1">
      <w:start w:val="1"/>
      <w:numFmt w:val="decimal"/>
      <w:lvlText w:val="%4."/>
      <w:lvlJc w:val="left"/>
      <w:pPr>
        <w:ind w:left="5130" w:hanging="360"/>
      </w:pPr>
    </w:lvl>
    <w:lvl w:ilvl="4" w:tplc="04020019" w:tentative="1">
      <w:start w:val="1"/>
      <w:numFmt w:val="lowerLetter"/>
      <w:lvlText w:val="%5."/>
      <w:lvlJc w:val="left"/>
      <w:pPr>
        <w:ind w:left="5850" w:hanging="360"/>
      </w:pPr>
    </w:lvl>
    <w:lvl w:ilvl="5" w:tplc="0402001B" w:tentative="1">
      <w:start w:val="1"/>
      <w:numFmt w:val="lowerRoman"/>
      <w:lvlText w:val="%6."/>
      <w:lvlJc w:val="right"/>
      <w:pPr>
        <w:ind w:left="6570" w:hanging="180"/>
      </w:pPr>
    </w:lvl>
    <w:lvl w:ilvl="6" w:tplc="0402000F" w:tentative="1">
      <w:start w:val="1"/>
      <w:numFmt w:val="decimal"/>
      <w:lvlText w:val="%7."/>
      <w:lvlJc w:val="left"/>
      <w:pPr>
        <w:ind w:left="7290" w:hanging="360"/>
      </w:pPr>
    </w:lvl>
    <w:lvl w:ilvl="7" w:tplc="04020019" w:tentative="1">
      <w:start w:val="1"/>
      <w:numFmt w:val="lowerLetter"/>
      <w:lvlText w:val="%8."/>
      <w:lvlJc w:val="left"/>
      <w:pPr>
        <w:ind w:left="8010" w:hanging="360"/>
      </w:pPr>
    </w:lvl>
    <w:lvl w:ilvl="8" w:tplc="0402001B" w:tentative="1">
      <w:start w:val="1"/>
      <w:numFmt w:val="lowerRoman"/>
      <w:lvlText w:val="%9."/>
      <w:lvlJc w:val="right"/>
      <w:pPr>
        <w:ind w:left="8730" w:hanging="180"/>
      </w:pPr>
    </w:lvl>
  </w:abstractNum>
  <w:abstractNum w:abstractNumId="3" w15:restartNumberingAfterBreak="0">
    <w:nsid w:val="17792CB0"/>
    <w:multiLevelType w:val="multilevel"/>
    <w:tmpl w:val="0E74E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A01C0B"/>
    <w:multiLevelType w:val="multilevel"/>
    <w:tmpl w:val="23E6A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57226E"/>
    <w:multiLevelType w:val="multilevel"/>
    <w:tmpl w:val="3A8EE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2C1E2E"/>
    <w:multiLevelType w:val="multilevel"/>
    <w:tmpl w:val="E14E1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623578"/>
    <w:multiLevelType w:val="multilevel"/>
    <w:tmpl w:val="F6E0A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827063"/>
    <w:multiLevelType w:val="hybridMultilevel"/>
    <w:tmpl w:val="DC204F40"/>
    <w:lvl w:ilvl="0" w:tplc="F6DABCAE">
      <w:start w:val="1"/>
      <w:numFmt w:val="bullet"/>
      <w:lvlText w:val="-"/>
      <w:lvlJc w:val="left"/>
      <w:pPr>
        <w:ind w:left="1066" w:hanging="360"/>
      </w:pPr>
      <w:rPr>
        <w:rFonts w:ascii="Times New Roman" w:eastAsia="Times New Roman" w:hAnsi="Times New Roman" w:cs="Times New Roman"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9" w15:restartNumberingAfterBreak="0">
    <w:nsid w:val="45120123"/>
    <w:multiLevelType w:val="multilevel"/>
    <w:tmpl w:val="7A3EF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D61692"/>
    <w:multiLevelType w:val="multilevel"/>
    <w:tmpl w:val="15104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4C3DF3"/>
    <w:multiLevelType w:val="multilevel"/>
    <w:tmpl w:val="9456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9F73A5"/>
    <w:multiLevelType w:val="hybridMultilevel"/>
    <w:tmpl w:val="2F507914"/>
    <w:lvl w:ilvl="0" w:tplc="EFBCC190">
      <w:start w:val="1"/>
      <w:numFmt w:val="bullet"/>
      <w:lvlText w:val="-"/>
      <w:lvlJc w:val="left"/>
      <w:pPr>
        <w:ind w:left="1066" w:hanging="360"/>
      </w:pPr>
      <w:rPr>
        <w:rFonts w:ascii="Times New Roman" w:eastAsia="Times New Roman" w:hAnsi="Times New Roman" w:cs="Times New Roman"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num w:numId="1">
    <w:abstractNumId w:val="1"/>
  </w:num>
  <w:num w:numId="2">
    <w:abstractNumId w:val="11"/>
  </w:num>
  <w:num w:numId="3">
    <w:abstractNumId w:val="5"/>
  </w:num>
  <w:num w:numId="4">
    <w:abstractNumId w:val="9"/>
  </w:num>
  <w:num w:numId="5">
    <w:abstractNumId w:val="4"/>
  </w:num>
  <w:num w:numId="6">
    <w:abstractNumId w:val="3"/>
  </w:num>
  <w:num w:numId="7">
    <w:abstractNumId w:val="10"/>
  </w:num>
  <w:num w:numId="8">
    <w:abstractNumId w:val="7"/>
  </w:num>
  <w:num w:numId="9">
    <w:abstractNumId w:val="6"/>
  </w:num>
  <w:num w:numId="10">
    <w:abstractNumId w:val="12"/>
  </w:num>
  <w:num w:numId="11">
    <w:abstractNumId w:val="8"/>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109"/>
    <w:rsid w:val="000319C0"/>
    <w:rsid w:val="000431D9"/>
    <w:rsid w:val="00051D66"/>
    <w:rsid w:val="0007387D"/>
    <w:rsid w:val="00074804"/>
    <w:rsid w:val="00077481"/>
    <w:rsid w:val="00081102"/>
    <w:rsid w:val="00085AD1"/>
    <w:rsid w:val="00091FBB"/>
    <w:rsid w:val="000B1D35"/>
    <w:rsid w:val="000B2FA3"/>
    <w:rsid w:val="000F44CF"/>
    <w:rsid w:val="00107D89"/>
    <w:rsid w:val="00121F6A"/>
    <w:rsid w:val="00124CF7"/>
    <w:rsid w:val="00126093"/>
    <w:rsid w:val="00127C45"/>
    <w:rsid w:val="001537E6"/>
    <w:rsid w:val="00153AC7"/>
    <w:rsid w:val="00155CA9"/>
    <w:rsid w:val="00157E1C"/>
    <w:rsid w:val="00167E1A"/>
    <w:rsid w:val="001712CF"/>
    <w:rsid w:val="00197E9F"/>
    <w:rsid w:val="001A7F28"/>
    <w:rsid w:val="001B5649"/>
    <w:rsid w:val="001C36CF"/>
    <w:rsid w:val="001E46FD"/>
    <w:rsid w:val="001E6585"/>
    <w:rsid w:val="001F6E53"/>
    <w:rsid w:val="002235B2"/>
    <w:rsid w:val="00226429"/>
    <w:rsid w:val="0022685B"/>
    <w:rsid w:val="0023745D"/>
    <w:rsid w:val="00237706"/>
    <w:rsid w:val="002411A9"/>
    <w:rsid w:val="00241969"/>
    <w:rsid w:val="00245689"/>
    <w:rsid w:val="002521A9"/>
    <w:rsid w:val="002565CF"/>
    <w:rsid w:val="0026135C"/>
    <w:rsid w:val="00261DCD"/>
    <w:rsid w:val="002709D7"/>
    <w:rsid w:val="00274819"/>
    <w:rsid w:val="00276C0F"/>
    <w:rsid w:val="002A7C9B"/>
    <w:rsid w:val="002B00F1"/>
    <w:rsid w:val="002B1FEE"/>
    <w:rsid w:val="002D2382"/>
    <w:rsid w:val="002F4561"/>
    <w:rsid w:val="002F7992"/>
    <w:rsid w:val="003004BD"/>
    <w:rsid w:val="00324D34"/>
    <w:rsid w:val="00326501"/>
    <w:rsid w:val="00334C63"/>
    <w:rsid w:val="00347FBE"/>
    <w:rsid w:val="003614AA"/>
    <w:rsid w:val="00371186"/>
    <w:rsid w:val="00386A6A"/>
    <w:rsid w:val="003921E2"/>
    <w:rsid w:val="003A76E6"/>
    <w:rsid w:val="003A7CD5"/>
    <w:rsid w:val="003B1F44"/>
    <w:rsid w:val="003E301D"/>
    <w:rsid w:val="003E4E40"/>
    <w:rsid w:val="003F66DB"/>
    <w:rsid w:val="00414685"/>
    <w:rsid w:val="00415DF1"/>
    <w:rsid w:val="0042292E"/>
    <w:rsid w:val="004B5E06"/>
    <w:rsid w:val="004F589D"/>
    <w:rsid w:val="00503623"/>
    <w:rsid w:val="00531865"/>
    <w:rsid w:val="00534842"/>
    <w:rsid w:val="00543E64"/>
    <w:rsid w:val="00550A92"/>
    <w:rsid w:val="005C35F1"/>
    <w:rsid w:val="005C4698"/>
    <w:rsid w:val="00645473"/>
    <w:rsid w:val="00657295"/>
    <w:rsid w:val="00661F80"/>
    <w:rsid w:val="00676503"/>
    <w:rsid w:val="0068049F"/>
    <w:rsid w:val="0068074F"/>
    <w:rsid w:val="0068110D"/>
    <w:rsid w:val="006858BD"/>
    <w:rsid w:val="00686EAC"/>
    <w:rsid w:val="00694543"/>
    <w:rsid w:val="006A7C1E"/>
    <w:rsid w:val="006D5B7A"/>
    <w:rsid w:val="006D7048"/>
    <w:rsid w:val="006F2052"/>
    <w:rsid w:val="007041A3"/>
    <w:rsid w:val="00710464"/>
    <w:rsid w:val="00710DE2"/>
    <w:rsid w:val="00714213"/>
    <w:rsid w:val="007348AF"/>
    <w:rsid w:val="00736E33"/>
    <w:rsid w:val="00752D9D"/>
    <w:rsid w:val="00761640"/>
    <w:rsid w:val="00763C2E"/>
    <w:rsid w:val="007651F4"/>
    <w:rsid w:val="00767440"/>
    <w:rsid w:val="0077663F"/>
    <w:rsid w:val="007973BD"/>
    <w:rsid w:val="007A0DF8"/>
    <w:rsid w:val="007A27AF"/>
    <w:rsid w:val="007B5909"/>
    <w:rsid w:val="007B686C"/>
    <w:rsid w:val="007E2105"/>
    <w:rsid w:val="007E3E2A"/>
    <w:rsid w:val="007E5230"/>
    <w:rsid w:val="007F327C"/>
    <w:rsid w:val="00803FB1"/>
    <w:rsid w:val="0081253F"/>
    <w:rsid w:val="008129C2"/>
    <w:rsid w:val="00831AAD"/>
    <w:rsid w:val="008409FD"/>
    <w:rsid w:val="0084142D"/>
    <w:rsid w:val="00843F03"/>
    <w:rsid w:val="008652CB"/>
    <w:rsid w:val="00870A5C"/>
    <w:rsid w:val="00877F5E"/>
    <w:rsid w:val="0088371A"/>
    <w:rsid w:val="00884F21"/>
    <w:rsid w:val="008B0603"/>
    <w:rsid w:val="008B22A4"/>
    <w:rsid w:val="008B25DE"/>
    <w:rsid w:val="008B7B8F"/>
    <w:rsid w:val="008C7A58"/>
    <w:rsid w:val="008D1109"/>
    <w:rsid w:val="008E58AD"/>
    <w:rsid w:val="008F1BDA"/>
    <w:rsid w:val="009003B5"/>
    <w:rsid w:val="00901270"/>
    <w:rsid w:val="00905A75"/>
    <w:rsid w:val="0091243D"/>
    <w:rsid w:val="00925081"/>
    <w:rsid w:val="00925B7F"/>
    <w:rsid w:val="00936710"/>
    <w:rsid w:val="009375B6"/>
    <w:rsid w:val="00940E4A"/>
    <w:rsid w:val="00957EAF"/>
    <w:rsid w:val="009605D7"/>
    <w:rsid w:val="00967173"/>
    <w:rsid w:val="00970CED"/>
    <w:rsid w:val="0098344D"/>
    <w:rsid w:val="00993427"/>
    <w:rsid w:val="00996456"/>
    <w:rsid w:val="009B47A1"/>
    <w:rsid w:val="009B7864"/>
    <w:rsid w:val="009E6451"/>
    <w:rsid w:val="009F29F2"/>
    <w:rsid w:val="009F6B0F"/>
    <w:rsid w:val="009F7693"/>
    <w:rsid w:val="00A0193A"/>
    <w:rsid w:val="00A03491"/>
    <w:rsid w:val="00A1390B"/>
    <w:rsid w:val="00A2070C"/>
    <w:rsid w:val="00A208E4"/>
    <w:rsid w:val="00A2477A"/>
    <w:rsid w:val="00A27EB8"/>
    <w:rsid w:val="00A67402"/>
    <w:rsid w:val="00A72558"/>
    <w:rsid w:val="00A77F81"/>
    <w:rsid w:val="00A86955"/>
    <w:rsid w:val="00A8717A"/>
    <w:rsid w:val="00A94E92"/>
    <w:rsid w:val="00AC4285"/>
    <w:rsid w:val="00AF0182"/>
    <w:rsid w:val="00B06A0C"/>
    <w:rsid w:val="00B15B0E"/>
    <w:rsid w:val="00B245AD"/>
    <w:rsid w:val="00B3091F"/>
    <w:rsid w:val="00B41AF1"/>
    <w:rsid w:val="00B55741"/>
    <w:rsid w:val="00B56B9E"/>
    <w:rsid w:val="00B601CF"/>
    <w:rsid w:val="00B6286D"/>
    <w:rsid w:val="00B63E13"/>
    <w:rsid w:val="00B90444"/>
    <w:rsid w:val="00B9433C"/>
    <w:rsid w:val="00B955AD"/>
    <w:rsid w:val="00B97CDE"/>
    <w:rsid w:val="00BA48FE"/>
    <w:rsid w:val="00BB7A2F"/>
    <w:rsid w:val="00BC2FB1"/>
    <w:rsid w:val="00BD084C"/>
    <w:rsid w:val="00C46C28"/>
    <w:rsid w:val="00C76510"/>
    <w:rsid w:val="00C95111"/>
    <w:rsid w:val="00CA37CB"/>
    <w:rsid w:val="00CA7C37"/>
    <w:rsid w:val="00CB7B8B"/>
    <w:rsid w:val="00CC1578"/>
    <w:rsid w:val="00CF19F3"/>
    <w:rsid w:val="00D11D8A"/>
    <w:rsid w:val="00D15F1C"/>
    <w:rsid w:val="00D1767C"/>
    <w:rsid w:val="00D4364C"/>
    <w:rsid w:val="00D6066E"/>
    <w:rsid w:val="00D63A93"/>
    <w:rsid w:val="00D6704B"/>
    <w:rsid w:val="00D736A5"/>
    <w:rsid w:val="00D86915"/>
    <w:rsid w:val="00D940F8"/>
    <w:rsid w:val="00DB0547"/>
    <w:rsid w:val="00DB1158"/>
    <w:rsid w:val="00DD2E7B"/>
    <w:rsid w:val="00DD575A"/>
    <w:rsid w:val="00DF315E"/>
    <w:rsid w:val="00E019C5"/>
    <w:rsid w:val="00E0218D"/>
    <w:rsid w:val="00E0714D"/>
    <w:rsid w:val="00E07999"/>
    <w:rsid w:val="00E16576"/>
    <w:rsid w:val="00E16931"/>
    <w:rsid w:val="00E26ABF"/>
    <w:rsid w:val="00E5327D"/>
    <w:rsid w:val="00E71388"/>
    <w:rsid w:val="00E746D1"/>
    <w:rsid w:val="00E74A39"/>
    <w:rsid w:val="00E75EAF"/>
    <w:rsid w:val="00E766EE"/>
    <w:rsid w:val="00E8797D"/>
    <w:rsid w:val="00EA152D"/>
    <w:rsid w:val="00EA28F3"/>
    <w:rsid w:val="00EA48CD"/>
    <w:rsid w:val="00EA739D"/>
    <w:rsid w:val="00EB3B3B"/>
    <w:rsid w:val="00EC0DED"/>
    <w:rsid w:val="00ED0D17"/>
    <w:rsid w:val="00ED1FBC"/>
    <w:rsid w:val="00ED22E5"/>
    <w:rsid w:val="00ED5AAF"/>
    <w:rsid w:val="00EF36C5"/>
    <w:rsid w:val="00EF5F53"/>
    <w:rsid w:val="00F0297C"/>
    <w:rsid w:val="00F10489"/>
    <w:rsid w:val="00F43811"/>
    <w:rsid w:val="00F64D1C"/>
    <w:rsid w:val="00F814FB"/>
    <w:rsid w:val="00F930D7"/>
    <w:rsid w:val="00FB5987"/>
    <w:rsid w:val="00FD5DD4"/>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754D8873-585A-446F-978C-DEDC4332B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301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paragraph" w:styleId="NormalWeb">
    <w:name w:val="Normal (Web)"/>
    <w:basedOn w:val="Normal"/>
    <w:uiPriority w:val="99"/>
    <w:unhideWhenUsed/>
    <w:rsid w:val="00E71388"/>
    <w:pPr>
      <w:spacing w:before="100" w:beforeAutospacing="1" w:after="100" w:afterAutospacing="1"/>
    </w:pPr>
    <w:rPr>
      <w:sz w:val="24"/>
    </w:rPr>
  </w:style>
  <w:style w:type="character" w:styleId="Strong">
    <w:name w:val="Strong"/>
    <w:basedOn w:val="DefaultParagraphFont"/>
    <w:uiPriority w:val="22"/>
    <w:qFormat/>
    <w:rsid w:val="00167E1A"/>
    <w:rPr>
      <w:b/>
      <w:bCs/>
    </w:rPr>
  </w:style>
  <w:style w:type="character" w:customStyle="1" w:styleId="citation-229">
    <w:name w:val="citation-229"/>
    <w:basedOn w:val="DefaultParagraphFont"/>
    <w:rsid w:val="007A27AF"/>
  </w:style>
  <w:style w:type="character" w:customStyle="1" w:styleId="citation-228">
    <w:name w:val="citation-228"/>
    <w:basedOn w:val="DefaultParagraphFont"/>
    <w:rsid w:val="007A27AF"/>
  </w:style>
  <w:style w:type="character" w:customStyle="1" w:styleId="citation-227">
    <w:name w:val="citation-227"/>
    <w:basedOn w:val="DefaultParagraphFont"/>
    <w:rsid w:val="007A27AF"/>
  </w:style>
  <w:style w:type="character" w:customStyle="1" w:styleId="citation-226">
    <w:name w:val="citation-226"/>
    <w:basedOn w:val="DefaultParagraphFont"/>
    <w:rsid w:val="007A27AF"/>
  </w:style>
  <w:style w:type="character" w:customStyle="1" w:styleId="citation-225">
    <w:name w:val="citation-225"/>
    <w:basedOn w:val="DefaultParagraphFont"/>
    <w:rsid w:val="007A27AF"/>
  </w:style>
  <w:style w:type="character" w:customStyle="1" w:styleId="citation-224">
    <w:name w:val="citation-224"/>
    <w:basedOn w:val="DefaultParagraphFont"/>
    <w:rsid w:val="007A27AF"/>
  </w:style>
  <w:style w:type="character" w:customStyle="1" w:styleId="citation-223">
    <w:name w:val="citation-223"/>
    <w:basedOn w:val="DefaultParagraphFont"/>
    <w:rsid w:val="007A27AF"/>
  </w:style>
  <w:style w:type="character" w:customStyle="1" w:styleId="citation-286">
    <w:name w:val="citation-286"/>
    <w:basedOn w:val="DefaultParagraphFont"/>
    <w:rsid w:val="001E46FD"/>
  </w:style>
  <w:style w:type="character" w:customStyle="1" w:styleId="citation-285">
    <w:name w:val="citation-285"/>
    <w:basedOn w:val="DefaultParagraphFont"/>
    <w:rsid w:val="001E46FD"/>
  </w:style>
  <w:style w:type="character" w:customStyle="1" w:styleId="citation-284">
    <w:name w:val="citation-284"/>
    <w:basedOn w:val="DefaultParagraphFont"/>
    <w:rsid w:val="001E46FD"/>
  </w:style>
  <w:style w:type="character" w:customStyle="1" w:styleId="citation-283">
    <w:name w:val="citation-283"/>
    <w:basedOn w:val="DefaultParagraphFont"/>
    <w:rsid w:val="001E46FD"/>
  </w:style>
  <w:style w:type="character" w:customStyle="1" w:styleId="citation-282">
    <w:name w:val="citation-282"/>
    <w:basedOn w:val="DefaultParagraphFont"/>
    <w:rsid w:val="001E46FD"/>
  </w:style>
  <w:style w:type="character" w:customStyle="1" w:styleId="citation-281">
    <w:name w:val="citation-281"/>
    <w:basedOn w:val="DefaultParagraphFont"/>
    <w:rsid w:val="001E46FD"/>
  </w:style>
  <w:style w:type="character" w:customStyle="1" w:styleId="citation-280">
    <w:name w:val="citation-280"/>
    <w:basedOn w:val="DefaultParagraphFont"/>
    <w:rsid w:val="001E46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74271">
      <w:bodyDiv w:val="1"/>
      <w:marLeft w:val="0"/>
      <w:marRight w:val="0"/>
      <w:marTop w:val="0"/>
      <w:marBottom w:val="0"/>
      <w:divBdr>
        <w:top w:val="none" w:sz="0" w:space="0" w:color="auto"/>
        <w:left w:val="none" w:sz="0" w:space="0" w:color="auto"/>
        <w:bottom w:val="none" w:sz="0" w:space="0" w:color="auto"/>
        <w:right w:val="none" w:sz="0" w:space="0" w:color="auto"/>
      </w:divBdr>
    </w:div>
    <w:div w:id="33434845">
      <w:bodyDiv w:val="1"/>
      <w:marLeft w:val="0"/>
      <w:marRight w:val="0"/>
      <w:marTop w:val="0"/>
      <w:marBottom w:val="0"/>
      <w:divBdr>
        <w:top w:val="none" w:sz="0" w:space="0" w:color="auto"/>
        <w:left w:val="none" w:sz="0" w:space="0" w:color="auto"/>
        <w:bottom w:val="none" w:sz="0" w:space="0" w:color="auto"/>
        <w:right w:val="none" w:sz="0" w:space="0" w:color="auto"/>
      </w:divBdr>
    </w:div>
    <w:div w:id="159199274">
      <w:bodyDiv w:val="1"/>
      <w:marLeft w:val="0"/>
      <w:marRight w:val="0"/>
      <w:marTop w:val="0"/>
      <w:marBottom w:val="0"/>
      <w:divBdr>
        <w:top w:val="none" w:sz="0" w:space="0" w:color="auto"/>
        <w:left w:val="none" w:sz="0" w:space="0" w:color="auto"/>
        <w:bottom w:val="none" w:sz="0" w:space="0" w:color="auto"/>
        <w:right w:val="none" w:sz="0" w:space="0" w:color="auto"/>
      </w:divBdr>
    </w:div>
    <w:div w:id="205681198">
      <w:bodyDiv w:val="1"/>
      <w:marLeft w:val="0"/>
      <w:marRight w:val="0"/>
      <w:marTop w:val="0"/>
      <w:marBottom w:val="0"/>
      <w:divBdr>
        <w:top w:val="none" w:sz="0" w:space="0" w:color="auto"/>
        <w:left w:val="none" w:sz="0" w:space="0" w:color="auto"/>
        <w:bottom w:val="none" w:sz="0" w:space="0" w:color="auto"/>
        <w:right w:val="none" w:sz="0" w:space="0" w:color="auto"/>
      </w:divBdr>
    </w:div>
    <w:div w:id="247078229">
      <w:bodyDiv w:val="1"/>
      <w:marLeft w:val="0"/>
      <w:marRight w:val="0"/>
      <w:marTop w:val="0"/>
      <w:marBottom w:val="0"/>
      <w:divBdr>
        <w:top w:val="none" w:sz="0" w:space="0" w:color="auto"/>
        <w:left w:val="none" w:sz="0" w:space="0" w:color="auto"/>
        <w:bottom w:val="none" w:sz="0" w:space="0" w:color="auto"/>
        <w:right w:val="none" w:sz="0" w:space="0" w:color="auto"/>
      </w:divBdr>
    </w:div>
    <w:div w:id="295916206">
      <w:bodyDiv w:val="1"/>
      <w:marLeft w:val="0"/>
      <w:marRight w:val="0"/>
      <w:marTop w:val="0"/>
      <w:marBottom w:val="0"/>
      <w:divBdr>
        <w:top w:val="none" w:sz="0" w:space="0" w:color="auto"/>
        <w:left w:val="none" w:sz="0" w:space="0" w:color="auto"/>
        <w:bottom w:val="none" w:sz="0" w:space="0" w:color="auto"/>
        <w:right w:val="none" w:sz="0" w:space="0" w:color="auto"/>
      </w:divBdr>
    </w:div>
    <w:div w:id="298805131">
      <w:bodyDiv w:val="1"/>
      <w:marLeft w:val="0"/>
      <w:marRight w:val="0"/>
      <w:marTop w:val="0"/>
      <w:marBottom w:val="0"/>
      <w:divBdr>
        <w:top w:val="none" w:sz="0" w:space="0" w:color="auto"/>
        <w:left w:val="none" w:sz="0" w:space="0" w:color="auto"/>
        <w:bottom w:val="none" w:sz="0" w:space="0" w:color="auto"/>
        <w:right w:val="none" w:sz="0" w:space="0" w:color="auto"/>
      </w:divBdr>
    </w:div>
    <w:div w:id="318121115">
      <w:bodyDiv w:val="1"/>
      <w:marLeft w:val="0"/>
      <w:marRight w:val="0"/>
      <w:marTop w:val="0"/>
      <w:marBottom w:val="0"/>
      <w:divBdr>
        <w:top w:val="none" w:sz="0" w:space="0" w:color="auto"/>
        <w:left w:val="none" w:sz="0" w:space="0" w:color="auto"/>
        <w:bottom w:val="none" w:sz="0" w:space="0" w:color="auto"/>
        <w:right w:val="none" w:sz="0" w:space="0" w:color="auto"/>
      </w:divBdr>
      <w:divsChild>
        <w:div w:id="1184630668">
          <w:marLeft w:val="0"/>
          <w:marRight w:val="0"/>
          <w:marTop w:val="0"/>
          <w:marBottom w:val="0"/>
          <w:divBdr>
            <w:top w:val="none" w:sz="0" w:space="0" w:color="auto"/>
            <w:left w:val="none" w:sz="0" w:space="0" w:color="auto"/>
            <w:bottom w:val="none" w:sz="0" w:space="0" w:color="auto"/>
            <w:right w:val="none" w:sz="0" w:space="0" w:color="auto"/>
          </w:divBdr>
          <w:divsChild>
            <w:div w:id="1178227226">
              <w:marLeft w:val="0"/>
              <w:marRight w:val="0"/>
              <w:marTop w:val="0"/>
              <w:marBottom w:val="0"/>
              <w:divBdr>
                <w:top w:val="none" w:sz="0" w:space="0" w:color="auto"/>
                <w:left w:val="none" w:sz="0" w:space="0" w:color="auto"/>
                <w:bottom w:val="none" w:sz="0" w:space="0" w:color="auto"/>
                <w:right w:val="none" w:sz="0" w:space="0" w:color="auto"/>
              </w:divBdr>
              <w:divsChild>
                <w:div w:id="83102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512217">
      <w:bodyDiv w:val="1"/>
      <w:marLeft w:val="0"/>
      <w:marRight w:val="0"/>
      <w:marTop w:val="0"/>
      <w:marBottom w:val="0"/>
      <w:divBdr>
        <w:top w:val="none" w:sz="0" w:space="0" w:color="auto"/>
        <w:left w:val="none" w:sz="0" w:space="0" w:color="auto"/>
        <w:bottom w:val="none" w:sz="0" w:space="0" w:color="auto"/>
        <w:right w:val="none" w:sz="0" w:space="0" w:color="auto"/>
      </w:divBdr>
    </w:div>
    <w:div w:id="541094165">
      <w:bodyDiv w:val="1"/>
      <w:marLeft w:val="0"/>
      <w:marRight w:val="0"/>
      <w:marTop w:val="0"/>
      <w:marBottom w:val="0"/>
      <w:divBdr>
        <w:top w:val="none" w:sz="0" w:space="0" w:color="auto"/>
        <w:left w:val="none" w:sz="0" w:space="0" w:color="auto"/>
        <w:bottom w:val="none" w:sz="0" w:space="0" w:color="auto"/>
        <w:right w:val="none" w:sz="0" w:space="0" w:color="auto"/>
      </w:divBdr>
    </w:div>
    <w:div w:id="573324201">
      <w:bodyDiv w:val="1"/>
      <w:marLeft w:val="0"/>
      <w:marRight w:val="0"/>
      <w:marTop w:val="0"/>
      <w:marBottom w:val="0"/>
      <w:divBdr>
        <w:top w:val="none" w:sz="0" w:space="0" w:color="auto"/>
        <w:left w:val="none" w:sz="0" w:space="0" w:color="auto"/>
        <w:bottom w:val="none" w:sz="0" w:space="0" w:color="auto"/>
        <w:right w:val="none" w:sz="0" w:space="0" w:color="auto"/>
      </w:divBdr>
    </w:div>
    <w:div w:id="579676902">
      <w:bodyDiv w:val="1"/>
      <w:marLeft w:val="0"/>
      <w:marRight w:val="0"/>
      <w:marTop w:val="0"/>
      <w:marBottom w:val="0"/>
      <w:divBdr>
        <w:top w:val="none" w:sz="0" w:space="0" w:color="auto"/>
        <w:left w:val="none" w:sz="0" w:space="0" w:color="auto"/>
        <w:bottom w:val="none" w:sz="0" w:space="0" w:color="auto"/>
        <w:right w:val="none" w:sz="0" w:space="0" w:color="auto"/>
      </w:divBdr>
      <w:divsChild>
        <w:div w:id="1516846782">
          <w:marLeft w:val="0"/>
          <w:marRight w:val="0"/>
          <w:marTop w:val="0"/>
          <w:marBottom w:val="0"/>
          <w:divBdr>
            <w:top w:val="none" w:sz="0" w:space="0" w:color="auto"/>
            <w:left w:val="none" w:sz="0" w:space="0" w:color="auto"/>
            <w:bottom w:val="none" w:sz="0" w:space="0" w:color="auto"/>
            <w:right w:val="none" w:sz="0" w:space="0" w:color="auto"/>
          </w:divBdr>
          <w:divsChild>
            <w:div w:id="714502217">
              <w:marLeft w:val="0"/>
              <w:marRight w:val="0"/>
              <w:marTop w:val="0"/>
              <w:marBottom w:val="0"/>
              <w:divBdr>
                <w:top w:val="none" w:sz="0" w:space="0" w:color="auto"/>
                <w:left w:val="none" w:sz="0" w:space="0" w:color="auto"/>
                <w:bottom w:val="none" w:sz="0" w:space="0" w:color="auto"/>
                <w:right w:val="none" w:sz="0" w:space="0" w:color="auto"/>
              </w:divBdr>
              <w:divsChild>
                <w:div w:id="161475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942043">
      <w:bodyDiv w:val="1"/>
      <w:marLeft w:val="0"/>
      <w:marRight w:val="0"/>
      <w:marTop w:val="0"/>
      <w:marBottom w:val="0"/>
      <w:divBdr>
        <w:top w:val="none" w:sz="0" w:space="0" w:color="auto"/>
        <w:left w:val="none" w:sz="0" w:space="0" w:color="auto"/>
        <w:bottom w:val="none" w:sz="0" w:space="0" w:color="auto"/>
        <w:right w:val="none" w:sz="0" w:space="0" w:color="auto"/>
      </w:divBdr>
    </w:div>
    <w:div w:id="878514501">
      <w:bodyDiv w:val="1"/>
      <w:marLeft w:val="0"/>
      <w:marRight w:val="0"/>
      <w:marTop w:val="0"/>
      <w:marBottom w:val="0"/>
      <w:divBdr>
        <w:top w:val="none" w:sz="0" w:space="0" w:color="auto"/>
        <w:left w:val="none" w:sz="0" w:space="0" w:color="auto"/>
        <w:bottom w:val="none" w:sz="0" w:space="0" w:color="auto"/>
        <w:right w:val="none" w:sz="0" w:space="0" w:color="auto"/>
      </w:divBdr>
    </w:div>
    <w:div w:id="967903238">
      <w:bodyDiv w:val="1"/>
      <w:marLeft w:val="0"/>
      <w:marRight w:val="0"/>
      <w:marTop w:val="0"/>
      <w:marBottom w:val="0"/>
      <w:divBdr>
        <w:top w:val="none" w:sz="0" w:space="0" w:color="auto"/>
        <w:left w:val="none" w:sz="0" w:space="0" w:color="auto"/>
        <w:bottom w:val="none" w:sz="0" w:space="0" w:color="auto"/>
        <w:right w:val="none" w:sz="0" w:space="0" w:color="auto"/>
      </w:divBdr>
    </w:div>
    <w:div w:id="982000769">
      <w:bodyDiv w:val="1"/>
      <w:marLeft w:val="0"/>
      <w:marRight w:val="0"/>
      <w:marTop w:val="0"/>
      <w:marBottom w:val="0"/>
      <w:divBdr>
        <w:top w:val="none" w:sz="0" w:space="0" w:color="auto"/>
        <w:left w:val="none" w:sz="0" w:space="0" w:color="auto"/>
        <w:bottom w:val="none" w:sz="0" w:space="0" w:color="auto"/>
        <w:right w:val="none" w:sz="0" w:space="0" w:color="auto"/>
      </w:divBdr>
    </w:div>
    <w:div w:id="1000160925">
      <w:bodyDiv w:val="1"/>
      <w:marLeft w:val="0"/>
      <w:marRight w:val="0"/>
      <w:marTop w:val="0"/>
      <w:marBottom w:val="0"/>
      <w:divBdr>
        <w:top w:val="none" w:sz="0" w:space="0" w:color="auto"/>
        <w:left w:val="none" w:sz="0" w:space="0" w:color="auto"/>
        <w:bottom w:val="none" w:sz="0" w:space="0" w:color="auto"/>
        <w:right w:val="none" w:sz="0" w:space="0" w:color="auto"/>
      </w:divBdr>
    </w:div>
    <w:div w:id="1029915875">
      <w:bodyDiv w:val="1"/>
      <w:marLeft w:val="0"/>
      <w:marRight w:val="0"/>
      <w:marTop w:val="0"/>
      <w:marBottom w:val="0"/>
      <w:divBdr>
        <w:top w:val="none" w:sz="0" w:space="0" w:color="auto"/>
        <w:left w:val="none" w:sz="0" w:space="0" w:color="auto"/>
        <w:bottom w:val="none" w:sz="0" w:space="0" w:color="auto"/>
        <w:right w:val="none" w:sz="0" w:space="0" w:color="auto"/>
      </w:divBdr>
    </w:div>
    <w:div w:id="1163280494">
      <w:bodyDiv w:val="1"/>
      <w:marLeft w:val="0"/>
      <w:marRight w:val="0"/>
      <w:marTop w:val="0"/>
      <w:marBottom w:val="0"/>
      <w:divBdr>
        <w:top w:val="none" w:sz="0" w:space="0" w:color="auto"/>
        <w:left w:val="none" w:sz="0" w:space="0" w:color="auto"/>
        <w:bottom w:val="none" w:sz="0" w:space="0" w:color="auto"/>
        <w:right w:val="none" w:sz="0" w:space="0" w:color="auto"/>
      </w:divBdr>
    </w:div>
    <w:div w:id="1178738593">
      <w:bodyDiv w:val="1"/>
      <w:marLeft w:val="0"/>
      <w:marRight w:val="0"/>
      <w:marTop w:val="0"/>
      <w:marBottom w:val="0"/>
      <w:divBdr>
        <w:top w:val="none" w:sz="0" w:space="0" w:color="auto"/>
        <w:left w:val="none" w:sz="0" w:space="0" w:color="auto"/>
        <w:bottom w:val="none" w:sz="0" w:space="0" w:color="auto"/>
        <w:right w:val="none" w:sz="0" w:space="0" w:color="auto"/>
      </w:divBdr>
    </w:div>
    <w:div w:id="1239943910">
      <w:bodyDiv w:val="1"/>
      <w:marLeft w:val="0"/>
      <w:marRight w:val="0"/>
      <w:marTop w:val="0"/>
      <w:marBottom w:val="0"/>
      <w:divBdr>
        <w:top w:val="none" w:sz="0" w:space="0" w:color="auto"/>
        <w:left w:val="none" w:sz="0" w:space="0" w:color="auto"/>
        <w:bottom w:val="none" w:sz="0" w:space="0" w:color="auto"/>
        <w:right w:val="none" w:sz="0" w:space="0" w:color="auto"/>
      </w:divBdr>
    </w:div>
    <w:div w:id="1283994013">
      <w:bodyDiv w:val="1"/>
      <w:marLeft w:val="0"/>
      <w:marRight w:val="0"/>
      <w:marTop w:val="0"/>
      <w:marBottom w:val="0"/>
      <w:divBdr>
        <w:top w:val="none" w:sz="0" w:space="0" w:color="auto"/>
        <w:left w:val="none" w:sz="0" w:space="0" w:color="auto"/>
        <w:bottom w:val="none" w:sz="0" w:space="0" w:color="auto"/>
        <w:right w:val="none" w:sz="0" w:space="0" w:color="auto"/>
      </w:divBdr>
    </w:div>
    <w:div w:id="1338269709">
      <w:bodyDiv w:val="1"/>
      <w:marLeft w:val="0"/>
      <w:marRight w:val="0"/>
      <w:marTop w:val="0"/>
      <w:marBottom w:val="0"/>
      <w:divBdr>
        <w:top w:val="none" w:sz="0" w:space="0" w:color="auto"/>
        <w:left w:val="none" w:sz="0" w:space="0" w:color="auto"/>
        <w:bottom w:val="none" w:sz="0" w:space="0" w:color="auto"/>
        <w:right w:val="none" w:sz="0" w:space="0" w:color="auto"/>
      </w:divBdr>
    </w:div>
    <w:div w:id="1388138878">
      <w:bodyDiv w:val="1"/>
      <w:marLeft w:val="0"/>
      <w:marRight w:val="0"/>
      <w:marTop w:val="0"/>
      <w:marBottom w:val="0"/>
      <w:divBdr>
        <w:top w:val="none" w:sz="0" w:space="0" w:color="auto"/>
        <w:left w:val="none" w:sz="0" w:space="0" w:color="auto"/>
        <w:bottom w:val="none" w:sz="0" w:space="0" w:color="auto"/>
        <w:right w:val="none" w:sz="0" w:space="0" w:color="auto"/>
      </w:divBdr>
    </w:div>
    <w:div w:id="1441030569">
      <w:bodyDiv w:val="1"/>
      <w:marLeft w:val="0"/>
      <w:marRight w:val="0"/>
      <w:marTop w:val="0"/>
      <w:marBottom w:val="0"/>
      <w:divBdr>
        <w:top w:val="none" w:sz="0" w:space="0" w:color="auto"/>
        <w:left w:val="none" w:sz="0" w:space="0" w:color="auto"/>
        <w:bottom w:val="none" w:sz="0" w:space="0" w:color="auto"/>
        <w:right w:val="none" w:sz="0" w:space="0" w:color="auto"/>
      </w:divBdr>
    </w:div>
    <w:div w:id="1447843688">
      <w:bodyDiv w:val="1"/>
      <w:marLeft w:val="0"/>
      <w:marRight w:val="0"/>
      <w:marTop w:val="0"/>
      <w:marBottom w:val="0"/>
      <w:divBdr>
        <w:top w:val="none" w:sz="0" w:space="0" w:color="auto"/>
        <w:left w:val="none" w:sz="0" w:space="0" w:color="auto"/>
        <w:bottom w:val="none" w:sz="0" w:space="0" w:color="auto"/>
        <w:right w:val="none" w:sz="0" w:space="0" w:color="auto"/>
      </w:divBdr>
    </w:div>
    <w:div w:id="1503351280">
      <w:bodyDiv w:val="1"/>
      <w:marLeft w:val="0"/>
      <w:marRight w:val="0"/>
      <w:marTop w:val="0"/>
      <w:marBottom w:val="0"/>
      <w:divBdr>
        <w:top w:val="none" w:sz="0" w:space="0" w:color="auto"/>
        <w:left w:val="none" w:sz="0" w:space="0" w:color="auto"/>
        <w:bottom w:val="none" w:sz="0" w:space="0" w:color="auto"/>
        <w:right w:val="none" w:sz="0" w:space="0" w:color="auto"/>
      </w:divBdr>
    </w:div>
    <w:div w:id="1515455845">
      <w:bodyDiv w:val="1"/>
      <w:marLeft w:val="0"/>
      <w:marRight w:val="0"/>
      <w:marTop w:val="0"/>
      <w:marBottom w:val="0"/>
      <w:divBdr>
        <w:top w:val="none" w:sz="0" w:space="0" w:color="auto"/>
        <w:left w:val="none" w:sz="0" w:space="0" w:color="auto"/>
        <w:bottom w:val="none" w:sz="0" w:space="0" w:color="auto"/>
        <w:right w:val="none" w:sz="0" w:space="0" w:color="auto"/>
      </w:divBdr>
    </w:div>
    <w:div w:id="1549873143">
      <w:bodyDiv w:val="1"/>
      <w:marLeft w:val="0"/>
      <w:marRight w:val="0"/>
      <w:marTop w:val="0"/>
      <w:marBottom w:val="0"/>
      <w:divBdr>
        <w:top w:val="none" w:sz="0" w:space="0" w:color="auto"/>
        <w:left w:val="none" w:sz="0" w:space="0" w:color="auto"/>
        <w:bottom w:val="none" w:sz="0" w:space="0" w:color="auto"/>
        <w:right w:val="none" w:sz="0" w:space="0" w:color="auto"/>
      </w:divBdr>
    </w:div>
    <w:div w:id="1622105730">
      <w:bodyDiv w:val="1"/>
      <w:marLeft w:val="0"/>
      <w:marRight w:val="0"/>
      <w:marTop w:val="0"/>
      <w:marBottom w:val="0"/>
      <w:divBdr>
        <w:top w:val="none" w:sz="0" w:space="0" w:color="auto"/>
        <w:left w:val="none" w:sz="0" w:space="0" w:color="auto"/>
        <w:bottom w:val="none" w:sz="0" w:space="0" w:color="auto"/>
        <w:right w:val="none" w:sz="0" w:space="0" w:color="auto"/>
      </w:divBdr>
    </w:div>
    <w:div w:id="1726178695">
      <w:bodyDiv w:val="1"/>
      <w:marLeft w:val="0"/>
      <w:marRight w:val="0"/>
      <w:marTop w:val="0"/>
      <w:marBottom w:val="0"/>
      <w:divBdr>
        <w:top w:val="none" w:sz="0" w:space="0" w:color="auto"/>
        <w:left w:val="none" w:sz="0" w:space="0" w:color="auto"/>
        <w:bottom w:val="none" w:sz="0" w:space="0" w:color="auto"/>
        <w:right w:val="none" w:sz="0" w:space="0" w:color="auto"/>
      </w:divBdr>
    </w:div>
    <w:div w:id="1778676639">
      <w:bodyDiv w:val="1"/>
      <w:marLeft w:val="0"/>
      <w:marRight w:val="0"/>
      <w:marTop w:val="0"/>
      <w:marBottom w:val="0"/>
      <w:divBdr>
        <w:top w:val="none" w:sz="0" w:space="0" w:color="auto"/>
        <w:left w:val="none" w:sz="0" w:space="0" w:color="auto"/>
        <w:bottom w:val="none" w:sz="0" w:space="0" w:color="auto"/>
        <w:right w:val="none" w:sz="0" w:space="0" w:color="auto"/>
      </w:divBdr>
    </w:div>
    <w:div w:id="1792162120">
      <w:bodyDiv w:val="1"/>
      <w:marLeft w:val="0"/>
      <w:marRight w:val="0"/>
      <w:marTop w:val="0"/>
      <w:marBottom w:val="0"/>
      <w:divBdr>
        <w:top w:val="none" w:sz="0" w:space="0" w:color="auto"/>
        <w:left w:val="none" w:sz="0" w:space="0" w:color="auto"/>
        <w:bottom w:val="none" w:sz="0" w:space="0" w:color="auto"/>
        <w:right w:val="none" w:sz="0" w:space="0" w:color="auto"/>
      </w:divBdr>
    </w:div>
    <w:div w:id="1833178735">
      <w:bodyDiv w:val="1"/>
      <w:marLeft w:val="0"/>
      <w:marRight w:val="0"/>
      <w:marTop w:val="0"/>
      <w:marBottom w:val="0"/>
      <w:divBdr>
        <w:top w:val="none" w:sz="0" w:space="0" w:color="auto"/>
        <w:left w:val="none" w:sz="0" w:space="0" w:color="auto"/>
        <w:bottom w:val="none" w:sz="0" w:space="0" w:color="auto"/>
        <w:right w:val="none" w:sz="0" w:space="0" w:color="auto"/>
      </w:divBdr>
    </w:div>
    <w:div w:id="1847665750">
      <w:bodyDiv w:val="1"/>
      <w:marLeft w:val="0"/>
      <w:marRight w:val="0"/>
      <w:marTop w:val="0"/>
      <w:marBottom w:val="0"/>
      <w:divBdr>
        <w:top w:val="none" w:sz="0" w:space="0" w:color="auto"/>
        <w:left w:val="none" w:sz="0" w:space="0" w:color="auto"/>
        <w:bottom w:val="none" w:sz="0" w:space="0" w:color="auto"/>
        <w:right w:val="none" w:sz="0" w:space="0" w:color="auto"/>
      </w:divBdr>
    </w:div>
    <w:div w:id="1972246066">
      <w:bodyDiv w:val="1"/>
      <w:marLeft w:val="0"/>
      <w:marRight w:val="0"/>
      <w:marTop w:val="0"/>
      <w:marBottom w:val="0"/>
      <w:divBdr>
        <w:top w:val="none" w:sz="0" w:space="0" w:color="auto"/>
        <w:left w:val="none" w:sz="0" w:space="0" w:color="auto"/>
        <w:bottom w:val="none" w:sz="0" w:space="0" w:color="auto"/>
        <w:right w:val="none" w:sz="0" w:space="0" w:color="auto"/>
      </w:divBdr>
    </w:div>
    <w:div w:id="201071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rginiya_atanasova@abv.b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9AF11-F642-41C8-9CA7-8F4DF8CD3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4780</Words>
  <Characters>27250</Characters>
  <Application>Microsoft Office Word</Application>
  <DocSecurity>0</DocSecurity>
  <Lines>227</Lines>
  <Paragraphs>63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VIVA</cp:lastModifiedBy>
  <cp:revision>2</cp:revision>
  <dcterms:created xsi:type="dcterms:W3CDTF">2026-09-21T05:13:00Z</dcterms:created>
  <dcterms:modified xsi:type="dcterms:W3CDTF">2026-09-21T05:13:00Z</dcterms:modified>
</cp:coreProperties>
</file>