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B2C6ABD" w14:textId="77777777" w:rsidR="00813EEE" w:rsidRDefault="00000000">
      <w:pPr>
        <w:spacing w:after="0" w:line="240" w:lineRule="auto"/>
        <w:jc w:val="center"/>
      </w:pPr>
      <w:r>
        <w:rPr>
          <w:rFonts w:ascii="Times New Roman" w:hAnsi="Times New Roman" w:cs="Times New Roman"/>
          <w:b/>
          <w:sz w:val="32"/>
        </w:rPr>
        <w:t>РАДИКАЛИЗАЦИЯ И ОНЛАЙН МАНИПУЛАЦИЯ: ИЗСЛЕДВАНЕ НА ДИГИТАЛНАТА ЕВОЛЮЦИЯ НА ЕКСТРЕМИЗМА</w:t>
      </w:r>
    </w:p>
    <w:p w14:paraId="02079F11" w14:textId="77777777" w:rsidR="00813EEE" w:rsidRDefault="00813EEE">
      <w:pPr>
        <w:spacing w:after="0" w:line="240" w:lineRule="auto"/>
        <w:jc w:val="both"/>
      </w:pPr>
    </w:p>
    <w:p w14:paraId="796E10CF" w14:textId="77777777" w:rsidR="00813EEE" w:rsidRDefault="00813EEE">
      <w:pPr>
        <w:spacing w:after="0" w:line="240" w:lineRule="auto"/>
        <w:jc w:val="both"/>
      </w:pPr>
    </w:p>
    <w:p w14:paraId="0E87D9E7" w14:textId="77777777" w:rsidR="00813EEE" w:rsidRDefault="00000000">
      <w:pPr>
        <w:spacing w:after="0" w:line="240" w:lineRule="auto"/>
        <w:jc w:val="center"/>
      </w:pPr>
      <w:r>
        <w:rPr>
          <w:rFonts w:ascii="Times New Roman" w:hAnsi="Times New Roman" w:cs="Times New Roman"/>
          <w:b/>
          <w:sz w:val="32"/>
        </w:rPr>
        <w:t>Дечо Стоянов</w:t>
      </w:r>
    </w:p>
    <w:p w14:paraId="0CBF3156" w14:textId="77777777" w:rsidR="00813EEE" w:rsidRDefault="00813EEE">
      <w:pPr>
        <w:spacing w:after="0" w:line="240" w:lineRule="auto"/>
        <w:jc w:val="both"/>
      </w:pPr>
    </w:p>
    <w:p w14:paraId="1DD46F7C" w14:textId="77777777" w:rsidR="00813EEE" w:rsidRDefault="00000000">
      <w:pPr>
        <w:spacing w:after="0" w:line="240" w:lineRule="auto"/>
        <w:jc w:val="center"/>
      </w:pPr>
      <w:r>
        <w:rPr>
          <w:rFonts w:ascii="Times New Roman" w:hAnsi="Times New Roman" w:cs="Times New Roman"/>
          <w:b/>
          <w:sz w:val="32"/>
        </w:rPr>
        <w:t>RADICALIZATION AND ONLINE MANIPULATION: RESEARCH ON THE DIGITAL EVOLUTION OF EXTREMISM</w:t>
      </w:r>
    </w:p>
    <w:p w14:paraId="79C5A735" w14:textId="77777777" w:rsidR="00813EEE" w:rsidRDefault="00813EEE">
      <w:pPr>
        <w:spacing w:after="0" w:line="240" w:lineRule="auto"/>
        <w:jc w:val="both"/>
      </w:pPr>
    </w:p>
    <w:p w14:paraId="2EACA12E" w14:textId="77777777" w:rsidR="00813EEE" w:rsidRDefault="00000000">
      <w:pPr>
        <w:spacing w:after="0" w:line="240" w:lineRule="auto"/>
        <w:jc w:val="center"/>
      </w:pPr>
      <w:r>
        <w:rPr>
          <w:rFonts w:ascii="Times New Roman" w:hAnsi="Times New Roman" w:cs="Times New Roman"/>
          <w:b/>
          <w:sz w:val="32"/>
        </w:rPr>
        <w:t>Decho Stoyanov</w:t>
      </w:r>
    </w:p>
    <w:p w14:paraId="2FB01E08" w14:textId="77777777" w:rsidR="00813EEE" w:rsidRDefault="00813EEE">
      <w:pPr>
        <w:spacing w:after="0" w:line="240" w:lineRule="auto"/>
        <w:jc w:val="both"/>
      </w:pPr>
    </w:p>
    <w:p w14:paraId="127CD4DA" w14:textId="77777777" w:rsidR="00813EEE" w:rsidRDefault="00813EEE">
      <w:pPr>
        <w:spacing w:after="0" w:line="240" w:lineRule="auto"/>
        <w:jc w:val="both"/>
      </w:pPr>
    </w:p>
    <w:p w14:paraId="59FE6EA9" w14:textId="77777777" w:rsidR="00813EEE" w:rsidRDefault="00000000">
      <w:pPr>
        <w:spacing w:after="0" w:line="240" w:lineRule="auto"/>
        <w:jc w:val="both"/>
      </w:pPr>
      <w:r>
        <w:rPr>
          <w:rFonts w:ascii="Times New Roman" w:hAnsi="Times New Roman" w:cs="Times New Roman"/>
          <w:i/>
          <w:sz w:val="24"/>
        </w:rPr>
        <w:t>Резюме: Докладът изследва дигиталната еволюция на екстремизма и ролята на социалните медии, алгоритмите и изкуствения интелект в радикализацията. Анализирани са техниките на онлайн манипулация, психологическите уязвимости и структурата на екстремистките мрежи. Представени са превантивни стратегии и регулаторни предизвикателства.</w:t>
      </w:r>
    </w:p>
    <w:p w14:paraId="10E81D78" w14:textId="77777777" w:rsidR="00813EEE" w:rsidRDefault="00813EEE">
      <w:pPr>
        <w:spacing w:after="0" w:line="240" w:lineRule="auto"/>
        <w:jc w:val="both"/>
      </w:pPr>
    </w:p>
    <w:p w14:paraId="33BF306E" w14:textId="77777777" w:rsidR="00813EEE" w:rsidRDefault="00000000">
      <w:pPr>
        <w:spacing w:after="0" w:line="240" w:lineRule="auto"/>
        <w:jc w:val="both"/>
      </w:pPr>
      <w:r>
        <w:rPr>
          <w:rFonts w:ascii="Times New Roman" w:hAnsi="Times New Roman" w:cs="Times New Roman"/>
          <w:i/>
          <w:sz w:val="24"/>
        </w:rPr>
        <w:t>Ключови думи: радикализация, онлайн манипулация, дезинформация, алгоритмична радикализация, онлайн екстремизъм</w:t>
      </w:r>
    </w:p>
    <w:p w14:paraId="48B1A967" w14:textId="77777777" w:rsidR="00813EEE" w:rsidRDefault="00813EEE">
      <w:pPr>
        <w:spacing w:after="0" w:line="240" w:lineRule="auto"/>
        <w:jc w:val="both"/>
      </w:pPr>
    </w:p>
    <w:p w14:paraId="62BCAC28" w14:textId="77777777" w:rsidR="00813EEE" w:rsidRDefault="00000000">
      <w:pPr>
        <w:spacing w:after="0" w:line="240" w:lineRule="auto"/>
        <w:jc w:val="both"/>
      </w:pPr>
      <w:r>
        <w:rPr>
          <w:rFonts w:ascii="Times New Roman" w:hAnsi="Times New Roman" w:cs="Times New Roman"/>
          <w:i/>
          <w:sz w:val="24"/>
        </w:rPr>
        <w:t>Abstract: This paper examines the digital evolution of extremism and the role of social media algorithms and artificial intelligence in radicalization. Online manipulation techniques, psychological vulnerabilities, and extremist network structures are analyzed. Preventive strategies and regulatory challenges are presented.</w:t>
      </w:r>
    </w:p>
    <w:p w14:paraId="7B256F44" w14:textId="77777777" w:rsidR="00813EEE" w:rsidRDefault="00813EEE">
      <w:pPr>
        <w:spacing w:after="0" w:line="240" w:lineRule="auto"/>
        <w:jc w:val="both"/>
      </w:pPr>
    </w:p>
    <w:p w14:paraId="662A83C1" w14:textId="77777777" w:rsidR="00813EEE" w:rsidRDefault="00000000">
      <w:pPr>
        <w:spacing w:after="0" w:line="240" w:lineRule="auto"/>
        <w:jc w:val="both"/>
      </w:pPr>
      <w:r>
        <w:rPr>
          <w:rFonts w:ascii="Times New Roman" w:hAnsi="Times New Roman" w:cs="Times New Roman"/>
          <w:i/>
          <w:sz w:val="24"/>
        </w:rPr>
        <w:t>Keywords: radicalization, online manipulation, disinformation, algorithmic radicalization, online extremism</w:t>
      </w:r>
    </w:p>
    <w:p w14:paraId="080D6D4A" w14:textId="77777777" w:rsidR="00813EEE" w:rsidRDefault="00813EEE">
      <w:pPr>
        <w:spacing w:after="0" w:line="240" w:lineRule="auto"/>
        <w:jc w:val="both"/>
      </w:pPr>
    </w:p>
    <w:p w14:paraId="06267220" w14:textId="77777777" w:rsidR="00813EEE" w:rsidRDefault="00813EEE">
      <w:pPr>
        <w:spacing w:after="0" w:line="240" w:lineRule="auto"/>
        <w:jc w:val="both"/>
      </w:pPr>
    </w:p>
    <w:p w14:paraId="0BF4D89F" w14:textId="77777777" w:rsidR="00813EEE" w:rsidRDefault="00000000">
      <w:pPr>
        <w:spacing w:after="0" w:line="240" w:lineRule="auto"/>
        <w:jc w:val="both"/>
      </w:pPr>
      <w:r>
        <w:rPr>
          <w:rFonts w:ascii="Times New Roman" w:hAnsi="Times New Roman" w:cs="Times New Roman"/>
          <w:b/>
          <w:sz w:val="28"/>
        </w:rPr>
        <w:t>ВЪВЕДЕНИЕ</w:t>
      </w:r>
    </w:p>
    <w:p w14:paraId="4B26F892" w14:textId="77777777" w:rsidR="00813EEE" w:rsidRDefault="00000000">
      <w:pPr>
        <w:spacing w:after="0" w:line="240" w:lineRule="auto"/>
        <w:jc w:val="both"/>
      </w:pPr>
      <w:r>
        <w:rPr>
          <w:rFonts w:ascii="Times New Roman" w:hAnsi="Times New Roman" w:cs="Times New Roman"/>
          <w:sz w:val="28"/>
        </w:rPr>
        <w:t>В последните две десетилетия интернет се превърна в основна арена на идеологическо противопоставяне, вербуване и мобилизация. Ако преди екстремистките движения разчитаха предимно на физически срещи и разпространение на печатни материали, то днес те оперират в глобален дигитален мащаб — с достъп до милиарди потребители, в реално време и с минимален ресурс.</w:t>
      </w:r>
    </w:p>
    <w:p w14:paraId="311AC458" w14:textId="77777777" w:rsidR="00813EEE" w:rsidRDefault="00000000">
      <w:pPr>
        <w:spacing w:after="0" w:line="240" w:lineRule="auto"/>
        <w:jc w:val="both"/>
      </w:pPr>
      <w:r>
        <w:rPr>
          <w:rFonts w:ascii="Times New Roman" w:hAnsi="Times New Roman" w:cs="Times New Roman"/>
          <w:sz w:val="28"/>
        </w:rPr>
        <w:t>Темата е мултидисциплинарна: едновременно въпрос на киберсигурност, обществена психология, медийна грамотност, право и политика. Настоящият доклад изследва: ролята на дигиталните платформи в разпространението на екстремистки идеи; техниките на онлайн манипулация; психологическите и социалните механизми на радикализацията; организационните структури на онлайн мрежите; и актуалните превантивни мерки и регулаторни предизвикателства.</w:t>
      </w:r>
    </w:p>
    <w:p w14:paraId="6AEB2C7F" w14:textId="77777777" w:rsidR="00813EEE" w:rsidRDefault="00000000">
      <w:pPr>
        <w:spacing w:after="0" w:line="240" w:lineRule="auto"/>
        <w:jc w:val="both"/>
      </w:pPr>
      <w:r>
        <w:rPr>
          <w:rFonts w:ascii="Times New Roman" w:hAnsi="Times New Roman" w:cs="Times New Roman"/>
          <w:b/>
          <w:sz w:val="28"/>
        </w:rPr>
        <w:t>ДИГИТАЛНИТЕ ПЛАТФОРМИ И СОЦИАЛНИТЕ МЕДИИ КАТО ВЕКТОР НА ЕКСТРЕМИЗЪМ</w:t>
      </w:r>
    </w:p>
    <w:p w14:paraId="5B16FDBE" w14:textId="77777777" w:rsidR="00813EEE" w:rsidRDefault="00000000">
      <w:pPr>
        <w:spacing w:after="0" w:line="240" w:lineRule="auto"/>
        <w:jc w:val="both"/>
      </w:pPr>
      <w:r>
        <w:rPr>
          <w:rFonts w:ascii="Times New Roman" w:hAnsi="Times New Roman" w:cs="Times New Roman"/>
          <w:b/>
          <w:sz w:val="28"/>
        </w:rPr>
        <w:t>Социалните мрежи като основен канал</w:t>
      </w:r>
    </w:p>
    <w:p w14:paraId="1C115ABC" w14:textId="77777777" w:rsidR="00813EEE" w:rsidRDefault="00000000">
      <w:pPr>
        <w:spacing w:after="0" w:line="240" w:lineRule="auto"/>
        <w:jc w:val="both"/>
      </w:pPr>
      <w:r>
        <w:rPr>
          <w:rFonts w:ascii="Times New Roman" w:hAnsi="Times New Roman" w:cs="Times New Roman"/>
          <w:sz w:val="28"/>
        </w:rPr>
        <w:lastRenderedPageBreak/>
        <w:t>Социалните мрежи, форумите, видеоплатформите и криптираните месинджъри се превърнаха в основни канали за разпространение на екстремистки идеи. Платформи като Facebook, YouTube, TikTok, Telegram и X (Twitter) предлагат лесен достъп до огромна аудитория, ниска бариера за публикуване на съдържание и инструменти за бърза мобилизация. Изследванията показват, че в периода 2019–2021 г. 44,9% от крайнодесните нарушители са се радикализирали за по-малко от 1 година — значително по-бързо в сравнение с предходни периоди [1].</w:t>
      </w:r>
    </w:p>
    <w:p w14:paraId="60D2A9AC" w14:textId="77777777" w:rsidR="00813EEE" w:rsidRDefault="00000000">
      <w:pPr>
        <w:spacing w:after="0" w:line="240" w:lineRule="auto"/>
        <w:jc w:val="both"/>
      </w:pPr>
      <w:r>
        <w:rPr>
          <w:rFonts w:ascii="Times New Roman" w:hAnsi="Times New Roman" w:cs="Times New Roman"/>
          <w:b/>
          <w:sz w:val="28"/>
        </w:rPr>
        <w:t>Алгоритмично усилване и ехо-камери</w:t>
      </w:r>
    </w:p>
    <w:p w14:paraId="0CC4215A" w14:textId="77777777" w:rsidR="00813EEE" w:rsidRDefault="00000000">
      <w:pPr>
        <w:spacing w:after="0" w:line="240" w:lineRule="auto"/>
        <w:jc w:val="both"/>
      </w:pPr>
      <w:r>
        <w:rPr>
          <w:rFonts w:ascii="Times New Roman" w:hAnsi="Times New Roman" w:cs="Times New Roman"/>
          <w:sz w:val="28"/>
        </w:rPr>
        <w:t>Препоръчителните алгоритми на платформите са проектирани да максимизират ангажираността на потребителите. Изследователката Бека Луис въвежда концепцията за „алгоритмична радикализация“ (2024), описваща как платформите постепенно насочват потребителите към все по-крайни позиции. Одит на алгоритъма на TikTok установява, че той активно насочва потребителите към радикализирано съдържание [2]. Проучване на UCL (2024) показва, че алгоритмите усилват мизогинистично съдържание за тийнейджъри, нормализирайки вредни идеологии [3]. Националният институт по правосъдие на САЩ (NIJ, 2024) подчертава, че онлайн радикализацията е комплексен процес — интернет е важен катализатор, но не и единствена детерминанта [4].</w:t>
      </w:r>
    </w:p>
    <w:p w14:paraId="5B402274" w14:textId="77777777" w:rsidR="00813EEE" w:rsidRDefault="00000000">
      <w:pPr>
        <w:spacing w:after="0" w:line="240" w:lineRule="auto"/>
        <w:jc w:val="both"/>
      </w:pPr>
      <w:r>
        <w:rPr>
          <w:rFonts w:ascii="Times New Roman" w:hAnsi="Times New Roman" w:cs="Times New Roman"/>
          <w:b/>
          <w:sz w:val="28"/>
        </w:rPr>
        <w:t>Ролята на изкуствения интелект</w:t>
      </w:r>
    </w:p>
    <w:p w14:paraId="4676B526" w14:textId="77777777" w:rsidR="00813EEE" w:rsidRDefault="00000000">
      <w:pPr>
        <w:spacing w:after="0" w:line="240" w:lineRule="auto"/>
        <w:jc w:val="both"/>
      </w:pPr>
      <w:r>
        <w:rPr>
          <w:rFonts w:ascii="Times New Roman" w:hAnsi="Times New Roman" w:cs="Times New Roman"/>
          <w:sz w:val="28"/>
        </w:rPr>
        <w:t>Изкуственият интелект внася ново измерение в радикализацията. Доклад в Frontiers in Political Science (2025) описва как AI технологиите улесняват радикализацията чрез алгоритмично усилване на провокиращо съдържание, поведенчески анализ за прецизно таргетиране на уязвими лица и генеративни системи, произвеждащи deepfakes и AI-генерирано аудиовизуално съдържание. Дийпфейк видеоклиповете са нараснали с 550% глобално в периода 2019–2023 г. [5].</w:t>
      </w:r>
    </w:p>
    <w:p w14:paraId="53105A0E" w14:textId="77777777" w:rsidR="00813EEE" w:rsidRDefault="00000000">
      <w:pPr>
        <w:spacing w:after="0" w:line="240" w:lineRule="auto"/>
        <w:jc w:val="both"/>
      </w:pPr>
      <w:r>
        <w:rPr>
          <w:rFonts w:ascii="Times New Roman" w:hAnsi="Times New Roman" w:cs="Times New Roman"/>
          <w:b/>
          <w:sz w:val="28"/>
        </w:rPr>
        <w:t>ТЕХНИКИ НА ОНЛАЙН МАНИПУЛАЦИЯ</w:t>
      </w:r>
    </w:p>
    <w:p w14:paraId="355BB077" w14:textId="77777777" w:rsidR="00813EEE" w:rsidRDefault="00000000">
      <w:pPr>
        <w:spacing w:after="0" w:line="240" w:lineRule="auto"/>
        <w:jc w:val="both"/>
      </w:pPr>
      <w:r>
        <w:rPr>
          <w:rFonts w:ascii="Times New Roman" w:hAnsi="Times New Roman" w:cs="Times New Roman"/>
          <w:b/>
          <w:sz w:val="28"/>
        </w:rPr>
        <w:t>Пропагандни кампании</w:t>
      </w:r>
    </w:p>
    <w:p w14:paraId="198D95DB" w14:textId="77777777" w:rsidR="00813EEE" w:rsidRDefault="00000000">
      <w:pPr>
        <w:spacing w:after="0" w:line="240" w:lineRule="auto"/>
        <w:jc w:val="both"/>
      </w:pPr>
      <w:r>
        <w:rPr>
          <w:rFonts w:ascii="Times New Roman" w:hAnsi="Times New Roman" w:cs="Times New Roman"/>
          <w:sz w:val="28"/>
        </w:rPr>
        <w:t>Съвременните онлайн пропагандни кампании се характеризират с висока визуална изразителност и емоционален заряд. Екстремистките групи използват визуални материали, видеоклипове и инфографики, изградени да предизвикат страх, гняв или чувство за принадлежност. Типична стратегия включва изграждане на онлайн присъствие в продължение на месеци — публикуване на привидно безобидно съдържание с постепенно вграждане на радикализиращи послания, натрупвайки доверие преди разкриването на крайните идеологически позиции.</w:t>
      </w:r>
    </w:p>
    <w:p w14:paraId="67BAB71E" w14:textId="77777777" w:rsidR="00813EEE" w:rsidRDefault="00000000">
      <w:pPr>
        <w:spacing w:after="0" w:line="240" w:lineRule="auto"/>
        <w:jc w:val="both"/>
      </w:pPr>
      <w:r>
        <w:rPr>
          <w:rFonts w:ascii="Times New Roman" w:hAnsi="Times New Roman" w:cs="Times New Roman"/>
          <w:b/>
          <w:sz w:val="28"/>
        </w:rPr>
        <w:t>Дезинформация и фалшиви новини</w:t>
      </w:r>
    </w:p>
    <w:p w14:paraId="010FDB76" w14:textId="77777777" w:rsidR="00813EEE" w:rsidRDefault="00000000">
      <w:pPr>
        <w:spacing w:after="0" w:line="240" w:lineRule="auto"/>
        <w:jc w:val="both"/>
      </w:pPr>
      <w:r>
        <w:rPr>
          <w:rFonts w:ascii="Times New Roman" w:hAnsi="Times New Roman" w:cs="Times New Roman"/>
          <w:sz w:val="28"/>
        </w:rPr>
        <w:t xml:space="preserve">Дезинформацията е ключов инструмент в арсенала на онлайн манипулацията. Световният икономически ефект на дезинформацията е оценен на 417 милиарда долара за 2024 г. [6]. Проучване от 2023 г. установява, че 85% от хората по света се притесняват от въздействието на дезинформацията върху съгражданите им, а 87% смятат, че тя вече е засегнала политическия живот в тяхната страна [7]. Евробарометърът за 2024 г. установява, че 45% от респондентите посочват фалшивите новини </w:t>
      </w:r>
      <w:r>
        <w:rPr>
          <w:rFonts w:ascii="Times New Roman" w:hAnsi="Times New Roman" w:cs="Times New Roman"/>
          <w:sz w:val="28"/>
        </w:rPr>
        <w:lastRenderedPageBreak/>
        <w:t>като едни от най-значимите проблеми с лично въздействие [7]. Делът на хората, тревожещи се за разграничаването на истинска от фалшива информация онлайн, нараства от 56% на 59% [8].</w:t>
      </w:r>
    </w:p>
    <w:p w14:paraId="5862DE03" w14:textId="77777777" w:rsidR="00813EEE" w:rsidRDefault="00000000">
      <w:pPr>
        <w:spacing w:after="0" w:line="240" w:lineRule="auto"/>
        <w:jc w:val="both"/>
      </w:pPr>
      <w:r>
        <w:rPr>
          <w:rFonts w:ascii="Times New Roman" w:hAnsi="Times New Roman" w:cs="Times New Roman"/>
          <w:sz w:val="28"/>
        </w:rPr>
        <w:t>Стратегическото разпространение на невярна информация обслужва конкретни цели: демонизация на определени групи — изграждане на образа на „враг“; легитимизиране на екстремистки идеологии; подкопаване на доверието в институциите; поляризация на обществото.</w:t>
      </w:r>
    </w:p>
    <w:p w14:paraId="63EBF002" w14:textId="77777777" w:rsidR="00813EEE" w:rsidRDefault="00000000">
      <w:pPr>
        <w:spacing w:after="0" w:line="240" w:lineRule="auto"/>
        <w:jc w:val="both"/>
      </w:pPr>
      <w:r>
        <w:rPr>
          <w:rFonts w:ascii="Times New Roman" w:hAnsi="Times New Roman" w:cs="Times New Roman"/>
          <w:b/>
          <w:sz w:val="28"/>
        </w:rPr>
        <w:t>Целенасочено таргетиране и многоплатформени стратегии</w:t>
      </w:r>
    </w:p>
    <w:p w14:paraId="6D6356A3" w14:textId="77777777" w:rsidR="00813EEE" w:rsidRDefault="00000000">
      <w:pPr>
        <w:spacing w:after="0" w:line="240" w:lineRule="auto"/>
        <w:jc w:val="both"/>
      </w:pPr>
      <w:r>
        <w:rPr>
          <w:rFonts w:ascii="Times New Roman" w:hAnsi="Times New Roman" w:cs="Times New Roman"/>
          <w:sz w:val="28"/>
        </w:rPr>
        <w:t>Модерните дигитални платформи предоставят безпрецедентни инструменти за персонализирано таргетиране на уязвими лица. Съвременните екстремистки групи изграждат многоплатформени екосистеми — масовите платформи служат за начален контакт, последван от пренасочване към по-затворени пространства (Telegram, Discord, специализирани форуми). Докладът на RSIS за 2024 г. описва „взаимозависими стратегии“ на джихадистки и крайнодесни движения, при които мрежите проявяват висока устойчивост въпреки мерките за модерация [9].</w:t>
      </w:r>
    </w:p>
    <w:p w14:paraId="16FFAA39" w14:textId="77777777" w:rsidR="00813EEE" w:rsidRDefault="00000000">
      <w:pPr>
        <w:spacing w:after="0" w:line="240" w:lineRule="auto"/>
        <w:jc w:val="both"/>
      </w:pPr>
      <w:r>
        <w:rPr>
          <w:rFonts w:ascii="Times New Roman" w:hAnsi="Times New Roman" w:cs="Times New Roman"/>
          <w:b/>
          <w:sz w:val="28"/>
        </w:rPr>
        <w:t>ПСИХОЛОГИЧЕСКИ И СОЦИАЛНИ АСПЕКТИ НА РАДИКАЛИЗАЦИЯТА</w:t>
      </w:r>
    </w:p>
    <w:p w14:paraId="6931FBAF" w14:textId="77777777" w:rsidR="00813EEE" w:rsidRDefault="00000000">
      <w:pPr>
        <w:spacing w:after="0" w:line="240" w:lineRule="auto"/>
        <w:jc w:val="both"/>
      </w:pPr>
      <w:r>
        <w:rPr>
          <w:rFonts w:ascii="Times New Roman" w:hAnsi="Times New Roman" w:cs="Times New Roman"/>
          <w:b/>
          <w:sz w:val="28"/>
        </w:rPr>
        <w:t>Уязвимост и кризисни моменти</w:t>
      </w:r>
    </w:p>
    <w:p w14:paraId="3D916482" w14:textId="77777777" w:rsidR="00813EEE" w:rsidRDefault="00000000">
      <w:pPr>
        <w:spacing w:after="0" w:line="240" w:lineRule="auto"/>
        <w:jc w:val="both"/>
      </w:pPr>
      <w:r>
        <w:rPr>
          <w:rFonts w:ascii="Times New Roman" w:hAnsi="Times New Roman" w:cs="Times New Roman"/>
          <w:sz w:val="28"/>
        </w:rPr>
        <w:t>Радикализацията рядко се случва внезапно. Тя обикновено се ражда в моменти на лична или социална криза: загуба на работа, идентификационни търсения в юношеска възраст, опит от дискриминация, социална изолация или чувство за несправедливост. Онлайн екстремистките общности умело се позиционират като „отговор“ на тези нужди, предлагайки ясна идентичност, чувство за мисия и разграничение между „наши“ и „чужди“.</w:t>
      </w:r>
    </w:p>
    <w:p w14:paraId="0DC99357" w14:textId="77777777" w:rsidR="00813EEE" w:rsidRDefault="00000000">
      <w:pPr>
        <w:spacing w:after="0" w:line="240" w:lineRule="auto"/>
        <w:jc w:val="both"/>
      </w:pPr>
      <w:r>
        <w:rPr>
          <w:rFonts w:ascii="Times New Roman" w:hAnsi="Times New Roman" w:cs="Times New Roman"/>
          <w:b/>
          <w:sz w:val="28"/>
        </w:rPr>
        <w:t>Онлайн групите като сурогатни общности</w:t>
      </w:r>
    </w:p>
    <w:p w14:paraId="0926285B" w14:textId="77777777" w:rsidR="00813EEE" w:rsidRDefault="00000000">
      <w:pPr>
        <w:spacing w:after="0" w:line="240" w:lineRule="auto"/>
        <w:jc w:val="both"/>
      </w:pPr>
      <w:r>
        <w:rPr>
          <w:rFonts w:ascii="Times New Roman" w:hAnsi="Times New Roman" w:cs="Times New Roman"/>
          <w:sz w:val="28"/>
        </w:rPr>
        <w:t>Интернет позволява на изолирани индивиди да намерят хора с подобни нагласи независимо от географска близост. Онлайн групите предлагат привидно сигурно пространство за споделяне на табуирани убеждения и изграждане на идентичност, базирана на споделена идеология. Изследванията на Университета на Бат (2024) установяват, че „инфлуенсъри“ играят ключова роля като „мостове“ между умерени и крайни общности, насочвайки уязвими лица към по-крайни пространства.</w:t>
      </w:r>
    </w:p>
    <w:p w14:paraId="17E6E3EF" w14:textId="77777777" w:rsidR="00813EEE" w:rsidRDefault="00000000">
      <w:pPr>
        <w:spacing w:after="0" w:line="240" w:lineRule="auto"/>
        <w:jc w:val="both"/>
      </w:pPr>
      <w:r>
        <w:rPr>
          <w:rFonts w:ascii="Times New Roman" w:hAnsi="Times New Roman" w:cs="Times New Roman"/>
          <w:b/>
          <w:sz w:val="28"/>
        </w:rPr>
        <w:t>Младежта като особено уязвима група</w:t>
      </w:r>
    </w:p>
    <w:p w14:paraId="0FC2F622" w14:textId="77777777" w:rsidR="00813EEE" w:rsidRDefault="00000000">
      <w:pPr>
        <w:spacing w:after="0" w:line="240" w:lineRule="auto"/>
        <w:jc w:val="both"/>
      </w:pPr>
      <w:r>
        <w:rPr>
          <w:rFonts w:ascii="Times New Roman" w:hAnsi="Times New Roman" w:cs="Times New Roman"/>
          <w:sz w:val="28"/>
        </w:rPr>
        <w:t>Нарастваща тенденция е радикализацията на млади хора. Радикализацията, която преди е отнемала години, сега може да се случи за седмици или дни поради алгоритмичното усилване и постоянния достъп до съдържание чрез смартфони. Геймърски платформи и социални игри се превръщат в нова арена за вербуване. Австралийски данни показват, че до 60% от екстремистките нарушители са радикализирани предимно онлайн или са имали значително онлайн влияние в процеса на радикализацията си [10].</w:t>
      </w:r>
    </w:p>
    <w:p w14:paraId="45693391" w14:textId="77777777" w:rsidR="00813EEE" w:rsidRDefault="00000000">
      <w:pPr>
        <w:spacing w:after="0" w:line="240" w:lineRule="auto"/>
        <w:jc w:val="both"/>
      </w:pPr>
      <w:r>
        <w:rPr>
          <w:rFonts w:ascii="Times New Roman" w:hAnsi="Times New Roman" w:cs="Times New Roman"/>
          <w:b/>
          <w:sz w:val="28"/>
        </w:rPr>
        <w:t>ОРГАНИЗАЦИЯ И МРЕЖИ</w:t>
      </w:r>
    </w:p>
    <w:p w14:paraId="6FEC2ADF" w14:textId="77777777" w:rsidR="00813EEE" w:rsidRDefault="00000000">
      <w:pPr>
        <w:spacing w:after="0" w:line="240" w:lineRule="auto"/>
        <w:jc w:val="both"/>
      </w:pPr>
      <w:r>
        <w:rPr>
          <w:rFonts w:ascii="Times New Roman" w:hAnsi="Times New Roman" w:cs="Times New Roman"/>
          <w:b/>
          <w:sz w:val="28"/>
        </w:rPr>
        <w:t>Структура на онлайн екстремистките мрежи</w:t>
      </w:r>
    </w:p>
    <w:p w14:paraId="5235AE1D" w14:textId="77777777" w:rsidR="00813EEE" w:rsidRDefault="00000000">
      <w:pPr>
        <w:spacing w:after="0" w:line="240" w:lineRule="auto"/>
        <w:jc w:val="both"/>
      </w:pPr>
      <w:r>
        <w:rPr>
          <w:rFonts w:ascii="Times New Roman" w:hAnsi="Times New Roman" w:cs="Times New Roman"/>
          <w:sz w:val="28"/>
        </w:rPr>
        <w:lastRenderedPageBreak/>
        <w:t>Съвременните екстремистки групи изграждат сложни, многослойни онлайн мрежи. Типичната структура включва: публично ниво — присъствие в масови социални медии с привидно умерено съдържание; полузатворено ниво — групи в платформи с по-слаба модерация (Telegram, Rumble, специализирани форуми); затворено ниво — криптирани комуникации в малки, проверени групи за оперативна координация. Тази структура осигурява едновременно широко достигане за вербуване и оперативна сигурност.</w:t>
      </w:r>
    </w:p>
    <w:p w14:paraId="7065672C" w14:textId="77777777" w:rsidR="00813EEE" w:rsidRDefault="00000000">
      <w:pPr>
        <w:spacing w:after="0" w:line="240" w:lineRule="auto"/>
        <w:jc w:val="both"/>
      </w:pPr>
      <w:r>
        <w:rPr>
          <w:rFonts w:ascii="Times New Roman" w:hAnsi="Times New Roman" w:cs="Times New Roman"/>
          <w:b/>
          <w:sz w:val="28"/>
        </w:rPr>
        <w:t>Глобализация и взаимосвързаност</w:t>
      </w:r>
    </w:p>
    <w:p w14:paraId="7D33FE9D" w14:textId="77777777" w:rsidR="00813EEE" w:rsidRDefault="00000000">
      <w:pPr>
        <w:spacing w:after="0" w:line="240" w:lineRule="auto"/>
        <w:jc w:val="both"/>
      </w:pPr>
      <w:r>
        <w:rPr>
          <w:rFonts w:ascii="Times New Roman" w:hAnsi="Times New Roman" w:cs="Times New Roman"/>
          <w:sz w:val="28"/>
        </w:rPr>
        <w:t>Криптираните платформи (Signal, Telegram, Session и др.) затрудняват значително проследяването от страна на правоприлагащите органи. Докладът на ISD (2025) установява, че нихилистичните общности са отговорни за две трети от всички смъртни случаи в атаки, документирани в САЩ за 2024 г. [11]. Онлайн мрежите прекрачват националните граници, създавайки транснационални идеологически общности, в които локалните клетки обменят тактики, споделят пропагандни материали и координират акции.</w:t>
      </w:r>
    </w:p>
    <w:p w14:paraId="4EBBC1FF" w14:textId="77777777" w:rsidR="00813EEE" w:rsidRDefault="00000000">
      <w:pPr>
        <w:spacing w:after="0" w:line="240" w:lineRule="auto"/>
        <w:jc w:val="both"/>
      </w:pPr>
      <w:r>
        <w:rPr>
          <w:rFonts w:ascii="Times New Roman" w:hAnsi="Times New Roman" w:cs="Times New Roman"/>
          <w:b/>
          <w:sz w:val="28"/>
        </w:rPr>
        <w:t>ПРЕВАНТИВНИ МЕРКИ И РЕГУЛАТОРНИ ПРЕДИЗВИКАТЕЛСТВА</w:t>
      </w:r>
    </w:p>
    <w:p w14:paraId="140E424F" w14:textId="77777777" w:rsidR="00813EEE" w:rsidRDefault="00000000">
      <w:pPr>
        <w:spacing w:after="0" w:line="240" w:lineRule="auto"/>
        <w:jc w:val="both"/>
      </w:pPr>
      <w:r>
        <w:rPr>
          <w:rFonts w:ascii="Times New Roman" w:hAnsi="Times New Roman" w:cs="Times New Roman"/>
          <w:b/>
          <w:sz w:val="28"/>
        </w:rPr>
        <w:t>Регулаторни рамки</w:t>
      </w:r>
    </w:p>
    <w:p w14:paraId="02128F0B" w14:textId="77777777" w:rsidR="00813EEE" w:rsidRDefault="00000000">
      <w:pPr>
        <w:spacing w:after="0" w:line="240" w:lineRule="auto"/>
        <w:jc w:val="both"/>
      </w:pPr>
      <w:r>
        <w:rPr>
          <w:rFonts w:ascii="Times New Roman" w:hAnsi="Times New Roman" w:cs="Times New Roman"/>
          <w:sz w:val="28"/>
        </w:rPr>
        <w:t>Европейският съюз прие Закона за цифровите услуги (DSA, 2022) и Регламента за терористично съдържание (TERREG, 2021), задължаващи платформите да премахват незаконно съдържание и въвеждащи задължения за прозрачност. Великобритания прие Закона за онлайн безопасност (Online Safety Act, 2023). В САЩ конституционните ограничения (Първа поправка) затрудняват правителственото регулиране на съдържанието — Върховният съд (2024) потвърди, че то е проблематично от гледна точка на свободата на словото.</w:t>
      </w:r>
    </w:p>
    <w:p w14:paraId="1D065145" w14:textId="77777777" w:rsidR="00813EEE" w:rsidRDefault="00000000">
      <w:pPr>
        <w:spacing w:after="0" w:line="240" w:lineRule="auto"/>
        <w:jc w:val="both"/>
      </w:pPr>
      <w:r>
        <w:rPr>
          <w:rFonts w:ascii="Times New Roman" w:hAnsi="Times New Roman" w:cs="Times New Roman"/>
          <w:b/>
          <w:sz w:val="28"/>
        </w:rPr>
        <w:t>Действия на технологичните компании и НПО</w:t>
      </w:r>
    </w:p>
    <w:p w14:paraId="1668875B" w14:textId="77777777" w:rsidR="00813EEE" w:rsidRDefault="00000000">
      <w:pPr>
        <w:spacing w:after="0" w:line="240" w:lineRule="auto"/>
        <w:jc w:val="both"/>
      </w:pPr>
      <w:r>
        <w:rPr>
          <w:rFonts w:ascii="Times New Roman" w:hAnsi="Times New Roman" w:cs="Times New Roman"/>
          <w:sz w:val="28"/>
        </w:rPr>
        <w:t>Технологичните компании разширяват инструментите за „доверие и безопасност“ (trust and safety): разработване на правила за съдържание; автоматизирано идентифициране и премахване на нарушаващо съдържание; ограничаване на препоръките за крайно съдържание. OECD установява, че 17 платформи са публикували доклади за прозрачност за терористично и екстремистко съдържание за 2023 г. [12]. НПО-та като ISD, GIFCT и Tech Against Terrorism играят ключова роля в мониторинга и изграждането на медийна грамотност.</w:t>
      </w:r>
    </w:p>
    <w:p w14:paraId="431D7CE2" w14:textId="77777777" w:rsidR="00813EEE" w:rsidRDefault="00000000">
      <w:pPr>
        <w:spacing w:after="0" w:line="240" w:lineRule="auto"/>
        <w:jc w:val="both"/>
      </w:pPr>
      <w:r>
        <w:rPr>
          <w:rFonts w:ascii="Times New Roman" w:hAnsi="Times New Roman" w:cs="Times New Roman"/>
          <w:b/>
          <w:sz w:val="28"/>
        </w:rPr>
        <w:t>Балансът между сигурност и свобода на изразяване</w:t>
      </w:r>
    </w:p>
    <w:p w14:paraId="5D4CC73C" w14:textId="77777777" w:rsidR="00813EEE" w:rsidRDefault="00000000">
      <w:pPr>
        <w:spacing w:after="0" w:line="240" w:lineRule="auto"/>
        <w:jc w:val="both"/>
      </w:pPr>
      <w:r>
        <w:rPr>
          <w:rFonts w:ascii="Times New Roman" w:hAnsi="Times New Roman" w:cs="Times New Roman"/>
          <w:sz w:val="28"/>
        </w:rPr>
        <w:t>Основното предизвикателство пред регулацията е балансът между обществената сигурност и свободата на изразяване. Твърде широко дефинираните забрани рискуват да засегнат законна политическа реч, журналистика и академично изследване. Изследователи препоръчват ключови принципи: съдебен контрол, прозрачност, уведомяване на потребителите, тясно таргетиране и право на обжалване [13].</w:t>
      </w:r>
    </w:p>
    <w:p w14:paraId="65844088" w14:textId="77777777" w:rsidR="00813EEE" w:rsidRDefault="00000000">
      <w:pPr>
        <w:spacing w:after="0" w:line="240" w:lineRule="auto"/>
        <w:jc w:val="both"/>
      </w:pPr>
      <w:r>
        <w:rPr>
          <w:rFonts w:ascii="Times New Roman" w:hAnsi="Times New Roman" w:cs="Times New Roman"/>
          <w:b/>
          <w:sz w:val="28"/>
        </w:rPr>
        <w:t>КАЗУСИ</w:t>
      </w:r>
    </w:p>
    <w:p w14:paraId="1DAC854A" w14:textId="77777777" w:rsidR="00813EEE" w:rsidRDefault="00000000">
      <w:pPr>
        <w:spacing w:after="0" w:line="240" w:lineRule="auto"/>
        <w:jc w:val="both"/>
      </w:pPr>
      <w:r>
        <w:rPr>
          <w:rFonts w:ascii="Times New Roman" w:hAnsi="Times New Roman" w:cs="Times New Roman"/>
          <w:b/>
          <w:sz w:val="28"/>
        </w:rPr>
        <w:t>Алгоритмичен тунел на TikTok</w:t>
      </w:r>
    </w:p>
    <w:p w14:paraId="7E82203A" w14:textId="77777777" w:rsidR="00813EEE" w:rsidRDefault="00000000">
      <w:pPr>
        <w:spacing w:after="0" w:line="240" w:lineRule="auto"/>
        <w:jc w:val="both"/>
      </w:pPr>
      <w:r>
        <w:rPr>
          <w:rFonts w:ascii="Times New Roman" w:hAnsi="Times New Roman" w:cs="Times New Roman"/>
          <w:sz w:val="28"/>
        </w:rPr>
        <w:lastRenderedPageBreak/>
        <w:t>Одит на алгоритъма на TikTok (2024) проследи как платформата постепенно насочва нови потребители към екстремистко съдържание, като всяка следваща препоръка е по-крайна от предходната [15]. Процесът е особено тревожен при младите потребители, при които обработката на идентичност прави алгоритмичния тунел особено ефективен.</w:t>
      </w:r>
    </w:p>
    <w:p w14:paraId="611B41B0" w14:textId="77777777" w:rsidR="00813EEE" w:rsidRDefault="00000000">
      <w:pPr>
        <w:spacing w:after="0" w:line="240" w:lineRule="auto"/>
        <w:jc w:val="both"/>
      </w:pPr>
      <w:r>
        <w:rPr>
          <w:rFonts w:ascii="Times New Roman" w:hAnsi="Times New Roman" w:cs="Times New Roman"/>
          <w:b/>
          <w:sz w:val="28"/>
        </w:rPr>
        <w:t>Британската програма Prevent</w:t>
      </w:r>
    </w:p>
    <w:p w14:paraId="6DB3D713" w14:textId="77777777" w:rsidR="00813EEE" w:rsidRDefault="00000000">
      <w:pPr>
        <w:spacing w:after="0" w:line="240" w:lineRule="auto"/>
        <w:jc w:val="both"/>
      </w:pPr>
      <w:r>
        <w:rPr>
          <w:rFonts w:ascii="Times New Roman" w:hAnsi="Times New Roman" w:cs="Times New Roman"/>
          <w:sz w:val="28"/>
        </w:rPr>
        <w:t>Великобритания регистрира рекорден брой препращания към антирадикализационната програма Prevent (2026 г.), с 42% ръст на крайнодесните случаи. Данните отразяват нарастващото влияние на онлайн средата върху радикализацията, особено след отслабване на съдържателната модерация в някои платформи.</w:t>
      </w:r>
    </w:p>
    <w:p w14:paraId="274EE173" w14:textId="77777777" w:rsidR="00813EEE" w:rsidRDefault="00000000">
      <w:pPr>
        <w:spacing w:after="0" w:line="240" w:lineRule="auto"/>
        <w:jc w:val="both"/>
      </w:pPr>
      <w:r>
        <w:rPr>
          <w:rFonts w:ascii="Times New Roman" w:hAnsi="Times New Roman" w:cs="Times New Roman"/>
          <w:b/>
          <w:sz w:val="28"/>
        </w:rPr>
        <w:t>Джихадистко съдържание — еволюция на стратегиите</w:t>
      </w:r>
    </w:p>
    <w:p w14:paraId="182BC1AF" w14:textId="77777777" w:rsidR="00813EEE" w:rsidRDefault="00000000">
      <w:pPr>
        <w:spacing w:after="0" w:line="240" w:lineRule="auto"/>
        <w:jc w:val="both"/>
      </w:pPr>
      <w:r>
        <w:rPr>
          <w:rFonts w:ascii="Times New Roman" w:hAnsi="Times New Roman" w:cs="Times New Roman"/>
          <w:sz w:val="28"/>
        </w:rPr>
        <w:t>Докладът на Европол за 2023 г. установява намаляване на джихадистката пропаганда в традиционните канали, но адаптация към нови платформи и стратегии — фрагментирани мрежи, по-малки клетки и по-голяма зависимост от криптирана комуникация, което затруднява правоприлагането [14].</w:t>
      </w:r>
    </w:p>
    <w:p w14:paraId="61B2264C" w14:textId="77777777" w:rsidR="00813EEE" w:rsidRDefault="00000000">
      <w:pPr>
        <w:spacing w:after="0" w:line="240" w:lineRule="auto"/>
        <w:jc w:val="both"/>
      </w:pPr>
      <w:r>
        <w:rPr>
          <w:rFonts w:ascii="Times New Roman" w:hAnsi="Times New Roman" w:cs="Times New Roman"/>
          <w:b/>
          <w:sz w:val="28"/>
        </w:rPr>
        <w:t>ЗАКЛЮЧЕНИЕ</w:t>
      </w:r>
    </w:p>
    <w:p w14:paraId="0A7415A4" w14:textId="77777777" w:rsidR="00813EEE" w:rsidRDefault="00000000">
      <w:pPr>
        <w:spacing w:after="0" w:line="240" w:lineRule="auto"/>
        <w:jc w:val="both"/>
      </w:pPr>
      <w:r>
        <w:rPr>
          <w:rFonts w:ascii="Times New Roman" w:hAnsi="Times New Roman" w:cs="Times New Roman"/>
          <w:sz w:val="28"/>
        </w:rPr>
        <w:t>Радикализацията в дигиталната епоха е многопластов феномен, в основата на чието разбиране стоят три ключови взаимодействия: технологични (алгоритмично усилване, платформена архитектура, AI), психологически (индивидуална уязвимост, търсене на идентичност и принадлежност) и социални (поляризация, дезинформация, изолация).</w:t>
      </w:r>
    </w:p>
    <w:p w14:paraId="226EFADD" w14:textId="77777777" w:rsidR="00813EEE" w:rsidRDefault="00000000">
      <w:pPr>
        <w:spacing w:after="0" w:line="240" w:lineRule="auto"/>
        <w:jc w:val="both"/>
      </w:pPr>
      <w:r>
        <w:rPr>
          <w:rFonts w:ascii="Times New Roman" w:hAnsi="Times New Roman" w:cs="Times New Roman"/>
          <w:sz w:val="28"/>
        </w:rPr>
        <w:t>Онлайн пространството не „създава“ екстремисти от нищото — то ускорява, усилва и мащабира процеси, чиито корени лежат в реалния свят. Ефективното противодействие изисква: технологична отговорност на платформите; балансирани регулаторни рамки; системно образование за медийна грамотност; интердисциплинарно сътрудничество; и адресиране на социалните фактори, предразполагащи към радикализация.</w:t>
      </w:r>
    </w:p>
    <w:p w14:paraId="169AB24D" w14:textId="77777777" w:rsidR="00813EEE" w:rsidRDefault="00813EEE">
      <w:pPr>
        <w:spacing w:after="0" w:line="240" w:lineRule="auto"/>
        <w:jc w:val="both"/>
      </w:pPr>
    </w:p>
    <w:p w14:paraId="47B6E86C" w14:textId="77777777" w:rsidR="00813EEE" w:rsidRDefault="00000000">
      <w:pPr>
        <w:spacing w:after="0" w:line="240" w:lineRule="auto"/>
        <w:jc w:val="both"/>
      </w:pPr>
      <w:r>
        <w:rPr>
          <w:rFonts w:ascii="Times New Roman" w:hAnsi="Times New Roman" w:cs="Times New Roman"/>
          <w:b/>
          <w:sz w:val="28"/>
        </w:rPr>
        <w:t>Благодарности и финансиране</w:t>
      </w:r>
    </w:p>
    <w:p w14:paraId="4EFF56C4" w14:textId="77777777" w:rsidR="00813EEE" w:rsidRDefault="00000000">
      <w:pPr>
        <w:spacing w:after="0" w:line="240" w:lineRule="auto"/>
        <w:jc w:val="both"/>
      </w:pPr>
      <w:r>
        <w:rPr>
          <w:rFonts w:ascii="Times New Roman" w:hAnsi="Times New Roman" w:cs="Times New Roman"/>
          <w:sz w:val="28"/>
        </w:rPr>
        <w:t>Докладът е разработен в рамките на академичната дейност на автора.</w:t>
      </w:r>
    </w:p>
    <w:p w14:paraId="34B08DBF" w14:textId="77777777" w:rsidR="00813EEE" w:rsidRDefault="00813EEE">
      <w:pPr>
        <w:spacing w:after="0" w:line="240" w:lineRule="auto"/>
        <w:jc w:val="both"/>
      </w:pPr>
    </w:p>
    <w:p w14:paraId="743AAB7B" w14:textId="77777777" w:rsidR="00813EEE" w:rsidRDefault="00000000">
      <w:pPr>
        <w:spacing w:after="0" w:line="240" w:lineRule="auto"/>
        <w:jc w:val="both"/>
      </w:pPr>
      <w:r>
        <w:rPr>
          <w:rFonts w:ascii="Times New Roman" w:hAnsi="Times New Roman" w:cs="Times New Roman"/>
          <w:b/>
          <w:sz w:val="28"/>
        </w:rPr>
        <w:t>БЕЛЕЖКИ:</w:t>
      </w:r>
    </w:p>
    <w:p w14:paraId="09D17863" w14:textId="77777777" w:rsidR="00813EEE" w:rsidRDefault="00000000">
      <w:pPr>
        <w:spacing w:after="0" w:line="240" w:lineRule="auto"/>
        <w:jc w:val="both"/>
      </w:pPr>
      <w:r>
        <w:rPr>
          <w:rFonts w:ascii="Times New Roman" w:hAnsi="Times New Roman" w:cs="Times New Roman"/>
          <w:sz w:val="28"/>
        </w:rPr>
        <w:t>[1] GEORGE WASHINGTON UNIVERSITY. Program on Extremism. The Third Generation of Online Radicalization. Online. Washington D.C.: GWU, June 2023. Available from: https://extremism.gwu.edu/sites/g/files/zaxdzs5746/files/2023-06/third-generation-final.pdf. [viewed 2026-08-12].</w:t>
      </w:r>
    </w:p>
    <w:p w14:paraId="44041441" w14:textId="77777777" w:rsidR="00813EEE" w:rsidRDefault="00000000">
      <w:pPr>
        <w:spacing w:after="0" w:line="240" w:lineRule="auto"/>
        <w:jc w:val="both"/>
      </w:pPr>
      <w:r>
        <w:rPr>
          <w:rFonts w:ascii="Times New Roman" w:hAnsi="Times New Roman" w:cs="Times New Roman"/>
          <w:sz w:val="28"/>
        </w:rPr>
        <w:t>[2] SHIN, Donghee and JITKAJORNWANICH, Kulsawasd. How Algorithms Promote Self-Radicalization: Audit of TikTok's Algorithm Using a Reverse Engineering Method. Online. Social Science Computer Review. SAGE Publications. vol. 42, (2024). Available from: https://doi.org/10.1177/08944393231225547. [viewed 2026-08-12].</w:t>
      </w:r>
    </w:p>
    <w:p w14:paraId="6B89D47B" w14:textId="77777777" w:rsidR="00813EEE" w:rsidRDefault="00000000">
      <w:pPr>
        <w:spacing w:after="0" w:line="240" w:lineRule="auto"/>
        <w:jc w:val="both"/>
      </w:pPr>
      <w:r>
        <w:rPr>
          <w:rFonts w:ascii="Times New Roman" w:hAnsi="Times New Roman" w:cs="Times New Roman"/>
          <w:sz w:val="28"/>
        </w:rPr>
        <w:t xml:space="preserve">[3] UCL NEWS. Social media algorithms amplify misogynistic content to teens. Online. London: University College London, 2024-02-05. Available from: </w:t>
      </w:r>
      <w:r>
        <w:rPr>
          <w:rFonts w:ascii="Times New Roman" w:hAnsi="Times New Roman" w:cs="Times New Roman"/>
          <w:sz w:val="28"/>
        </w:rPr>
        <w:lastRenderedPageBreak/>
        <w:t>https://www.ucl.ac.uk/news/2024/feb/social-media-algorithms-amplify-misogynistic-content-teens. [viewed 2026-08-12].</w:t>
      </w:r>
    </w:p>
    <w:p w14:paraId="21A96ED8" w14:textId="77777777" w:rsidR="00813EEE" w:rsidRDefault="00000000">
      <w:pPr>
        <w:spacing w:after="0" w:line="240" w:lineRule="auto"/>
        <w:jc w:val="both"/>
      </w:pPr>
      <w:r>
        <w:rPr>
          <w:rFonts w:ascii="Times New Roman" w:hAnsi="Times New Roman" w:cs="Times New Roman"/>
          <w:sz w:val="28"/>
        </w:rPr>
        <w:t>[4] NATIONAL INSTITUTE OF JUSTICE. The Role of the Internet and Social Media on Radicalization: What Research Sponsored by the National Institute of Justice Tells Us. Online. Washington D.C.: U.S. Department of Justice, April 2024. Available from: https://www.ojp.gov/library/publications/role-internet-and-social-media-radicalization-what-research-sponsored-national. [viewed 2026-08-12].</w:t>
      </w:r>
    </w:p>
    <w:p w14:paraId="7C0E0731" w14:textId="77777777" w:rsidR="00813EEE" w:rsidRDefault="00000000">
      <w:pPr>
        <w:spacing w:after="0" w:line="240" w:lineRule="auto"/>
        <w:jc w:val="both"/>
      </w:pPr>
      <w:r>
        <w:rPr>
          <w:rFonts w:ascii="Times New Roman" w:hAnsi="Times New Roman" w:cs="Times New Roman"/>
          <w:sz w:val="28"/>
        </w:rPr>
        <w:t>[5] FRONTIERS IN POLITICAL SCIENCE. The role of artificial intelligence in radicalisation, recruitment and terrorist propaganda: deconstructing violent extremism and reimagining counterterrorism in contemporary digital ecosystems. Online. Frontiers Media S.A., 2025. Available from: https://www.frontiersin.org/journals/political-science/articles/10.3389/fpos.2025.1718396/full. [viewed 2026-08-12].</w:t>
      </w:r>
    </w:p>
    <w:p w14:paraId="4136E1E1" w14:textId="77777777" w:rsidR="00813EEE" w:rsidRDefault="00000000">
      <w:pPr>
        <w:spacing w:after="0" w:line="240" w:lineRule="auto"/>
        <w:jc w:val="both"/>
      </w:pPr>
      <w:r>
        <w:rPr>
          <w:rFonts w:ascii="Times New Roman" w:hAnsi="Times New Roman" w:cs="Times New Roman"/>
          <w:sz w:val="28"/>
        </w:rPr>
        <w:t>[6] SOPRA STERIA. Disinformation's global economic impact estimated at $417 billion in 2024. Online. Sopra Steria Group, 2026. Available from: https://www.soprasteria.com/newsroom/press-releases/details/disinformation-s-global-economic-impact-estimated-at-417-billion-in-sopra-steria-study. [viewed 2026-08-12].</w:t>
      </w:r>
    </w:p>
    <w:p w14:paraId="718450F9" w14:textId="77777777" w:rsidR="00813EEE" w:rsidRDefault="00000000">
      <w:pPr>
        <w:spacing w:after="0" w:line="240" w:lineRule="auto"/>
        <w:jc w:val="both"/>
      </w:pPr>
      <w:r>
        <w:rPr>
          <w:rFonts w:ascii="Times New Roman" w:hAnsi="Times New Roman" w:cs="Times New Roman"/>
          <w:sz w:val="28"/>
        </w:rPr>
        <w:t>[7] EUROPEAN PARLIAMENT RESEARCH SERVICE. Online information manipulation and information integrity. PDF. Brussels: European Parliament, 2024. Available from: https://www.europarl.europa.eu/RegData/etudes/BRIE/2024/762416/EPRS_BRI(2024)762416_EN.pdf. [viewed 2026-08-12].</w:t>
      </w:r>
    </w:p>
    <w:p w14:paraId="7C23514C" w14:textId="77777777" w:rsidR="00813EEE" w:rsidRDefault="00000000">
      <w:pPr>
        <w:spacing w:after="0" w:line="240" w:lineRule="auto"/>
        <w:jc w:val="both"/>
      </w:pPr>
      <w:r>
        <w:rPr>
          <w:rFonts w:ascii="Times New Roman" w:hAnsi="Times New Roman" w:cs="Times New Roman"/>
          <w:sz w:val="28"/>
        </w:rPr>
        <w:t>[8] REUTERS INSTITUTE FOR THE STUDY OF JOURNALISM. Overview and key findings of the 2024 Digital News Report. Online. Oxford: University of Oxford, June 2024. Available from: https://reutersinstitute.politics.ox.ac.uk/digital-news-report/2024/dnr-executive-summary. [viewed 2026-08-12].</w:t>
      </w:r>
    </w:p>
    <w:p w14:paraId="71F2BF93" w14:textId="77777777" w:rsidR="00813EEE" w:rsidRDefault="00000000">
      <w:pPr>
        <w:spacing w:after="0" w:line="240" w:lineRule="auto"/>
        <w:jc w:val="both"/>
      </w:pPr>
      <w:r>
        <w:rPr>
          <w:rFonts w:ascii="Times New Roman" w:hAnsi="Times New Roman" w:cs="Times New Roman"/>
          <w:sz w:val="28"/>
        </w:rPr>
        <w:t>[9] RSIS. Key Trends in Digital Extremism 2024: The Resilience and Expansion of Jihadist and Far-Right Movements. Online. Singapore: S. Rajaratnam School of International Studies, 2024-11-26. Available from: https://rsis.edu.sg/ctta-newsarticle/key-trends-in-digital-extremism-2024-the-resilience-and-expansion-of-jihadist-and-far-right-movements/. [viewed 2026-08-12].</w:t>
      </w:r>
    </w:p>
    <w:p w14:paraId="08AC6B0F" w14:textId="77777777" w:rsidR="00813EEE" w:rsidRDefault="00000000">
      <w:pPr>
        <w:spacing w:after="0" w:line="240" w:lineRule="auto"/>
        <w:jc w:val="both"/>
      </w:pPr>
      <w:r>
        <w:rPr>
          <w:rFonts w:ascii="Times New Roman" w:hAnsi="Times New Roman" w:cs="Times New Roman"/>
          <w:sz w:val="28"/>
        </w:rPr>
        <w:t>[10] AUSTRALIAN PARLIAMENT. Senate Standing Committees on Legal and Constitutional Affairs. Chapter 5 — Extremism and the online environment. Online. Canberra: Parliament of Australia, December 2024. Available from: https://www.aph.gov.au/Parliamentary_Business/Committees/Senate/Legal_and_Constitutional_Affairs/RWExtremists23/Report/Chapter_5_-_Extremism_and_the_online_environment. [viewed 2026-08-12].</w:t>
      </w:r>
    </w:p>
    <w:p w14:paraId="5993CD47" w14:textId="77777777" w:rsidR="00813EEE" w:rsidRDefault="00000000">
      <w:pPr>
        <w:spacing w:after="0" w:line="240" w:lineRule="auto"/>
        <w:jc w:val="both"/>
      </w:pPr>
      <w:r>
        <w:rPr>
          <w:rFonts w:ascii="Times New Roman" w:hAnsi="Times New Roman" w:cs="Times New Roman"/>
          <w:sz w:val="28"/>
        </w:rPr>
        <w:t>[11] ISD GLOBAL. Online Radicalization and the Nexus to Violence in the US: 2024 Year in Review. Online. London: Institute for Strategic Dialogue, 2025. Available from: https://www.isdglobal.org/digital_dispatches/online-radicalization-and-the-nexus-to-violence-in-the-us-2024-year-in-review/. [viewed 2026-08-12].</w:t>
      </w:r>
    </w:p>
    <w:p w14:paraId="16370ACA" w14:textId="77777777" w:rsidR="00813EEE" w:rsidRDefault="00000000">
      <w:pPr>
        <w:spacing w:after="0" w:line="240" w:lineRule="auto"/>
        <w:jc w:val="both"/>
      </w:pPr>
      <w:r>
        <w:rPr>
          <w:rFonts w:ascii="Times New Roman" w:hAnsi="Times New Roman" w:cs="Times New Roman"/>
          <w:sz w:val="28"/>
        </w:rPr>
        <w:lastRenderedPageBreak/>
        <w:t>[12] OECD. Transparency Reporting on Terrorist and Violent Extremist Content Online, Fourth Edition. Online. Paris: OECD Publishing, June 2024. Available from: https://www.oecd.org/en/publications/transparency-reporting-on-terrorist-and-violent-extremist-content-online_901cb8cf-en.html. [viewed 2026-08-12].</w:t>
      </w:r>
    </w:p>
    <w:p w14:paraId="58A5B3BC" w14:textId="77777777" w:rsidR="00813EEE" w:rsidRDefault="00000000">
      <w:pPr>
        <w:spacing w:after="0" w:line="240" w:lineRule="auto"/>
        <w:jc w:val="both"/>
      </w:pPr>
      <w:r>
        <w:rPr>
          <w:rFonts w:ascii="Times New Roman" w:hAnsi="Times New Roman" w:cs="Times New Roman"/>
          <w:sz w:val="28"/>
        </w:rPr>
        <w:t>[13] WONG, Vincent Pak-Hong. Countering violent extremism through internet intermediaries: A typology for cross-country comparison. Online. New Media &amp; Society. SAGE Publications. 2024. Available from: https://doi.org/10.1177/17427665241236043. [viewed 2026-08-12].</w:t>
      </w:r>
    </w:p>
    <w:p w14:paraId="67ED10A8" w14:textId="77777777" w:rsidR="00813EEE" w:rsidRDefault="00000000">
      <w:pPr>
        <w:spacing w:after="0" w:line="240" w:lineRule="auto"/>
        <w:jc w:val="both"/>
      </w:pPr>
      <w:r>
        <w:rPr>
          <w:rFonts w:ascii="Times New Roman" w:hAnsi="Times New Roman" w:cs="Times New Roman"/>
          <w:sz w:val="28"/>
        </w:rPr>
        <w:t>[14] EUROPOL. Online Jihadist Propaganda 2023 — in review. PDF. The Hague: Europol, 2024. Available from: https://www.europol.europa.eu/cms/sites/default/files/documents/Online_jihadist_propaganda_2023_in_review.pdf. [viewed 2026-08-12].</w:t>
      </w:r>
    </w:p>
    <w:p w14:paraId="0CA4E350" w14:textId="77777777" w:rsidR="00813EEE" w:rsidRDefault="00000000">
      <w:pPr>
        <w:spacing w:after="0" w:line="240" w:lineRule="auto"/>
        <w:jc w:val="both"/>
      </w:pPr>
      <w:r>
        <w:rPr>
          <w:rFonts w:ascii="Times New Roman" w:hAnsi="Times New Roman" w:cs="Times New Roman"/>
          <w:sz w:val="28"/>
        </w:rPr>
        <w:t>[15] SHIN and JITKAJORNWANICH, вж. бел. 2.</w:t>
      </w:r>
    </w:p>
    <w:p w14:paraId="2CB12538" w14:textId="77777777" w:rsidR="00813EEE" w:rsidRDefault="00813EEE">
      <w:pPr>
        <w:spacing w:after="0" w:line="240" w:lineRule="auto"/>
        <w:jc w:val="both"/>
      </w:pPr>
    </w:p>
    <w:p w14:paraId="22ED8ED1" w14:textId="77777777" w:rsidR="00813EEE" w:rsidRDefault="00000000">
      <w:pPr>
        <w:spacing w:after="0" w:line="240" w:lineRule="auto"/>
        <w:jc w:val="both"/>
      </w:pPr>
      <w:r>
        <w:rPr>
          <w:rFonts w:ascii="Times New Roman" w:hAnsi="Times New Roman" w:cs="Times New Roman"/>
          <w:b/>
          <w:sz w:val="28"/>
        </w:rPr>
        <w:t>ЛИТЕРАТУРА:</w:t>
      </w:r>
    </w:p>
    <w:p w14:paraId="0E8CA79E" w14:textId="77777777" w:rsidR="00813EEE" w:rsidRDefault="00000000">
      <w:pPr>
        <w:spacing w:after="0" w:line="240" w:lineRule="auto"/>
        <w:jc w:val="both"/>
      </w:pPr>
      <w:r>
        <w:rPr>
          <w:rFonts w:ascii="Times New Roman" w:hAnsi="Times New Roman" w:cs="Times New Roman"/>
          <w:sz w:val="28"/>
        </w:rPr>
        <w:t>1. AUSTRALIAN PARLIAMENT. Senate Standing Committees on Legal and Constitutional Affairs. Chapter 5 — Extremism and the online environment. Online. Canberra: Parliament of Australia, December 2024. Available from: https://www.aph.gov.au/Parliamentary_Business/Committees/Senate/Legal_and_Constitutional_Affairs/RWExtremists23/Report/Chapter_5_-_Extremism_and_the_online_environment. [viewed 2026-08-12].</w:t>
      </w:r>
    </w:p>
    <w:p w14:paraId="45071B02" w14:textId="77777777" w:rsidR="00813EEE" w:rsidRDefault="00000000">
      <w:pPr>
        <w:spacing w:after="0" w:line="240" w:lineRule="auto"/>
        <w:jc w:val="both"/>
      </w:pPr>
      <w:r>
        <w:rPr>
          <w:rFonts w:ascii="Times New Roman" w:hAnsi="Times New Roman" w:cs="Times New Roman"/>
          <w:sz w:val="28"/>
        </w:rPr>
        <w:t>2. EUROPEAN PARLIAMENT RESEARCH SERVICE. Online information manipulation and information integrity. PDF. Brussels: European Parliament, 2024. Available from: https://www.europarl.europa.eu/RegData/etudes/BRIE/2024/762416/EPRS_BRI(2024)762416_EN.pdf. [viewed 2026-08-12].</w:t>
      </w:r>
    </w:p>
    <w:p w14:paraId="3CA407EC" w14:textId="77777777" w:rsidR="00813EEE" w:rsidRDefault="00000000">
      <w:pPr>
        <w:spacing w:after="0" w:line="240" w:lineRule="auto"/>
        <w:jc w:val="both"/>
      </w:pPr>
      <w:r>
        <w:rPr>
          <w:rFonts w:ascii="Times New Roman" w:hAnsi="Times New Roman" w:cs="Times New Roman"/>
          <w:sz w:val="28"/>
        </w:rPr>
        <w:t>3. EUROPOL. Online Jihadist Propaganda 2023 — in review. PDF. The Hague: Europol, 2024. Available from: https://www.europol.europa.eu/cms/sites/default/files/documents/Online_jihadist_propaganda_2023_in_review.pdf. [viewed 2026-08-12].</w:t>
      </w:r>
    </w:p>
    <w:p w14:paraId="7BD0CDA9" w14:textId="77777777" w:rsidR="00813EEE" w:rsidRDefault="00000000">
      <w:pPr>
        <w:spacing w:after="0" w:line="240" w:lineRule="auto"/>
        <w:jc w:val="both"/>
      </w:pPr>
      <w:r>
        <w:rPr>
          <w:rFonts w:ascii="Times New Roman" w:hAnsi="Times New Roman" w:cs="Times New Roman"/>
          <w:sz w:val="28"/>
        </w:rPr>
        <w:t>4. FRONTIERS IN POLITICAL SCIENCE. The role of artificial intelligence in radicalisation, recruitment and terrorist propaganda: deconstructing violent extremism and reimagining counterterrorism in contemporary digital ecosystems. Online. Frontiers Media S.A., 2025. Available from: https://www.frontiersin.org/journals/political-science/articles/10.3389/fpos.2025.1718396/full. [viewed 2026-08-12].</w:t>
      </w:r>
    </w:p>
    <w:p w14:paraId="146EBFF0" w14:textId="77777777" w:rsidR="00813EEE" w:rsidRDefault="00000000">
      <w:pPr>
        <w:spacing w:after="0" w:line="240" w:lineRule="auto"/>
        <w:jc w:val="both"/>
      </w:pPr>
      <w:r>
        <w:rPr>
          <w:rFonts w:ascii="Times New Roman" w:hAnsi="Times New Roman" w:cs="Times New Roman"/>
          <w:sz w:val="28"/>
        </w:rPr>
        <w:t>5. GEORGE WASHINGTON UNIVERSITY. Program on Extremism. The Third Generation of Online Radicalization. Online. Washington D.C.: GWU, June 2023. Available from: https://extremism.gwu.edu/sites/g/files/zaxdzs5746/files/2023-06/third-generation-final.pdf. [viewed 2026-08-12].</w:t>
      </w:r>
    </w:p>
    <w:p w14:paraId="77C6111B" w14:textId="77777777" w:rsidR="00813EEE" w:rsidRDefault="00000000">
      <w:pPr>
        <w:spacing w:after="0" w:line="240" w:lineRule="auto"/>
        <w:jc w:val="both"/>
      </w:pPr>
      <w:r>
        <w:rPr>
          <w:rFonts w:ascii="Times New Roman" w:hAnsi="Times New Roman" w:cs="Times New Roman"/>
          <w:sz w:val="28"/>
        </w:rPr>
        <w:t>6. ISD GLOBAL. Online Radicalization and the Nexus to Violence in the US: 2024 Year in Review. Online. London: Institute for Strategic Dialogue, 2025. Available from: https://www.isdglobal.org/digital_dispatches/online-radicalization-and-the-nexus-to-violence-in-the-us-2024-year-in-review/. [viewed 2026-08-12].</w:t>
      </w:r>
    </w:p>
    <w:p w14:paraId="048B3E7C" w14:textId="77777777" w:rsidR="00813EEE" w:rsidRDefault="00000000">
      <w:pPr>
        <w:spacing w:after="0" w:line="240" w:lineRule="auto"/>
        <w:jc w:val="both"/>
      </w:pPr>
      <w:r>
        <w:rPr>
          <w:rFonts w:ascii="Times New Roman" w:hAnsi="Times New Roman" w:cs="Times New Roman"/>
          <w:sz w:val="28"/>
        </w:rPr>
        <w:lastRenderedPageBreak/>
        <w:t>7. NATIONAL INSTITUTE OF JUSTICE. The Role of the Internet and Social Media on Radicalization: What Research Sponsored by the National Institute of Justice Tells Us. Online. Washington D.C.: U.S. Department of Justice, April 2024. Available from: https://www.ojp.gov/library/publications/role-internet-and-social-media-radicalization-what-research-sponsored-national. [viewed 2026-08-12].</w:t>
      </w:r>
    </w:p>
    <w:p w14:paraId="6CE8D052" w14:textId="77777777" w:rsidR="00813EEE" w:rsidRDefault="00000000">
      <w:pPr>
        <w:spacing w:after="0" w:line="240" w:lineRule="auto"/>
        <w:jc w:val="both"/>
      </w:pPr>
      <w:r>
        <w:rPr>
          <w:rFonts w:ascii="Times New Roman" w:hAnsi="Times New Roman" w:cs="Times New Roman"/>
          <w:sz w:val="28"/>
        </w:rPr>
        <w:t>8. OECD. Transparency Reporting on Terrorist and Violent Extremist Content Online, Fourth Edition. Online. Paris: OECD Publishing, June 2024. Available from: https://www.oecd.org/en/publications/transparency-reporting-on-terrorist-and-violent-extremist-content-online_901cb8cf-en.html. [viewed 2026-08-12].</w:t>
      </w:r>
    </w:p>
    <w:p w14:paraId="3A8CB940" w14:textId="77777777" w:rsidR="00813EEE" w:rsidRDefault="00000000">
      <w:pPr>
        <w:spacing w:after="0" w:line="240" w:lineRule="auto"/>
        <w:jc w:val="both"/>
      </w:pPr>
      <w:r>
        <w:rPr>
          <w:rFonts w:ascii="Times New Roman" w:hAnsi="Times New Roman" w:cs="Times New Roman"/>
          <w:sz w:val="28"/>
        </w:rPr>
        <w:t>9. REUTERS INSTITUTE FOR THE STUDY OF JOURNALISM. Overview and key findings of the 2024 Digital News Report. Online. Oxford: University of Oxford, June 2024. Available from: https://reutersinstitute.politics.ox.ac.uk/digital-news-report/2024/dnr-executive-summary. [viewed 2026-08-12].</w:t>
      </w:r>
    </w:p>
    <w:p w14:paraId="43AB8F76" w14:textId="77777777" w:rsidR="00813EEE" w:rsidRDefault="00000000">
      <w:pPr>
        <w:spacing w:after="0" w:line="240" w:lineRule="auto"/>
        <w:jc w:val="both"/>
      </w:pPr>
      <w:r>
        <w:rPr>
          <w:rFonts w:ascii="Times New Roman" w:hAnsi="Times New Roman" w:cs="Times New Roman"/>
          <w:sz w:val="28"/>
        </w:rPr>
        <w:t>10. RSIS. Key Trends in Digital Extremism 2024: The Resilience and Expansion of Jihadist and Far-Right Movements. Online. Singapore: S. Rajaratnam School of International Studies, 2024-11-26. Available from: https://rsis.edu.sg/ctta-newsarticle/key-trends-in-digital-extremism-2024-the-resilience-and-expansion-of-jihadist-and-far-right-movements/. [viewed 2026-08-12].</w:t>
      </w:r>
    </w:p>
    <w:p w14:paraId="27AB7916" w14:textId="77777777" w:rsidR="00813EEE" w:rsidRDefault="00000000">
      <w:pPr>
        <w:spacing w:after="0" w:line="240" w:lineRule="auto"/>
        <w:jc w:val="both"/>
      </w:pPr>
      <w:r>
        <w:rPr>
          <w:rFonts w:ascii="Times New Roman" w:hAnsi="Times New Roman" w:cs="Times New Roman"/>
          <w:sz w:val="28"/>
        </w:rPr>
        <w:t>11. SHIN, Donghee and JITKAJORNWANICH, Kulsawasd. How Algorithms Promote Self-Radicalization: Audit of TikTok's Algorithm Using a Reverse Engineering Method. Online. Social Science Computer Review. SAGE Publications. vol. 42, (2024). Available from: https://doi.org/10.1177/08944393231225547. [viewed 2026-08-12].</w:t>
      </w:r>
    </w:p>
    <w:p w14:paraId="785104F3" w14:textId="77777777" w:rsidR="00813EEE" w:rsidRDefault="00000000">
      <w:pPr>
        <w:spacing w:after="0" w:line="240" w:lineRule="auto"/>
        <w:jc w:val="both"/>
      </w:pPr>
      <w:r>
        <w:rPr>
          <w:rFonts w:ascii="Times New Roman" w:hAnsi="Times New Roman" w:cs="Times New Roman"/>
          <w:sz w:val="28"/>
        </w:rPr>
        <w:t>12. SOPRA STERIA. Disinformation's global economic impact estimated at $417 billion in 2024. Online. Sopra Steria Group, 2026. Available from: https://www.soprasteria.com/newsroom/press-releases/details/disinformation-s-global-economic-impact-estimated-at-417-billion-in-sopra-steria-study. [viewed 2026-08-12].</w:t>
      </w:r>
    </w:p>
    <w:p w14:paraId="5737D4D0" w14:textId="77777777" w:rsidR="00813EEE" w:rsidRDefault="00000000">
      <w:pPr>
        <w:spacing w:after="0" w:line="240" w:lineRule="auto"/>
        <w:jc w:val="both"/>
      </w:pPr>
      <w:r>
        <w:rPr>
          <w:rFonts w:ascii="Times New Roman" w:hAnsi="Times New Roman" w:cs="Times New Roman"/>
          <w:sz w:val="28"/>
        </w:rPr>
        <w:t>13. UCL NEWS. Social media algorithms amplify misogynistic content to teens. Online. London: University College London, 2024-02-05. Available from: https://www.ucl.ac.uk/news/2024/feb/social-media-algorithms-amplify-misogynistic-content-teens. [viewed 2026-08-12].</w:t>
      </w:r>
    </w:p>
    <w:p w14:paraId="13EC170B" w14:textId="77777777" w:rsidR="00813EEE" w:rsidRDefault="00000000">
      <w:pPr>
        <w:spacing w:after="0" w:line="240" w:lineRule="auto"/>
        <w:jc w:val="both"/>
      </w:pPr>
      <w:r>
        <w:rPr>
          <w:rFonts w:ascii="Times New Roman" w:hAnsi="Times New Roman" w:cs="Times New Roman"/>
          <w:sz w:val="28"/>
        </w:rPr>
        <w:t>14. WONG, Vincent Pak-Hong. Countering violent extremism through internet intermediaries: A typology for cross-country comparison. Online. New Media &amp; Society. SAGE Publications. 2024. Available from: https://doi.org/10.1177/17427665241236043. [viewed 2026-08-12].</w:t>
      </w:r>
    </w:p>
    <w:p w14:paraId="633CAE8D" w14:textId="77777777" w:rsidR="00813EEE" w:rsidRDefault="00813EEE">
      <w:pPr>
        <w:spacing w:after="0" w:line="240" w:lineRule="auto"/>
        <w:jc w:val="both"/>
      </w:pPr>
    </w:p>
    <w:p w14:paraId="2A0141D9" w14:textId="77777777" w:rsidR="00813EEE" w:rsidRDefault="00000000">
      <w:pPr>
        <w:spacing w:after="0" w:line="240" w:lineRule="auto"/>
        <w:jc w:val="both"/>
      </w:pPr>
      <w:r>
        <w:rPr>
          <w:rFonts w:ascii="Times New Roman" w:hAnsi="Times New Roman" w:cs="Times New Roman"/>
          <w:i/>
          <w:sz w:val="24"/>
        </w:rPr>
        <w:t>маг. инж. Дечо Маринов Стоянов</w:t>
      </w:r>
    </w:p>
    <w:p w14:paraId="0D47E785" w14:textId="1E324AC2" w:rsidR="00813EEE" w:rsidRDefault="00000000">
      <w:pPr>
        <w:spacing w:after="0" w:line="240" w:lineRule="auto"/>
        <w:jc w:val="both"/>
      </w:pPr>
      <w:r>
        <w:rPr>
          <w:rFonts w:ascii="Times New Roman" w:hAnsi="Times New Roman" w:cs="Times New Roman"/>
          <w:i/>
          <w:sz w:val="24"/>
        </w:rPr>
        <w:t xml:space="preserve">САП ЛАБС БЪЛГАРИЯ </w:t>
      </w:r>
    </w:p>
    <w:p w14:paraId="1A8989F3" w14:textId="3C814FA4" w:rsidR="00813EEE" w:rsidRPr="00917DE7" w:rsidRDefault="00000000">
      <w:pPr>
        <w:spacing w:after="0" w:line="240" w:lineRule="auto"/>
        <w:jc w:val="both"/>
        <w:rPr>
          <w:lang w:val="bg-BG"/>
        </w:rPr>
      </w:pPr>
      <w:r>
        <w:rPr>
          <w:rFonts w:ascii="Times New Roman" w:hAnsi="Times New Roman" w:cs="Times New Roman"/>
          <w:i/>
          <w:sz w:val="24"/>
        </w:rPr>
        <w:t xml:space="preserve">Гр. </w:t>
      </w:r>
      <w:r w:rsidR="00917DE7">
        <w:rPr>
          <w:rFonts w:ascii="Times New Roman" w:hAnsi="Times New Roman" w:cs="Times New Roman"/>
          <w:i/>
          <w:sz w:val="24"/>
          <w:lang w:val="bg-BG"/>
        </w:rPr>
        <w:t>София</w:t>
      </w:r>
      <w:r>
        <w:rPr>
          <w:rFonts w:ascii="Times New Roman" w:hAnsi="Times New Roman" w:cs="Times New Roman"/>
          <w:i/>
          <w:sz w:val="24"/>
        </w:rPr>
        <w:t xml:space="preserve">, </w:t>
      </w:r>
      <w:r w:rsidR="00917DE7">
        <w:rPr>
          <w:rFonts w:ascii="Times New Roman" w:hAnsi="Times New Roman" w:cs="Times New Roman"/>
          <w:i/>
          <w:sz w:val="24"/>
          <w:lang w:val="bg-BG"/>
        </w:rPr>
        <w:t>жк. Западен Парк 57А ет.2 ап.7</w:t>
      </w:r>
    </w:p>
    <w:p w14:paraId="297DDE56" w14:textId="77777777" w:rsidR="00813EEE" w:rsidRDefault="00000000">
      <w:pPr>
        <w:spacing w:after="0" w:line="240" w:lineRule="auto"/>
        <w:jc w:val="both"/>
      </w:pPr>
      <w:proofErr w:type="spellStart"/>
      <w:r>
        <w:rPr>
          <w:rFonts w:ascii="Times New Roman" w:hAnsi="Times New Roman" w:cs="Times New Roman"/>
          <w:i/>
          <w:sz w:val="24"/>
        </w:rPr>
        <w:t>Тел</w:t>
      </w:r>
      <w:proofErr w:type="spellEnd"/>
      <w:r>
        <w:rPr>
          <w:rFonts w:ascii="Times New Roman" w:hAnsi="Times New Roman" w:cs="Times New Roman"/>
          <w:i/>
          <w:sz w:val="24"/>
        </w:rPr>
        <w:t>.: +359889001690</w:t>
      </w:r>
    </w:p>
    <w:p w14:paraId="5CC73F6A" w14:textId="77777777" w:rsidR="00813EEE" w:rsidRDefault="00000000">
      <w:pPr>
        <w:spacing w:after="0" w:line="240" w:lineRule="auto"/>
        <w:jc w:val="both"/>
      </w:pPr>
      <w:r>
        <w:rPr>
          <w:rFonts w:ascii="Times New Roman" w:hAnsi="Times New Roman" w:cs="Times New Roman"/>
          <w:i/>
          <w:sz w:val="24"/>
        </w:rPr>
        <w:t>E-mail: decho.stoyanov@sap.com</w:t>
      </w:r>
    </w:p>
    <w:sectPr w:rsidR="00813EEE" w:rsidSect="00034616">
      <w:pgSz w:w="11906" w:h="16838"/>
      <w:pgMar w:top="1134" w:right="1134" w:bottom="850"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ourier">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823277894">
    <w:abstractNumId w:val="8"/>
  </w:num>
  <w:num w:numId="2" w16cid:durableId="1876382367">
    <w:abstractNumId w:val="6"/>
  </w:num>
  <w:num w:numId="3" w16cid:durableId="463890399">
    <w:abstractNumId w:val="5"/>
  </w:num>
  <w:num w:numId="4" w16cid:durableId="911164395">
    <w:abstractNumId w:val="4"/>
  </w:num>
  <w:num w:numId="5" w16cid:durableId="758529050">
    <w:abstractNumId w:val="7"/>
  </w:num>
  <w:num w:numId="6" w16cid:durableId="1223365587">
    <w:abstractNumId w:val="3"/>
  </w:num>
  <w:num w:numId="7" w16cid:durableId="854073739">
    <w:abstractNumId w:val="2"/>
  </w:num>
  <w:num w:numId="8" w16cid:durableId="1293822836">
    <w:abstractNumId w:val="1"/>
  </w:num>
  <w:num w:numId="9" w16cid:durableId="816146560">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760E8C"/>
    <w:rsid w:val="00813EEE"/>
    <w:rsid w:val="008574CA"/>
    <w:rsid w:val="00917DE7"/>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A093234"/>
  <w14:defaultImageDpi w14:val="300"/>
  <w15:docId w15:val="{BF003BC3-E7BF-8B47-AF0C-318282BE0A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Metadata/LabelInfo.xml><?xml version="1.0" encoding="utf-8"?>
<clbl:labelList xmlns:clbl="http://schemas.microsoft.com/office/2020/mipLabelMetadata">
  <clbl:label id="{0cf7ac0a-4681-4823-ab0b-04ef02c5f873}" enabled="1" method="Standard" siteId="{42f7676c-f455-423c-82f6-dc2d99791af7}" contentBits="0" removed="0"/>
</clbl:labelList>
</file>

<file path=docProps/app.xml><?xml version="1.0" encoding="utf-8"?>
<Properties xmlns="http://schemas.openxmlformats.org/officeDocument/2006/extended-properties" xmlns:vt="http://schemas.openxmlformats.org/officeDocument/2006/docPropsVTypes">
  <Template>Normal.dotm</Template>
  <TotalTime>7</TotalTime>
  <Pages>8</Pages>
  <Words>3098</Words>
  <Characters>17663</Characters>
  <Application>Microsoft Office Word</Application>
  <DocSecurity>0</DocSecurity>
  <Lines>147</Lines>
  <Paragraphs>41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20720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Stoyanov, Decho</cp:lastModifiedBy>
  <cp:revision>3</cp:revision>
  <dcterms:created xsi:type="dcterms:W3CDTF">2013-12-23T23:15:00Z</dcterms:created>
  <dcterms:modified xsi:type="dcterms:W3CDTF">2026-08-13T13:48:00Z</dcterms:modified>
  <cp:category/>
</cp:coreProperties>
</file>