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4B6" w:rsidRDefault="008C4F57">
      <w:pPr>
        <w:ind w:firstLine="0"/>
        <w:jc w:val="center"/>
      </w:pPr>
      <w:r>
        <w:rPr>
          <w:b/>
          <w:sz w:val="32"/>
        </w:rPr>
        <w:t>ПРАВНАТА СИГУРНОСТ КАТО ЕЛЕМЕНТ НА НАЦИОНАЛНАТА СИГУРНОСТ – СЪВРЕМЕННИ ПРЕДИЗВИКАТЕЛСТВА И ПЕРСПЕКТИВИ</w:t>
      </w:r>
    </w:p>
    <w:p w:rsidR="000214B6" w:rsidRDefault="000214B6"/>
    <w:p w:rsidR="000214B6" w:rsidRDefault="000214B6"/>
    <w:p w:rsidR="000214B6" w:rsidRDefault="008C4F57">
      <w:pPr>
        <w:ind w:firstLine="0"/>
        <w:jc w:val="center"/>
      </w:pPr>
      <w:r>
        <w:rPr>
          <w:b/>
          <w:sz w:val="32"/>
        </w:rPr>
        <w:t>Кремена Крумова Славова</w:t>
      </w:r>
    </w:p>
    <w:p w:rsidR="000214B6" w:rsidRDefault="000214B6"/>
    <w:p w:rsidR="000214B6" w:rsidRDefault="008C4F57">
      <w:pPr>
        <w:ind w:firstLine="0"/>
        <w:jc w:val="center"/>
      </w:pPr>
      <w:r>
        <w:rPr>
          <w:b/>
          <w:sz w:val="32"/>
        </w:rPr>
        <w:t>LEGAL CERTAINTY AS AN ELEMENT OF NATIONAL SECURITY – CONTEMPORARY CHALLENGES AND PERSPECTIVES</w:t>
      </w:r>
    </w:p>
    <w:p w:rsidR="000214B6" w:rsidRDefault="000214B6"/>
    <w:p w:rsidR="000214B6" w:rsidRDefault="008C4F57">
      <w:pPr>
        <w:ind w:firstLine="0"/>
        <w:jc w:val="center"/>
      </w:pPr>
      <w:r>
        <w:rPr>
          <w:b/>
          <w:sz w:val="32"/>
        </w:rPr>
        <w:t>Kremena Krumova Slavova</w:t>
      </w:r>
    </w:p>
    <w:p w:rsidR="000214B6" w:rsidRDefault="000214B6"/>
    <w:p w:rsidR="000214B6" w:rsidRDefault="000214B6"/>
    <w:p w:rsidR="000214B6" w:rsidRDefault="008C4F57">
      <w:pPr>
        <w:ind w:firstLine="0"/>
      </w:pPr>
      <w:r>
        <w:rPr>
          <w:i/>
          <w:sz w:val="24"/>
        </w:rPr>
        <w:t>Резюме: Настоящият доклад разглежда правната сигурност като съществена предпоставка за стабилността на държавата и обществото и анализира възможността тя да бъде осмислена в контекста на националната сигурност. Акцент се поставя върху предвидимостта на пра</w:t>
      </w:r>
      <w:r>
        <w:rPr>
          <w:i/>
          <w:sz w:val="24"/>
        </w:rPr>
        <w:t>вния ред, институционалната устойчивост, защитата на основните права и предизвикателствата на дигиталната трансформация.</w:t>
      </w:r>
    </w:p>
    <w:p w:rsidR="000214B6" w:rsidRDefault="000214B6"/>
    <w:p w:rsidR="000214B6" w:rsidRDefault="008C4F57">
      <w:pPr>
        <w:ind w:firstLine="0"/>
      </w:pPr>
      <w:r>
        <w:rPr>
          <w:i/>
          <w:sz w:val="24"/>
        </w:rPr>
        <w:t>Ключови думи: правна сигурност, национална сигурност, правова държава, държавни институции, дигитализация</w:t>
      </w:r>
    </w:p>
    <w:p w:rsidR="000214B6" w:rsidRDefault="000214B6"/>
    <w:p w:rsidR="000214B6" w:rsidRDefault="008C4F57">
      <w:pPr>
        <w:ind w:firstLine="0"/>
      </w:pPr>
      <w:r>
        <w:rPr>
          <w:i/>
          <w:sz w:val="24"/>
        </w:rPr>
        <w:t>Abstract: The paper examine</w:t>
      </w:r>
      <w:r>
        <w:rPr>
          <w:i/>
          <w:sz w:val="24"/>
        </w:rPr>
        <w:t>s legal certainty as an essential prerequisite for the stability of the State and society and explores its place in the broader context of national security. Particular attention is paid to the predictability of the legal order, institutional resilience, t</w:t>
      </w:r>
      <w:r>
        <w:rPr>
          <w:i/>
          <w:sz w:val="24"/>
        </w:rPr>
        <w:t>he protection of fundamental rights and challenges arising from legislative dynamics and digital transformation.</w:t>
      </w:r>
    </w:p>
    <w:p w:rsidR="000214B6" w:rsidRDefault="000214B6"/>
    <w:p w:rsidR="000214B6" w:rsidRDefault="008C4F57">
      <w:pPr>
        <w:ind w:firstLine="0"/>
      </w:pPr>
      <w:r>
        <w:rPr>
          <w:i/>
          <w:sz w:val="24"/>
        </w:rPr>
        <w:t>Keywords: legal certainty, national security, rule of law, state institutions, digitalisation</w:t>
      </w:r>
    </w:p>
    <w:p w:rsidR="000214B6" w:rsidRDefault="000214B6"/>
    <w:p w:rsidR="000214B6" w:rsidRDefault="000214B6"/>
    <w:p w:rsidR="000214B6" w:rsidRDefault="008C4F57">
      <w:pPr>
        <w:spacing w:before="120"/>
        <w:ind w:firstLine="0"/>
        <w:jc w:val="left"/>
      </w:pPr>
      <w:r>
        <w:rPr>
          <w:b/>
        </w:rPr>
        <w:t>1. Въведение</w:t>
      </w:r>
    </w:p>
    <w:p w:rsidR="000214B6" w:rsidRDefault="008C4F57">
      <w:r>
        <w:t xml:space="preserve">Понятието „национална сигурност“ </w:t>
      </w:r>
      <w:r>
        <w:t>традиционно се свързва със защитата на държавния суверенитет, териториалната цялост, обществения ред и способността на държавата да противодейства на външни и вътрешни заплахи. Съвременното развитие на обществените отношения налага по-широко разбиране, кое</w:t>
      </w:r>
      <w:r>
        <w:t xml:space="preserve">то включва устойчивостта на институциите, защитата на основните права, икономическата и </w:t>
      </w:r>
      <w:r>
        <w:lastRenderedPageBreak/>
        <w:t>социалната стабилност и способността на държавата да поддържа предвидим и ефективно функциониращ правен ред.</w:t>
      </w:r>
    </w:p>
    <w:p w:rsidR="000214B6" w:rsidRDefault="008C4F57">
      <w:r>
        <w:t>Актуализираната стратегия за национална сигурност на Републ</w:t>
      </w:r>
      <w:r>
        <w:t>ика България възприема именно такъв комплексен подход. Тя извежда сигурността на гражданина, основните права и свободи, защитата на законността, взаимодействието между институциите и демократичния контрол като съществени елементи на политиката за сигурност</w:t>
      </w:r>
      <w:r>
        <w:t xml:space="preserve"> [1].</w:t>
      </w:r>
    </w:p>
    <w:p w:rsidR="000214B6" w:rsidRDefault="008C4F57">
      <w:r>
        <w:t>От тази гледна точка възниква въпросът дали правната сигурност следва да бъде разглеждана единствено като класически принцип на правовата държава. Тезата на настоящото изследване е по-умерена: правната сигурност не е нормативно обособен сектор на нац</w:t>
      </w:r>
      <w:r>
        <w:t>ионалната сигурност, но може да бъде разглеждана като хоризонтална предпоставка за устойчивостта на нейната система. Особена актуалност на проблема придават ускорената дигитализация, електронното управление и използването на автоматизирани технологии. Акту</w:t>
      </w:r>
      <w:r>
        <w:t>ализираният през 2025 г. Rule of Law Checklist на Венецианската комисия запазва правната сигурност сред основните критерии на върховенството на правото и изрично включва предизвикателствата на новите технологии [2].</w:t>
      </w:r>
    </w:p>
    <w:p w:rsidR="000214B6" w:rsidRDefault="008C4F57">
      <w:pPr>
        <w:spacing w:before="120"/>
        <w:ind w:firstLine="0"/>
        <w:jc w:val="left"/>
      </w:pPr>
      <w:r>
        <w:rPr>
          <w:b/>
        </w:rPr>
        <w:t>2. Правната сигурност като принцип на пр</w:t>
      </w:r>
      <w:r>
        <w:rPr>
          <w:b/>
        </w:rPr>
        <w:t>авовата държава</w:t>
      </w:r>
    </w:p>
    <w:p w:rsidR="000214B6" w:rsidRDefault="008C4F57">
      <w:r>
        <w:t>Правната сигурност е неразривно свързана с принципа на правовата държава по чл. 4, ал. 1 от Конституцията. Макар понятието да не е самостоятелно дефинирано в конституционния текст, съдържанието му е последователно развито в практиката на Ко</w:t>
      </w:r>
      <w:r>
        <w:t>нституционния съд.</w:t>
      </w:r>
    </w:p>
    <w:p w:rsidR="000214B6" w:rsidRDefault="008C4F57">
      <w:r>
        <w:t>В Решение № 1 от 27.01.2005 г. по к.д. № 8/2004 г. Конституционният съд приема, че правовата държава включва упражняване на държавната власт въз основа на Конституцията и в рамките на съответстващи ѝ закони, създадени за запазване на чов</w:t>
      </w:r>
      <w:r>
        <w:t>ешкото достойнство и за постигане на свобода, справедливост и правна сигурност [3]. В последващата практика правната сигурност на законодателните решения е свързана с последователност, предвидимост и стабилност на законовите разпоредби [4], а законосъобраз</w:t>
      </w:r>
      <w:r>
        <w:t>ността на държавното управление – с неговата предвидимост [5].</w:t>
      </w:r>
    </w:p>
    <w:p w:rsidR="000214B6" w:rsidRDefault="008C4F57">
      <w:r>
        <w:t xml:space="preserve">Стабилността на правната уредба не означава неизменност. Законодателят може да адаптира нормативната среда към обществените промени, но при зачитане на оправданите правни очаквания. </w:t>
      </w:r>
      <w:r>
        <w:t>Конституционният съд изрично предупреждава срещу „внезапни, неочаквани и непропорционални на конституционните стандарти законодателни промени“ [6]. Правовата държава във формален смисъл е държава на правната сигурност, което изисква законовите разпоредби д</w:t>
      </w:r>
      <w:r>
        <w:t>а бъдат ясни, точни и непротиворечиви [7].</w:t>
      </w:r>
    </w:p>
    <w:p w:rsidR="000214B6" w:rsidRDefault="008C4F57">
      <w:r>
        <w:lastRenderedPageBreak/>
        <w:t>На европейско равнище правната сигурност също е сред основните критерии на върховенството на правото. Венецианската комисия свързва foreseeability с достатъчна точност и яснота на закона, позволяващи на правните с</w:t>
      </w:r>
      <w:r>
        <w:t>убекти да организират поведението си, а стабилността – с избягване на чести или внезапни промени без ясна причина [2]. Европейската комисия определя legal certainty като изискване правилата да бъдат ясни и предвидими, така че гражданите и стопанските субек</w:t>
      </w:r>
      <w:r>
        <w:t>ти да познават своите права и задължения [8].</w:t>
      </w:r>
    </w:p>
    <w:p w:rsidR="000214B6" w:rsidRDefault="008C4F57">
      <w:pPr>
        <w:spacing w:before="120"/>
        <w:ind w:firstLine="0"/>
        <w:jc w:val="left"/>
      </w:pPr>
      <w:r>
        <w:rPr>
          <w:b/>
        </w:rPr>
        <w:t>3. Правната сигурност в системата на националната сигурност</w:t>
      </w:r>
    </w:p>
    <w:p w:rsidR="000214B6" w:rsidRDefault="008C4F57">
      <w:r>
        <w:t>Съвременното разбиране за националната сигурност надхвърля отбраната и непосредственото противодействие на заплахи. Българската стратегия поставя сигу</w:t>
      </w:r>
      <w:r>
        <w:t>рността в контекста на основните права, върховенството на закона, институционалната координация, доверието и демократичния контрол [9</w:t>
      </w:r>
      <w:bookmarkStart w:id="0" w:name="_GoBack"/>
      <w:bookmarkEnd w:id="0"/>
      <w:r>
        <w:t>]. Това позволява да бъде изведена функционална връзка между националната и правната сигурност.</w:t>
      </w:r>
    </w:p>
    <w:p w:rsidR="000214B6" w:rsidRDefault="008C4F57">
      <w:r>
        <w:t>Правната сигурност не е нор</w:t>
      </w:r>
      <w:r>
        <w:t>мативно определена като самостоятелен компонент на националната сигурност. Тя обаче създава условията, при които държавата може устойчиво и предвидимо да осъществява своите функции. Чести и трудно предвидими нормативни изменения, противоречиво правоприлага</w:t>
      </w:r>
      <w:r>
        <w:t>не, неясно разпределение на компетентности или липса на ефективни средства за защита могат да засегнат не само отделното правоотношение, но и функционирането на публичната система.</w:t>
      </w:r>
    </w:p>
    <w:p w:rsidR="000214B6" w:rsidRDefault="008C4F57">
      <w:r>
        <w:t>Тази зависимост е особено видима при кризи. Необходимостта от бърза реакция</w:t>
      </w:r>
      <w:r>
        <w:t xml:space="preserve"> не отменя изискванията на правовата държава; напротив, ясната нормативна основа, предварително определените компетентности и ефективният контрол придобиват по-голямо значение. Следователно правната сигурност може да бъде разглеждана като свързващо звено м</w:t>
      </w:r>
      <w:r>
        <w:t>ежду правовата държава и националната устойчивост – хоризонтална предпоставка, която позволява политиките за сигурност да бъдат провеждани законосъобразно, последователно и предвидимо.</w:t>
      </w:r>
    </w:p>
    <w:p w:rsidR="000214B6" w:rsidRDefault="008C4F57">
      <w:pPr>
        <w:spacing w:before="120"/>
        <w:ind w:firstLine="0"/>
        <w:jc w:val="left"/>
      </w:pPr>
      <w:r>
        <w:rPr>
          <w:b/>
        </w:rPr>
        <w:t>4. Съвременни рискове пред правната сигурност</w:t>
      </w:r>
    </w:p>
    <w:p w:rsidR="000214B6" w:rsidRDefault="008C4F57">
      <w:pPr>
        <w:spacing w:before="120"/>
        <w:ind w:firstLine="0"/>
        <w:jc w:val="left"/>
      </w:pPr>
      <w:r>
        <w:rPr>
          <w:b/>
        </w:rPr>
        <w:t>4.1. Нормативна нестабилн</w:t>
      </w:r>
      <w:r>
        <w:rPr>
          <w:b/>
        </w:rPr>
        <w:t>ост и качество на законодателството</w:t>
      </w:r>
    </w:p>
    <w:p w:rsidR="000214B6" w:rsidRDefault="008C4F57">
      <w:r>
        <w:t>Един от основните рискове е прекомерната динамика на нормативната среда. Промяната на законодателството е необходима, но когато измененията са твърде чести, недостатъчно обосновани или без подходящ преходен режим, възмож</w:t>
      </w:r>
      <w:r>
        <w:t xml:space="preserve">ността на адресатите да предвидят правните последици намалява. Конституционната практика последователно свързва правовата държава с предвидимостта и </w:t>
      </w:r>
      <w:r>
        <w:lastRenderedPageBreak/>
        <w:t>стабилността на законодателството [11]. Законът за нормативните актове изрично поставя при изработването на</w:t>
      </w:r>
      <w:r>
        <w:t xml:space="preserve"> нормативни актове принципите на необходимост, обоснованост, предвидимост, откритост, съгласуваност, субсидиарност, пропорционалност и стабилност, както и механизми за оценка на въздействието и обществени консултации [12].</w:t>
      </w:r>
    </w:p>
    <w:p w:rsidR="000214B6" w:rsidRDefault="008C4F57">
      <w:pPr>
        <w:spacing w:before="120"/>
        <w:ind w:firstLine="0"/>
        <w:jc w:val="left"/>
      </w:pPr>
      <w:r>
        <w:rPr>
          <w:b/>
        </w:rPr>
        <w:t>4.2. Непоследователност при прила</w:t>
      </w:r>
      <w:r>
        <w:rPr>
          <w:b/>
        </w:rPr>
        <w:t>гането на правото</w:t>
      </w:r>
    </w:p>
    <w:p w:rsidR="000214B6" w:rsidRDefault="008C4F57">
      <w:r>
        <w:t>Дори ясната правна норма може да се превърне в източник на несигурност, ако нейното приложение е трайно непоследователно. Сходните правни положения следва да получават сходно третиране, а отклонението от установена практика – да бъде моти</w:t>
      </w:r>
      <w:r>
        <w:t>вирано. Особено значение имат мотивите на административните и съдебните актове, защото позволяват на засегнатото лице да разбере основанията на решението и създават възможност за ефективен контрол.</w:t>
      </w:r>
    </w:p>
    <w:p w:rsidR="000214B6" w:rsidRDefault="008C4F57">
      <w:pPr>
        <w:spacing w:before="120"/>
        <w:ind w:firstLine="0"/>
        <w:jc w:val="left"/>
      </w:pPr>
      <w:r>
        <w:rPr>
          <w:b/>
        </w:rPr>
        <w:t>4.3. Ефективният достъп до защита</w:t>
      </w:r>
    </w:p>
    <w:p w:rsidR="000214B6" w:rsidRDefault="008C4F57">
      <w:r>
        <w:t>Правната сигурност би ос</w:t>
      </w:r>
      <w:r>
        <w:t xml:space="preserve">танала формална без ефективен механизъм за защита. Чл. 120, ал. 2 от Конституцията установява общата клауза за обжалваемост на административните актове, които засягат гражданите и юридическите лица [13]. На европейско равнище правото на ефективно средство </w:t>
      </w:r>
      <w:r>
        <w:t>за защита е закрепено в чл. 13 ЕКПЧ и чл. 47 от Хартата на основните права на ЕС [14]. Реалната ефективност зависи и от достъпността на производството, неговата продължителност и възможността лицето да разбере и оспори основанията на акта.</w:t>
      </w:r>
    </w:p>
    <w:p w:rsidR="000214B6" w:rsidRDefault="008C4F57">
      <w:pPr>
        <w:spacing w:before="120"/>
        <w:ind w:firstLine="0"/>
        <w:jc w:val="left"/>
      </w:pPr>
      <w:r>
        <w:rPr>
          <w:b/>
        </w:rPr>
        <w:t>4.4. Институцион</w:t>
      </w:r>
      <w:r>
        <w:rPr>
          <w:b/>
        </w:rPr>
        <w:t>ална непоследователност</w:t>
      </w:r>
    </w:p>
    <w:p w:rsidR="000214B6" w:rsidRDefault="008C4F57">
      <w:r>
        <w:t>Недостатъчната координация между публичните органи също може да се превърне в риск за правната сигурност. Когато компетентностите са неясни, гражданите са препращани между институции или получават противоречиви указания, организацио</w:t>
      </w:r>
      <w:r>
        <w:t>нният проблем придобива правно измерение. Системното натрупване на подобни дефицити намалява предвидимостта на отношенията между гражданина и държавата и може да засегне общественото доверие.</w:t>
      </w:r>
    </w:p>
    <w:p w:rsidR="000214B6" w:rsidRDefault="008C4F57">
      <w:pPr>
        <w:spacing w:before="120"/>
        <w:ind w:firstLine="0"/>
        <w:jc w:val="left"/>
      </w:pPr>
      <w:r>
        <w:rPr>
          <w:b/>
        </w:rPr>
        <w:t>5. Дигитализацията и новите технологии като предизвикателство</w:t>
      </w:r>
    </w:p>
    <w:p w:rsidR="000214B6" w:rsidRDefault="008C4F57">
      <w:r>
        <w:t>Ди</w:t>
      </w:r>
      <w:r>
        <w:t>гиталната трансформация създава възможности за по-бързи услуги и по-малка административна тежест, но поставя нови изисквания към правната сигурност. Използването на електронни и автоматизирани системи не следва да намалява гаранциите на традиционното админ</w:t>
      </w:r>
      <w:r>
        <w:t>истративно производство. Гражданинът трябва да може да установи кой носи отговорност за решението, на какво основание е постановено и как може да бъде оспорено.</w:t>
      </w:r>
    </w:p>
    <w:p w:rsidR="000214B6" w:rsidRDefault="008C4F57">
      <w:r>
        <w:lastRenderedPageBreak/>
        <w:t>Регламент (ЕС) 2024/1689 за изкуствения интелект възприема основан на риска подход и установява</w:t>
      </w:r>
      <w:r>
        <w:t xml:space="preserve"> за високорисковите системи изисквания за управление на риска, техническа документация, прозрачност, точност и човешки надзор [15]. Венецианската комисия допълва, че при използване на AI от публични органи правната сигурност изисква гражданите да могат да </w:t>
      </w:r>
      <w:r>
        <w:t>предвидят начина на прилагане на правото, а системите да отговарят на изисквания за надеждност, киберсигурност и прозрачност [10].</w:t>
      </w:r>
    </w:p>
    <w:p w:rsidR="000214B6" w:rsidRDefault="008C4F57">
      <w:r>
        <w:t>Дигитализацията не бива да превръща технологичната компетентност в предварително условие за упражняване на права. Необходим е</w:t>
      </w:r>
      <w:r>
        <w:t xml:space="preserve"> баланс между технологична ефективност и достъпност, включително за лица, които обективно срещат затруднения при използването на електронни средства.</w:t>
      </w:r>
    </w:p>
    <w:p w:rsidR="000214B6" w:rsidRDefault="008C4F57">
      <w:pPr>
        <w:spacing w:before="120"/>
        <w:ind w:firstLine="0"/>
        <w:jc w:val="left"/>
      </w:pPr>
      <w:r>
        <w:rPr>
          <w:b/>
        </w:rPr>
        <w:t>6. Ролята на държавните институции и общественото доверие</w:t>
      </w:r>
    </w:p>
    <w:p w:rsidR="000214B6" w:rsidRDefault="008C4F57">
      <w:r>
        <w:t>Правната сигурност се реализира чрез институциит</w:t>
      </w:r>
      <w:r>
        <w:t>е, които прилагат правото. За гражданите правовата държава придобива конкретно измерение при взаимодействието с администрацията и правораздавателните органи. Затова последователността, прозрачността и ефективността на институционалната дейност са предпоста</w:t>
      </w:r>
      <w:r>
        <w:t>вки за възприемането на правния ред като предвидим.</w:t>
      </w:r>
    </w:p>
    <w:p w:rsidR="000214B6" w:rsidRDefault="008C4F57">
      <w:r>
        <w:t>Общественото доверие не е самостоятелен правен принцип, а резултат и показател за качеството на институционалното функциониране. В ProtectEU – Европейската стратегия за вътрешна сигурност от 2025 г. – сиг</w:t>
      </w:r>
      <w:r>
        <w:t>урността се разглежда като обща задача, която следва да бъде интегрирана в различните политики и да се основава на цялостен обществен подход [16]. В този смисъл устойчивите институции са връзката между правната сигурност и способността на държавата да реаг</w:t>
      </w:r>
      <w:r>
        <w:t>ира на съвременни заплахи, без да се отклонява от принципите на правовия ред.</w:t>
      </w:r>
    </w:p>
    <w:p w:rsidR="000214B6" w:rsidRDefault="008C4F57">
      <w:pPr>
        <w:spacing w:before="120"/>
        <w:ind w:firstLine="0"/>
        <w:jc w:val="left"/>
      </w:pPr>
      <w:r>
        <w:rPr>
          <w:b/>
        </w:rPr>
        <w:t>7. Насоки за укрепване на правната сигурност в контекста на националната сигурност</w:t>
      </w:r>
    </w:p>
    <w:p w:rsidR="000214B6" w:rsidRDefault="008C4F57">
      <w:r>
        <w:t>Укрепването на правната сигурност изисква комплексен подход. На първо място, законодателният пр</w:t>
      </w:r>
      <w:r>
        <w:t>оцес трябва да поставя реален акцент върху предвидимостта, оценката на въздействието, обществените консултации и подходящите преходни режими. На второ място, необходимо е последователно и разбираемо правоприлагане, при което различното разрешение на сходни</w:t>
      </w:r>
      <w:r>
        <w:t xml:space="preserve"> случаи е резултат от обоснована преценка, а не от липса на координация.</w:t>
      </w:r>
    </w:p>
    <w:p w:rsidR="000214B6" w:rsidRDefault="008C4F57">
      <w:r>
        <w:lastRenderedPageBreak/>
        <w:t>На трето място, достъпът до защита следва да се оценява не само формално, а според реалната възможност процедурата да бъде използвана. На четвърто място, дигиталната трансформация тря</w:t>
      </w:r>
      <w:r>
        <w:t>бва да бъде съпроводена от гаранции, съответстващи на технологичния риск – яснота за отговорността, проверимост на решението и действителен човешки контрол, когато се засягат права и законни интереси.</w:t>
      </w:r>
    </w:p>
    <w:p w:rsidR="000214B6" w:rsidRDefault="008C4F57">
      <w:r>
        <w:t>Накрая, правната сигурност може да бъде използвана като</w:t>
      </w:r>
      <w:r>
        <w:t xml:space="preserve"> хоризонтален критерий при оценката на публичните политики в областта на националната сигурност. Това не предполага създаване на нов сектор или институция, а проверка дали правната основа е ясна и предвидима, компетентностите са точно определени, съществув</w:t>
      </w:r>
      <w:r>
        <w:t>а ефективен контрол и адресатите могат разумно да предвидят последиците от прилаганите мерки. Подобен подход не препятства бързата реакция при заплаха, а увеличава нейната законосъобразност, координираност и легитимност.</w:t>
      </w:r>
    </w:p>
    <w:p w:rsidR="000214B6" w:rsidRDefault="008C4F57">
      <w:pPr>
        <w:spacing w:before="120"/>
        <w:ind w:firstLine="0"/>
        <w:jc w:val="left"/>
      </w:pPr>
      <w:r>
        <w:rPr>
          <w:b/>
        </w:rPr>
        <w:t>8. Заключение</w:t>
      </w:r>
    </w:p>
    <w:p w:rsidR="000214B6" w:rsidRDefault="008C4F57">
      <w:r>
        <w:t>Съвременното разбиран</w:t>
      </w:r>
      <w:r>
        <w:t xml:space="preserve">е за националната сигурност надхвърля традиционните измерения на отбраната и противодействието на непосредствени заплахи. Устойчивостта на държавата зависи и от способността на институциите да функционират законосъобразно, последователно и ефективно, като </w:t>
      </w:r>
      <w:r>
        <w:t>гарантират основните права.</w:t>
      </w:r>
    </w:p>
    <w:p w:rsidR="000214B6" w:rsidRDefault="008C4F57">
      <w:r>
        <w:t xml:space="preserve">Направеният анализ позволява да се защити изводът, че правната сигурност, макар да не е нормативно обособена като самостоятелен компонент на националната сигурност, представлява хоризонтална предпоставка за устойчивостта на </w:t>
      </w:r>
      <w:r>
        <w:t>нейната система. Ясното и предвидимо законодателство, последователното правоприлагане, ефективната защита и работещият институционален контрол увеличават способността на държавата да посреща съвременните рискове, без самата реакция да се превръща в източни</w:t>
      </w:r>
      <w:r>
        <w:t>к на допълнителна правна и обществена несигурност.</w:t>
      </w:r>
    </w:p>
    <w:p w:rsidR="000214B6" w:rsidRDefault="000214B6"/>
    <w:p w:rsidR="000214B6" w:rsidRDefault="008C4F57">
      <w:pPr>
        <w:spacing w:before="120"/>
        <w:ind w:firstLine="0"/>
        <w:jc w:val="left"/>
      </w:pPr>
      <w:r>
        <w:rPr>
          <w:b/>
        </w:rPr>
        <w:t>БЕЛЕЖКИ:</w:t>
      </w:r>
    </w:p>
    <w:p w:rsidR="000214B6" w:rsidRDefault="008C4F57">
      <w:pPr>
        <w:ind w:firstLine="0"/>
      </w:pPr>
      <w:r>
        <w:rPr>
          <w:sz w:val="24"/>
        </w:rPr>
        <w:t>[1] Актуализирана стратегия за национална сигурност на Република България, приета с Решение на Народното събрание от 14.03.2018 г., обн. ДВ, бр. 26 от 23.03.2018 г., с. 1–3, т. 1–17.</w:t>
      </w:r>
    </w:p>
    <w:p w:rsidR="000214B6" w:rsidRDefault="008C4F57">
      <w:pPr>
        <w:ind w:firstLine="0"/>
      </w:pPr>
      <w:r>
        <w:rPr>
          <w:sz w:val="24"/>
        </w:rPr>
        <w:t>[2] EUROPEAN</w:t>
      </w:r>
      <w:r>
        <w:rPr>
          <w:sz w:val="24"/>
        </w:rPr>
        <w:t xml:space="preserve"> COMMISSION FOR DEMOCRACY THROUGH LAW (VENICE COMMISSION). The Updated Rule of Law Checklist, CDL-AD(2025)002. Strasbourg, 16.12.2025, pp. 17–19, paras. 47–53; pp. 22–23, paras. 62–64.</w:t>
      </w:r>
    </w:p>
    <w:p w:rsidR="000214B6" w:rsidRDefault="008C4F57">
      <w:pPr>
        <w:ind w:firstLine="0"/>
      </w:pPr>
      <w:r>
        <w:rPr>
          <w:sz w:val="24"/>
        </w:rPr>
        <w:t>[3] Конституционен съд на Република България. Решение № 1 от 27.01.2005</w:t>
      </w:r>
      <w:r>
        <w:rPr>
          <w:sz w:val="24"/>
        </w:rPr>
        <w:t xml:space="preserve"> г. по к.д. № 8/2004 г., мотиви относно съдържанието на принципа на правовата държава.</w:t>
      </w:r>
    </w:p>
    <w:p w:rsidR="000214B6" w:rsidRDefault="008C4F57">
      <w:pPr>
        <w:ind w:firstLine="0"/>
      </w:pPr>
      <w:r>
        <w:rPr>
          <w:sz w:val="24"/>
        </w:rPr>
        <w:t>[4] Конституционен съд на Република България. Решение № 10 от 15.11.2022 г. по к.д. № 13/2022 г., мотиви относно правната сигурност на законодателните решения.</w:t>
      </w:r>
    </w:p>
    <w:p w:rsidR="000214B6" w:rsidRDefault="008C4F57">
      <w:pPr>
        <w:ind w:firstLine="0"/>
      </w:pPr>
      <w:r>
        <w:rPr>
          <w:sz w:val="24"/>
        </w:rPr>
        <w:lastRenderedPageBreak/>
        <w:t>[5] Конст</w:t>
      </w:r>
      <w:r>
        <w:rPr>
          <w:sz w:val="24"/>
        </w:rPr>
        <w:t>итуционен съд на Република България. Решение № 3 от 23.02.2017 г. по к.д. № 11/2016 г., мотиви относно предвидимостта на държавното управление и правната сигурност.</w:t>
      </w:r>
    </w:p>
    <w:p w:rsidR="000214B6" w:rsidRDefault="008C4F57">
      <w:pPr>
        <w:ind w:firstLine="0"/>
      </w:pPr>
      <w:r>
        <w:rPr>
          <w:sz w:val="24"/>
        </w:rPr>
        <w:t>[6] Конституционен съд на Република България. Решение № 8 от 27.06.2017 г. по к.д. № 1/2017</w:t>
      </w:r>
      <w:r>
        <w:rPr>
          <w:sz w:val="24"/>
        </w:rPr>
        <w:t xml:space="preserve"> г., мотиви относно защитата на оправданите правни очаквания.</w:t>
      </w:r>
    </w:p>
    <w:p w:rsidR="000214B6" w:rsidRDefault="008C4F57">
      <w:pPr>
        <w:ind w:firstLine="0"/>
      </w:pPr>
      <w:r>
        <w:rPr>
          <w:sz w:val="24"/>
        </w:rPr>
        <w:t>[7] Пак там, мотиви относно правовата държава във формален смисъл и изискванията за яснота, точност и непротиворечивост на законовите разпоредби.</w:t>
      </w:r>
    </w:p>
    <w:p w:rsidR="000214B6" w:rsidRDefault="008C4F57">
      <w:pPr>
        <w:ind w:firstLine="0"/>
      </w:pPr>
      <w:r>
        <w:rPr>
          <w:sz w:val="24"/>
        </w:rPr>
        <w:t>[8] EUROPEAN COMMISSION. What is the rule of law</w:t>
      </w:r>
      <w:r>
        <w:rPr>
          <w:sz w:val="24"/>
        </w:rPr>
        <w:t>? Раздел „Legal certainty“.</w:t>
      </w:r>
    </w:p>
    <w:p w:rsidR="000214B6" w:rsidRDefault="008C4F57">
      <w:pPr>
        <w:ind w:firstLine="0"/>
      </w:pPr>
      <w:r>
        <w:rPr>
          <w:sz w:val="24"/>
        </w:rPr>
        <w:t>[9] Актуализирана стратегия за национална сигурност на Република България, цит. съч., с. 1–3, т. 3, 10–17.</w:t>
      </w:r>
    </w:p>
    <w:p w:rsidR="000214B6" w:rsidRDefault="008C4F57">
      <w:pPr>
        <w:ind w:firstLine="0"/>
      </w:pPr>
      <w:r>
        <w:rPr>
          <w:sz w:val="24"/>
        </w:rPr>
        <w:t>[10] VENICE COMMISSION. The Updated Rule of Law Checklist, цит. съч., p. 4, paras. 13–14; pp. 22–23, paras. 62–64.</w:t>
      </w:r>
    </w:p>
    <w:p w:rsidR="000214B6" w:rsidRDefault="008C4F57">
      <w:pPr>
        <w:ind w:firstLine="0"/>
      </w:pPr>
      <w:r>
        <w:rPr>
          <w:sz w:val="24"/>
        </w:rPr>
        <w:t>[11] К</w:t>
      </w:r>
      <w:r>
        <w:rPr>
          <w:sz w:val="24"/>
        </w:rPr>
        <w:t>онституционен съд на Република България. Решение № 10 от 15.11.2022 г. по к.д. № 13/2022 г., мотиви; вж. и цитираната там предходна конституционна практика.</w:t>
      </w:r>
    </w:p>
    <w:p w:rsidR="000214B6" w:rsidRDefault="008C4F57">
      <w:pPr>
        <w:ind w:firstLine="0"/>
      </w:pPr>
      <w:r>
        <w:rPr>
          <w:sz w:val="24"/>
        </w:rPr>
        <w:t>[12] Закон за нормативните актове, чл. 26, ал. 1–4; чл. 18а и сл.</w:t>
      </w:r>
    </w:p>
    <w:p w:rsidR="000214B6" w:rsidRDefault="008C4F57">
      <w:pPr>
        <w:ind w:firstLine="0"/>
      </w:pPr>
      <w:r>
        <w:rPr>
          <w:sz w:val="24"/>
        </w:rPr>
        <w:t>[13] Конституция на Република Бъл</w:t>
      </w:r>
      <w:r>
        <w:rPr>
          <w:sz w:val="24"/>
        </w:rPr>
        <w:t>гария, чл. 120, ал. 2.</w:t>
      </w:r>
    </w:p>
    <w:p w:rsidR="000214B6" w:rsidRDefault="008C4F57">
      <w:pPr>
        <w:ind w:firstLine="0"/>
      </w:pPr>
      <w:r>
        <w:rPr>
          <w:sz w:val="24"/>
        </w:rPr>
        <w:t>[14] Европейска конвенция за защита на правата на човека и основните свободи, чл. 13; Харта на основните права на Европейския съюз, чл. 47.</w:t>
      </w:r>
    </w:p>
    <w:p w:rsidR="000214B6" w:rsidRDefault="008C4F57">
      <w:pPr>
        <w:ind w:firstLine="0"/>
      </w:pPr>
      <w:r>
        <w:rPr>
          <w:sz w:val="24"/>
        </w:rPr>
        <w:t>[15] Регламент (ЕС) 2024/1689 на Европейския парламент и на Съвета от 13.06.2024 г. за устано</w:t>
      </w:r>
      <w:r>
        <w:rPr>
          <w:sz w:val="24"/>
        </w:rPr>
        <w:t>вяване на хармонизирани правила относно изкуствения интелект, по-специално чл. 9, 11–15.</w:t>
      </w:r>
    </w:p>
    <w:p w:rsidR="000214B6" w:rsidRDefault="008C4F57">
      <w:pPr>
        <w:ind w:firstLine="0"/>
      </w:pPr>
      <w:r>
        <w:rPr>
          <w:sz w:val="24"/>
        </w:rPr>
        <w:t>[16] EUROPEAN COMMISSION. ProtectEU: a European Internal Security Strategy. COM(2025) 148 final, 01.04.2025, sections 1–2 and 8.</w:t>
      </w:r>
    </w:p>
    <w:p w:rsidR="000214B6" w:rsidRDefault="000214B6"/>
    <w:p w:rsidR="000214B6" w:rsidRDefault="008C4F57">
      <w:pPr>
        <w:spacing w:before="120"/>
        <w:ind w:firstLine="0"/>
        <w:jc w:val="left"/>
      </w:pPr>
      <w:r>
        <w:rPr>
          <w:b/>
        </w:rPr>
        <w:t>ЛИТЕРАТУРА:</w:t>
      </w:r>
    </w:p>
    <w:p w:rsidR="000214B6" w:rsidRDefault="008C4F57">
      <w:pPr>
        <w:ind w:firstLine="0"/>
      </w:pPr>
      <w:r>
        <w:rPr>
          <w:sz w:val="24"/>
        </w:rPr>
        <w:t>1. Актуализирана стратеги</w:t>
      </w:r>
      <w:r>
        <w:rPr>
          <w:sz w:val="24"/>
        </w:rPr>
        <w:t>я за национална сигурност на Република България. Приета с Решение на Народното събрание от 14.03.2018 г., обн. ДВ, бр. 26 от 23.03.2018 г.</w:t>
      </w:r>
    </w:p>
    <w:p w:rsidR="000214B6" w:rsidRDefault="008C4F57">
      <w:pPr>
        <w:ind w:firstLine="0"/>
      </w:pPr>
      <w:r>
        <w:rPr>
          <w:sz w:val="24"/>
        </w:rPr>
        <w:t>2. Закон за нормативните актове. Обн. ДВ, бр. 27 от 03.04.1973 г., посл. изм. и доп.</w:t>
      </w:r>
    </w:p>
    <w:p w:rsidR="000214B6" w:rsidRDefault="008C4F57">
      <w:pPr>
        <w:ind w:firstLine="0"/>
      </w:pPr>
      <w:r>
        <w:rPr>
          <w:sz w:val="24"/>
        </w:rPr>
        <w:t>3. Конституция на Република Бълг</w:t>
      </w:r>
      <w:r>
        <w:rPr>
          <w:sz w:val="24"/>
        </w:rPr>
        <w:t>ария. Обн. ДВ, бр. 56 от 13.07.1991 г., посл. изм. и доп.</w:t>
      </w:r>
    </w:p>
    <w:p w:rsidR="000214B6" w:rsidRDefault="008C4F57">
      <w:pPr>
        <w:ind w:firstLine="0"/>
      </w:pPr>
      <w:r>
        <w:rPr>
          <w:sz w:val="24"/>
        </w:rPr>
        <w:t>4. Конституционен съд на Република България. Решение № 1 от 27.01.2005 г. по к.д. № 8/2004 г.</w:t>
      </w:r>
    </w:p>
    <w:p w:rsidR="000214B6" w:rsidRDefault="008C4F57">
      <w:pPr>
        <w:ind w:firstLine="0"/>
      </w:pPr>
      <w:r>
        <w:rPr>
          <w:sz w:val="24"/>
        </w:rPr>
        <w:t>5. Конституционен съд на Република България. Решение № 3 от 23.02.2017 г. по к.д. № 11/2016 г.</w:t>
      </w:r>
    </w:p>
    <w:p w:rsidR="000214B6" w:rsidRDefault="008C4F57">
      <w:pPr>
        <w:ind w:firstLine="0"/>
      </w:pPr>
      <w:r>
        <w:rPr>
          <w:sz w:val="24"/>
        </w:rPr>
        <w:t>6. Консти</w:t>
      </w:r>
      <w:r>
        <w:rPr>
          <w:sz w:val="24"/>
        </w:rPr>
        <w:t>туционен съд на Република България. Решение № 8 от 27.06.2017 г. по к.д. № 1/2017 г.</w:t>
      </w:r>
    </w:p>
    <w:p w:rsidR="000214B6" w:rsidRDefault="008C4F57">
      <w:pPr>
        <w:ind w:firstLine="0"/>
      </w:pPr>
      <w:r>
        <w:rPr>
          <w:sz w:val="24"/>
        </w:rPr>
        <w:t>7. Конституционен съд на Република България. Решение № 10 от 15.11.2022 г. по к.д. № 13/2022 г.</w:t>
      </w:r>
    </w:p>
    <w:p w:rsidR="000214B6" w:rsidRDefault="008C4F57">
      <w:pPr>
        <w:ind w:firstLine="0"/>
      </w:pPr>
      <w:r>
        <w:rPr>
          <w:sz w:val="24"/>
        </w:rPr>
        <w:t xml:space="preserve">8. EUROPEAN COMMISSION. ProtectEU: a European Internal Security Strategy. </w:t>
      </w:r>
      <w:r>
        <w:rPr>
          <w:sz w:val="24"/>
        </w:rPr>
        <w:t>COM(2025) 148 final. Strasbourg, 1 April 2025.</w:t>
      </w:r>
    </w:p>
    <w:p w:rsidR="000214B6" w:rsidRDefault="008C4F57">
      <w:pPr>
        <w:ind w:firstLine="0"/>
      </w:pPr>
      <w:r>
        <w:rPr>
          <w:sz w:val="24"/>
        </w:rPr>
        <w:t>9. EUROPEAN COMMISSION. What is the rule of law? Online resource. [viewed 2026-08-10].</w:t>
      </w:r>
    </w:p>
    <w:p w:rsidR="000214B6" w:rsidRDefault="008C4F57">
      <w:pPr>
        <w:ind w:firstLine="0"/>
      </w:pPr>
      <w:r>
        <w:rPr>
          <w:sz w:val="24"/>
        </w:rPr>
        <w:t>10. EUROPEAN COMMISSION FOR DEMOCRACY THROUGH LAW (VENICE COMMISSION). The Updated Rule of Law Checklist. CDL-AD(2025)002.</w:t>
      </w:r>
      <w:r>
        <w:rPr>
          <w:sz w:val="24"/>
        </w:rPr>
        <w:t xml:space="preserve"> Strasbourg: Council of Europe, 2025.</w:t>
      </w:r>
    </w:p>
    <w:p w:rsidR="000214B6" w:rsidRDefault="008C4F57">
      <w:pPr>
        <w:ind w:firstLine="0"/>
      </w:pPr>
      <w:r>
        <w:rPr>
          <w:sz w:val="24"/>
        </w:rPr>
        <w:lastRenderedPageBreak/>
        <w:t>11. EUROPEAN UNION. Charter of Fundamental Rights of the European Union. OJ C 202, 7.6.2016.</w:t>
      </w:r>
    </w:p>
    <w:p w:rsidR="000214B6" w:rsidRDefault="008C4F57">
      <w:pPr>
        <w:ind w:firstLine="0"/>
      </w:pPr>
      <w:r>
        <w:rPr>
          <w:sz w:val="24"/>
        </w:rPr>
        <w:t>12. EUROPEAN UNION. Regulation (EU) 2024/1689 of the European Parliament and of the Council of 13 June 2024 laying down harmo</w:t>
      </w:r>
      <w:r>
        <w:rPr>
          <w:sz w:val="24"/>
        </w:rPr>
        <w:t>nised rules on artificial intelligence. OJ L, 2024/1689, 12.7.2024.</w:t>
      </w:r>
    </w:p>
    <w:p w:rsidR="000214B6" w:rsidRDefault="008C4F57">
      <w:pPr>
        <w:ind w:firstLine="0"/>
      </w:pPr>
      <w:r>
        <w:rPr>
          <w:sz w:val="24"/>
        </w:rPr>
        <w:t>13. COUNCIL OF EUROPE. Convention for the Protection of Human Rights and Fundamental Freedoms. Rome, 4 November 1950.</w:t>
      </w:r>
    </w:p>
    <w:p w:rsidR="000214B6" w:rsidRDefault="000214B6"/>
    <w:p w:rsidR="000214B6" w:rsidRDefault="008C4F57">
      <w:pPr>
        <w:ind w:firstLine="0"/>
      </w:pPr>
      <w:proofErr w:type="spellStart"/>
      <w:r>
        <w:rPr>
          <w:i/>
          <w:sz w:val="24"/>
        </w:rPr>
        <w:t>Адрес</w:t>
      </w:r>
      <w:proofErr w:type="spellEnd"/>
      <w:r>
        <w:rPr>
          <w:i/>
          <w:sz w:val="24"/>
        </w:rPr>
        <w:t xml:space="preserve"> </w:t>
      </w:r>
      <w:proofErr w:type="spellStart"/>
      <w:r>
        <w:rPr>
          <w:i/>
          <w:sz w:val="24"/>
        </w:rPr>
        <w:t>за</w:t>
      </w:r>
      <w:proofErr w:type="spellEnd"/>
      <w:r>
        <w:rPr>
          <w:i/>
          <w:sz w:val="24"/>
        </w:rPr>
        <w:t xml:space="preserve"> </w:t>
      </w:r>
      <w:proofErr w:type="spellStart"/>
      <w:r>
        <w:rPr>
          <w:i/>
          <w:sz w:val="24"/>
        </w:rPr>
        <w:t>кореспонденция</w:t>
      </w:r>
      <w:proofErr w:type="spellEnd"/>
      <w:r>
        <w:rPr>
          <w:i/>
          <w:sz w:val="24"/>
        </w:rPr>
        <w:t xml:space="preserve">: </w:t>
      </w:r>
      <w:proofErr w:type="spellStart"/>
      <w:r>
        <w:rPr>
          <w:i/>
          <w:sz w:val="24"/>
        </w:rPr>
        <w:t>Кремена</w:t>
      </w:r>
      <w:proofErr w:type="spellEnd"/>
      <w:r>
        <w:rPr>
          <w:i/>
          <w:sz w:val="24"/>
        </w:rPr>
        <w:t xml:space="preserve"> </w:t>
      </w:r>
      <w:proofErr w:type="spellStart"/>
      <w:r>
        <w:rPr>
          <w:i/>
          <w:sz w:val="24"/>
        </w:rPr>
        <w:t>Крумова</w:t>
      </w:r>
      <w:proofErr w:type="spellEnd"/>
      <w:r>
        <w:rPr>
          <w:i/>
          <w:sz w:val="24"/>
        </w:rPr>
        <w:t xml:space="preserve"> </w:t>
      </w:r>
      <w:proofErr w:type="spellStart"/>
      <w:r>
        <w:rPr>
          <w:i/>
          <w:sz w:val="24"/>
        </w:rPr>
        <w:t>Славова</w:t>
      </w:r>
      <w:proofErr w:type="spellEnd"/>
      <w:r>
        <w:rPr>
          <w:i/>
          <w:sz w:val="24"/>
        </w:rPr>
        <w:t xml:space="preserve">; </w:t>
      </w:r>
      <w:r>
        <w:rPr>
          <w:i/>
          <w:sz w:val="24"/>
          <w:lang w:val="bg-BG"/>
        </w:rPr>
        <w:t>Адвокатска колегия - Русе</w:t>
      </w:r>
      <w:r>
        <w:rPr>
          <w:i/>
          <w:sz w:val="24"/>
        </w:rPr>
        <w:t xml:space="preserve">; </w:t>
      </w:r>
      <w:r>
        <w:rPr>
          <w:i/>
          <w:sz w:val="24"/>
          <w:lang w:val="bg-BG"/>
        </w:rPr>
        <w:t xml:space="preserve">п. к. 7100, гр. Бяла, </w:t>
      </w:r>
      <w:proofErr w:type="spellStart"/>
      <w:r>
        <w:rPr>
          <w:i/>
          <w:sz w:val="24"/>
          <w:lang w:val="bg-BG"/>
        </w:rPr>
        <w:t>обл</w:t>
      </w:r>
      <w:proofErr w:type="spellEnd"/>
      <w:r>
        <w:rPr>
          <w:i/>
          <w:sz w:val="24"/>
          <w:lang w:val="bg-BG"/>
        </w:rPr>
        <w:t xml:space="preserve">. Русе, ул. „Цар </w:t>
      </w:r>
      <w:proofErr w:type="gramStart"/>
      <w:r>
        <w:rPr>
          <w:i/>
          <w:sz w:val="24"/>
          <w:lang w:val="bg-BG"/>
        </w:rPr>
        <w:t>Освободител“ №</w:t>
      </w:r>
      <w:proofErr w:type="gramEnd"/>
      <w:r>
        <w:rPr>
          <w:i/>
          <w:sz w:val="24"/>
          <w:lang w:val="bg-BG"/>
        </w:rPr>
        <w:t xml:space="preserve"> 19</w:t>
      </w:r>
      <w:r>
        <w:rPr>
          <w:i/>
          <w:sz w:val="24"/>
        </w:rPr>
        <w:t xml:space="preserve">; </w:t>
      </w:r>
      <w:proofErr w:type="spellStart"/>
      <w:r>
        <w:rPr>
          <w:i/>
          <w:sz w:val="24"/>
        </w:rPr>
        <w:t>тел</w:t>
      </w:r>
      <w:proofErr w:type="spellEnd"/>
      <w:r>
        <w:rPr>
          <w:i/>
          <w:sz w:val="24"/>
        </w:rPr>
        <w:t xml:space="preserve">.: </w:t>
      </w:r>
      <w:r>
        <w:rPr>
          <w:i/>
          <w:sz w:val="24"/>
          <w:lang w:val="bg-BG"/>
        </w:rPr>
        <w:t>0087361225</w:t>
      </w:r>
      <w:r>
        <w:rPr>
          <w:i/>
          <w:sz w:val="24"/>
        </w:rPr>
        <w:t>; e-mail: k_slavova74@abv.bg</w:t>
      </w:r>
    </w:p>
    <w:sectPr w:rsidR="000214B6"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14B6"/>
    <w:rsid w:val="00034616"/>
    <w:rsid w:val="0006063C"/>
    <w:rsid w:val="0015074B"/>
    <w:rsid w:val="0029639D"/>
    <w:rsid w:val="00326F90"/>
    <w:rsid w:val="008C4F57"/>
    <w:rsid w:val="008F75B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1F57CC"/>
  <w14:defaultImageDpi w14:val="300"/>
  <w15:docId w15:val="{5C2C7118-0A03-4704-BC92-73AB0044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0E401-F81B-4075-87D2-F393D9EA6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2497</Words>
  <Characters>14236</Characters>
  <Application>Microsoft Office Word</Application>
  <DocSecurity>0</DocSecurity>
  <Lines>118</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user01</cp:lastModifiedBy>
  <cp:revision>3</cp:revision>
  <dcterms:created xsi:type="dcterms:W3CDTF">2026-08-10T05:44:00Z</dcterms:created>
  <dcterms:modified xsi:type="dcterms:W3CDTF">2026-08-10T05:48:00Z</dcterms:modified>
  <cp:category/>
</cp:coreProperties>
</file>