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2B5" w:rsidRDefault="00710FA6">
      <w:pPr>
        <w:jc w:val="center"/>
      </w:pPr>
      <w:bookmarkStart w:id="0" w:name="_GoBack"/>
      <w:r>
        <w:rPr>
          <w:b/>
          <w:sz w:val="32"/>
        </w:rPr>
        <w:t xml:space="preserve">6G TECHNOLOGY FOR MILITARY COMMUNICATIONS </w:t>
      </w:r>
      <w:bookmarkEnd w:id="0"/>
    </w:p>
    <w:p w:rsidR="00E932B5" w:rsidRDefault="00E932B5">
      <w:pPr>
        <w:jc w:val="both"/>
      </w:pPr>
    </w:p>
    <w:p w:rsidR="00E932B5" w:rsidRDefault="00710FA6">
      <w:pPr>
        <w:jc w:val="center"/>
      </w:pPr>
      <w:r>
        <w:rPr>
          <w:b/>
          <w:sz w:val="32"/>
        </w:rPr>
        <w:t>Ivan Ivanov</w:t>
      </w:r>
    </w:p>
    <w:p w:rsidR="00E932B5" w:rsidRDefault="00E932B5">
      <w:pPr>
        <w:jc w:val="both"/>
      </w:pPr>
    </w:p>
    <w:p w:rsidR="00E932B5" w:rsidRDefault="00E932B5">
      <w:pPr>
        <w:jc w:val="both"/>
      </w:pPr>
    </w:p>
    <w:p w:rsidR="00E932B5" w:rsidRDefault="00710FA6">
      <w:pPr>
        <w:jc w:val="both"/>
      </w:pPr>
      <w:r>
        <w:rPr>
          <w:i/>
          <w:sz w:val="24"/>
        </w:rPr>
        <w:t>Abstract: Sixth-generation mobile technology (6G, IMT-2030) is expected to integrate communication, sensing, artificial intelligence, edge computing, non-terrestrial networks and advanced</w:t>
      </w:r>
      <w:r>
        <w:rPr>
          <w:i/>
          <w:sz w:val="24"/>
        </w:rPr>
        <w:t xml:space="preserve"> security into a unified network environment. The paper presents the six official IMT-2030 usage scenarios and their enabling technologies, and analyses where 6G can enter military use — from as-is employment in bases and deployed camps to component-wise i</w:t>
      </w:r>
      <w:r>
        <w:rPr>
          <w:i/>
          <w:sz w:val="24"/>
        </w:rPr>
        <w:t>ntegration of its technologies at the tactical edge.</w:t>
      </w:r>
    </w:p>
    <w:p w:rsidR="00E932B5" w:rsidRDefault="00E932B5">
      <w:pPr>
        <w:jc w:val="both"/>
      </w:pPr>
    </w:p>
    <w:p w:rsidR="00E932B5" w:rsidRDefault="00710FA6">
      <w:pPr>
        <w:jc w:val="both"/>
      </w:pPr>
      <w:r>
        <w:rPr>
          <w:i/>
          <w:sz w:val="24"/>
        </w:rPr>
        <w:t>Keywords: 6G, IMT-2030, military communications, integrated sensing and communication, non-terrestrial networks.</w:t>
      </w:r>
    </w:p>
    <w:p w:rsidR="00E932B5" w:rsidRDefault="00E932B5">
      <w:pPr>
        <w:jc w:val="both"/>
      </w:pPr>
    </w:p>
    <w:p w:rsidR="00E932B5" w:rsidRDefault="00E932B5">
      <w:pPr>
        <w:jc w:val="both"/>
      </w:pPr>
    </w:p>
    <w:p w:rsidR="00E932B5" w:rsidRDefault="00710FA6">
      <w:pPr>
        <w:spacing w:before="120" w:after="40"/>
        <w:jc w:val="center"/>
      </w:pPr>
      <w:r>
        <w:rPr>
          <w:b/>
        </w:rPr>
        <w:t>I. Introduction</w:t>
      </w:r>
    </w:p>
    <w:p w:rsidR="00E932B5" w:rsidRDefault="00710FA6">
      <w:pPr>
        <w:ind w:firstLine="709"/>
        <w:jc w:val="both"/>
      </w:pPr>
      <w:r>
        <w:t>Military operations are becoming increasingly dependent on the rapid, s</w:t>
      </w:r>
      <w:r>
        <w:t>ecure, and reliable exchange of information. Modern forces must coordinate activities across land, air, sea, space, and cyberspace while operating in contested, congested, and degraded electromagnetic environments [8]. Communication systems are no longer u</w:t>
      </w:r>
      <w:r>
        <w:t>sed only to transmit voice and data; they increasingly support situational awareness, autonomous control, sensor fusion, cyber defence, logistics, targeting, and command decision support.</w:t>
      </w:r>
    </w:p>
    <w:p w:rsidR="00E932B5" w:rsidRDefault="00710FA6">
      <w:pPr>
        <w:ind w:firstLine="709"/>
        <w:jc w:val="both"/>
      </w:pPr>
      <w:r>
        <w:t>The fifth generation of mobile communication introduced enhanced mob</w:t>
      </w:r>
      <w:r>
        <w:t>ile broadband, low-latency communication, massive machine-type connectivity, network slicing, and multi-access edge computing, and its military use cases, the gaps against defence requirements and the initiatives that address them have been examined separa</w:t>
      </w:r>
      <w:r>
        <w:t>tely [7]. The transition toward 6G offers an opportunity to extend the role of mobile communications beyond data transport. Unlike previous generations, 6G is expected to integrate communication, sensing, computing, artificial intelligence, security, and n</w:t>
      </w:r>
      <w:r>
        <w:t>on-terrestrial connectivity into a single system concept — characteristics highly relevant to future military systems relying on distributed sensors, autonomous platforms, tactical edge computing, and real-time decision support.</w:t>
      </w:r>
    </w:p>
    <w:p w:rsidR="00E932B5" w:rsidRDefault="00710FA6">
      <w:pPr>
        <w:ind w:firstLine="709"/>
        <w:jc w:val="both"/>
      </w:pPr>
      <w:r>
        <w:t>The defence relevance of 6G</w:t>
      </w:r>
      <w:r>
        <w:t xml:space="preserve"> is being examined actively and from several sides: national perspectives on military communications in the 6G era [13] and reviews of 5G and 6G applications in the military environment [10]; surveys of the enabling technologies and the applications derive</w:t>
      </w:r>
      <w:r>
        <w:t>d from them [9]; cybersecurity and resilience of tactical networks [14], [15], alongside the assessment of emerging and disruptive technologies for NATO operations [12]; and test environments that move the topic from concept toward experimentation — the NA</w:t>
      </w:r>
      <w:r>
        <w:t xml:space="preserve">TO DIANA network with the 6G Test Centre Finland [11] and the VTT DIANA 6G Technology Centre [16]. The literature thus indicates that 6G should be analyzed not only as a commercial mobile generation, but also as a </w:t>
      </w:r>
      <w:r>
        <w:lastRenderedPageBreak/>
        <w:t>potential defence system-of-systems techno</w:t>
      </w:r>
      <w:r>
        <w:t>logy, which motivates the technology-driven approach adopted in this paper.</w:t>
      </w:r>
    </w:p>
    <w:p w:rsidR="00E932B5" w:rsidRDefault="00710FA6">
      <w:pPr>
        <w:ind w:firstLine="709"/>
        <w:jc w:val="both"/>
      </w:pPr>
      <w:r>
        <w:t>The objective of the paper is to provide a structured analysis of possible 6G applications for military communication: it takes the official International Mobile Telecommunications</w:t>
      </w:r>
      <w:r>
        <w:t xml:space="preserve"> for 2030 (IMT-2030) usage scenarios and the enabling technologies behind them as the starting point and examines the military employment contexts in which they can enter use — an approach appropriate while 6G is still in the research and early standardiza</w:t>
      </w:r>
      <w:r>
        <w:t>tion phase.</w:t>
      </w:r>
    </w:p>
    <w:p w:rsidR="00E932B5" w:rsidRDefault="00710FA6">
      <w:pPr>
        <w:spacing w:before="120" w:after="40"/>
        <w:jc w:val="center"/>
      </w:pPr>
      <w:r>
        <w:rPr>
          <w:b/>
        </w:rPr>
        <w:t>II. 6G as IMT-2030: Usage Scenarios and Enabling Technologies</w:t>
      </w:r>
    </w:p>
    <w:p w:rsidR="00E932B5" w:rsidRDefault="00710FA6">
      <w:pPr>
        <w:ind w:firstLine="709"/>
        <w:jc w:val="both"/>
      </w:pPr>
      <w:r>
        <w:t>6G is expected to correspond to the IMT-2030 framework developed within the International Telecommunication Union Radiocommunication Sector (ITU-R). The current reference document fo</w:t>
      </w:r>
      <w:r>
        <w:t>r this vision is Recommendation ITU-R M.2160-0, which defines the framework and overall objectives for the future development of International Mobile Telecommunications for 2030 and beyond [6]. According to ITU-R, IMT-2030 extends the IMT-2020 framework by</w:t>
      </w:r>
      <w:r>
        <w:t xml:space="preserve"> introducing new usage scenarios, enhanced capabilities, and broader design objectives such as sustainability, security, resilience, connecting the unconnected, and ubiquitous intelligence [5], [6].</w:t>
      </w:r>
    </w:p>
    <w:p w:rsidR="00E932B5" w:rsidRDefault="00710FA6">
      <w:pPr>
        <w:ind w:firstLine="709"/>
        <w:jc w:val="both"/>
      </w:pPr>
      <w:r>
        <w:t>At the time of writing, 6G is not a finalized radio stand</w:t>
      </w:r>
      <w:r>
        <w:t>ard. The IMT-2030 vision describes the expected capabilities and service directions, while the detailed specifications are being developed in 3GPP. Release 20 carries the 6G study work; the Release 21 timeline, approved in June 2026, places package approva</w:t>
      </w:r>
      <w:r>
        <w:t>l and the Stage-1 freeze in March 2027 and the functional freeze in December 2028, so the first normative 6G specifications belong to Release 21 [1], [2].</w:t>
      </w:r>
    </w:p>
    <w:p w:rsidR="00E932B5" w:rsidRDefault="00710FA6">
      <w:pPr>
        <w:ind w:firstLine="709"/>
        <w:jc w:val="both"/>
      </w:pPr>
      <w:r>
        <w:t>The evolution from 5G to 6G is not limited to higher data rates. 6G is expected to become a system-le</w:t>
      </w:r>
      <w:r>
        <w:t>vel architecture that combines terrestrial and non-terrestrial access, distributed computing, artificial intelligence, integrated sensing, security, and service-aware orchestration. This means that 6G should be viewed not only as a new air interface, but a</w:t>
      </w:r>
      <w:r>
        <w:t>s an integrated communication and computing environment.</w:t>
      </w:r>
    </w:p>
    <w:p w:rsidR="00E932B5" w:rsidRDefault="00710FA6">
      <w:pPr>
        <w:spacing w:before="120" w:after="40"/>
      </w:pPr>
      <w:r>
        <w:rPr>
          <w:b/>
          <w:i/>
        </w:rPr>
        <w:t>A. Usage Scenarios</w:t>
      </w:r>
    </w:p>
    <w:p w:rsidR="00E932B5" w:rsidRDefault="00710FA6">
      <w:pPr>
        <w:ind w:firstLine="709"/>
        <w:jc w:val="both"/>
      </w:pPr>
      <w:r>
        <w:t>The official IMT-2030 framework identifies six main usage scenarios [5], [6]:</w:t>
      </w:r>
    </w:p>
    <w:p w:rsidR="00E932B5" w:rsidRDefault="00710FA6">
      <w:pPr>
        <w:pStyle w:val="ListNumber"/>
        <w:jc w:val="both"/>
      </w:pPr>
      <w:r>
        <w:t>Immersive Communication;</w:t>
      </w:r>
    </w:p>
    <w:p w:rsidR="00E932B5" w:rsidRDefault="00710FA6">
      <w:pPr>
        <w:pStyle w:val="ListNumber"/>
        <w:jc w:val="both"/>
      </w:pPr>
      <w:r>
        <w:t>Hyper Reliable and Low-Latency Communication;</w:t>
      </w:r>
    </w:p>
    <w:p w:rsidR="00E932B5" w:rsidRDefault="00710FA6">
      <w:pPr>
        <w:pStyle w:val="ListNumber"/>
        <w:jc w:val="both"/>
      </w:pPr>
      <w:r>
        <w:t>Massive Communication;</w:t>
      </w:r>
    </w:p>
    <w:p w:rsidR="00E932B5" w:rsidRDefault="00710FA6">
      <w:pPr>
        <w:pStyle w:val="ListNumber"/>
        <w:jc w:val="both"/>
      </w:pPr>
      <w:r>
        <w:t>Ubiquito</w:t>
      </w:r>
      <w:r>
        <w:t>us Connectivity;</w:t>
      </w:r>
    </w:p>
    <w:p w:rsidR="00E932B5" w:rsidRDefault="00710FA6">
      <w:pPr>
        <w:pStyle w:val="ListNumber"/>
        <w:jc w:val="both"/>
      </w:pPr>
      <w:r>
        <w:t>Artificial Intelligence and Communication;</w:t>
      </w:r>
    </w:p>
    <w:p w:rsidR="00E932B5" w:rsidRDefault="00710FA6">
      <w:pPr>
        <w:pStyle w:val="ListNumber"/>
        <w:jc w:val="both"/>
      </w:pPr>
      <w:r>
        <w:t>Integrated Sensing and Communication.</w:t>
      </w:r>
    </w:p>
    <w:p w:rsidR="00E932B5" w:rsidRDefault="00710FA6">
      <w:pPr>
        <w:ind w:firstLine="709"/>
        <w:jc w:val="both"/>
      </w:pPr>
      <w:r>
        <w:t xml:space="preserve">These usage scenarios show how IMT-2030 expands the IMT-2020 concept. IMT-2020 was primarily organized around enhanced mobile broadband, ultra-reliable and </w:t>
      </w:r>
      <w:r>
        <w:t>low-latency communication, and massive machine-type communication. IMT-2030 preserves and extends these directions, while adding stronger emphasis on ubiquitous connectivity, artificial intelligence, and integrated sensing [6].</w:t>
      </w:r>
    </w:p>
    <w:p w:rsidR="00E932B5" w:rsidRDefault="00710FA6">
      <w:pPr>
        <w:ind w:firstLine="709"/>
        <w:jc w:val="both"/>
      </w:pPr>
      <w:r>
        <w:t>Immersive communication exte</w:t>
      </w:r>
      <w:r>
        <w:t xml:space="preserve">nds the enhanced mobile broadband concept of 5G. It is intended to support high-quality interaction between humans, machines, and digital environments. Typical civilian examples include extended reality, holographic communication, immersive collaboration, </w:t>
      </w:r>
      <w:r>
        <w:t>remote presence, and high-fidelity digital services.</w:t>
      </w:r>
    </w:p>
    <w:p w:rsidR="00E932B5" w:rsidRDefault="00710FA6">
      <w:pPr>
        <w:ind w:firstLine="709"/>
        <w:jc w:val="both"/>
      </w:pPr>
      <w:r>
        <w:t>Hyper reliable and low-latency communication extends the ultra-reliable low-latency communication concept of 5G. It is intended to support applications that require very high dependability and minimal de</w:t>
      </w:r>
      <w:r>
        <w:t>lay, such as industrial control, robotic systems, cooperative mobility, and critical automation.</w:t>
      </w:r>
    </w:p>
    <w:p w:rsidR="00E932B5" w:rsidRDefault="00710FA6">
      <w:pPr>
        <w:ind w:firstLine="709"/>
        <w:jc w:val="both"/>
      </w:pPr>
      <w:r>
        <w:t>Massive communication is related to the connection of very large numbers of devices, sensors, machines, and low-power nodes. It extends the massive machine-typ</w:t>
      </w:r>
      <w:r>
        <w:t>e communication concept of 5G and is expected to support more efficient, scalable, and energy-aware connectivity.</w:t>
      </w:r>
    </w:p>
    <w:p w:rsidR="00E932B5" w:rsidRDefault="00710FA6">
      <w:pPr>
        <w:ind w:firstLine="709"/>
        <w:jc w:val="both"/>
      </w:pPr>
      <w:r>
        <w:t>Ubiquitous connectivity refers to the ability to provide communication coverage across different environments, including remote regions, rural</w:t>
      </w:r>
      <w:r>
        <w:t xml:space="preserve"> areas, maritime zones, airspace, and areas without dense terrestrial infrastructure.</w:t>
      </w:r>
    </w:p>
    <w:p w:rsidR="00E932B5" w:rsidRDefault="00710FA6">
      <w:pPr>
        <w:ind w:firstLine="709"/>
        <w:jc w:val="both"/>
      </w:pPr>
      <w:r>
        <w:t xml:space="preserve">Artificial intelligence and communication is a new IMT-2030 usage scenario. It reflects the expectation that artificial intelligence (AI) will become an integral part of </w:t>
      </w:r>
      <w:r>
        <w:t>future networks. In 6G, AI may support radio resource management, beam selection, channel prediction, traffic routing, anomaly detection, energy optimization, spectrum management, and service orchestration.</w:t>
      </w:r>
    </w:p>
    <w:p w:rsidR="00E932B5" w:rsidRDefault="00710FA6">
      <w:pPr>
        <w:ind w:firstLine="709"/>
        <w:jc w:val="both"/>
      </w:pPr>
      <w:r>
        <w:t>Integrated sensing and communication is one of th</w:t>
      </w:r>
      <w:r>
        <w:t>e most distinctive 6G usage scenarios. It means that the same radio system can be used both for communication and sensing. Radio signals may support localization, movement detection, object tracking, environmental mapping, and radio-frequency awareness.</w:t>
      </w:r>
    </w:p>
    <w:p w:rsidR="00E932B5" w:rsidRDefault="00710FA6">
      <w:pPr>
        <w:spacing w:before="120" w:after="40"/>
      </w:pPr>
      <w:r>
        <w:rPr>
          <w:b/>
          <w:i/>
        </w:rPr>
        <w:t>B.</w:t>
      </w:r>
      <w:r>
        <w:rPr>
          <w:b/>
          <w:i/>
        </w:rPr>
        <w:t xml:space="preserve"> Enabling Technologies</w:t>
      </w:r>
    </w:p>
    <w:p w:rsidR="00E932B5" w:rsidRDefault="00710FA6">
      <w:pPr>
        <w:ind w:firstLine="709"/>
        <w:jc w:val="both"/>
      </w:pPr>
      <w:r>
        <w:t>Several technological enablers support the IMT-2030 vision. Sub-terahertz and terahertz communication are being studied for extremely high data rates, short-range high-capacity links, and high-resolution sensing. These frequency rang</w:t>
      </w:r>
      <w:r>
        <w:t>es also introduce technical challenges, including high path loss, atmospheric absorption, blockage, hardware complexity, and beam alignment.</w:t>
      </w:r>
    </w:p>
    <w:p w:rsidR="00E932B5" w:rsidRDefault="00710FA6">
      <w:pPr>
        <w:ind w:firstLine="709"/>
        <w:jc w:val="both"/>
      </w:pPr>
      <w:r>
        <w:t>Non-terrestrial networks are another important part of the 6G concept. They include low Earth orbit, medium Earth o</w:t>
      </w:r>
      <w:r>
        <w:t>rbit, and geostationary satellites, high-altitude platform stations, airborne nodes, and other non-ground-based access elements. Their role is to extend coverage, improve continuity of service, and integrate terrestrial and non-terrestrial connectivity.</w:t>
      </w:r>
    </w:p>
    <w:p w:rsidR="00E932B5" w:rsidRDefault="00710FA6">
      <w:pPr>
        <w:ind w:firstLine="709"/>
        <w:jc w:val="both"/>
      </w:pPr>
      <w:r>
        <w:t>Re</w:t>
      </w:r>
      <w:r>
        <w:t>configurable intelligent surfaces are engineered surfaces that can modify radio propagation by reflecting, steering, focusing, or shaping electromagnetic waves. They are studied as a possible method for improving coverage, reducing interference, supporting</w:t>
      </w:r>
      <w:r>
        <w:t xml:space="preserve"> localization, and adapting the radio environment.</w:t>
      </w:r>
    </w:p>
    <w:p w:rsidR="00E932B5" w:rsidRDefault="00710FA6">
      <w:pPr>
        <w:ind w:firstLine="709"/>
        <w:jc w:val="both"/>
      </w:pPr>
      <w:r>
        <w:t>Edge and distributed computing are also central to the 6G concept. By moving computation closer to users, devices, sensors, and access nodes, edge computing can reduce latency, reduce the need to transport</w:t>
      </w:r>
      <w:r>
        <w:t xml:space="preserve"> raw data, and support real-time processing. Artificial intelligence may use these distributed computing resources for resource management, mobility prediction, traffic routing, anomaly detection, and service orchestration.</w:t>
      </w:r>
    </w:p>
    <w:p w:rsidR="00E932B5" w:rsidRDefault="00710FA6">
      <w:pPr>
        <w:ind w:firstLine="709"/>
        <w:jc w:val="both"/>
      </w:pPr>
      <w:r>
        <w:t>Security is expected to remain a</w:t>
      </w:r>
      <w:r>
        <w:t xml:space="preserve"> fundamental component of the 6G architecture. Future systems will need strong identity management, secure network functions, protection of AI models and management interfaces, crypto-agility, and preparation for post-quantum cryptographic migration. Quant</w:t>
      </w:r>
      <w:r>
        <w:t>um key distribution may be relevant for selected high-value links, but post-quantum cryptography and flexible security architectures are expected to be more broadly applicable.</w:t>
      </w:r>
    </w:p>
    <w:p w:rsidR="00E932B5" w:rsidRDefault="00710FA6">
      <w:pPr>
        <w:ind w:firstLine="709"/>
        <w:jc w:val="both"/>
      </w:pPr>
      <w:r>
        <w:t>Thus, 6G can be understood as an emerging IMT-2030 system concept that combines</w:t>
      </w:r>
      <w:r>
        <w:t xml:space="preserve"> new usage scenarios with enabling technologies such as advanced spectrum use, non-terrestrial connectivity, edge computing, artificial intelligence, integrated sensing, reconfigurable radio environments, and advanced security.</w:t>
      </w:r>
    </w:p>
    <w:p w:rsidR="00E932B5" w:rsidRDefault="00710FA6">
      <w:pPr>
        <w:spacing w:before="120" w:after="40"/>
        <w:jc w:val="center"/>
      </w:pPr>
      <w:r>
        <w:rPr>
          <w:b/>
        </w:rPr>
        <w:t xml:space="preserve">III. Military Employment of </w:t>
      </w:r>
      <w:r>
        <w:rPr>
          <w:b/>
        </w:rPr>
        <w:t>the 6G Vision</w:t>
      </w:r>
    </w:p>
    <w:p w:rsidR="00E932B5" w:rsidRDefault="00710FA6">
      <w:pPr>
        <w:ind w:firstLine="709"/>
        <w:jc w:val="both"/>
      </w:pPr>
      <w:r>
        <w:t>6G will reach the military as a complete commercial product: a deployed network that delivers its services — the usage scenarios — by means of its enabling technologies. For the military user, the practical question is therefore not how to re</w:t>
      </w:r>
      <w:r>
        <w:t>design 6G, but where it can enter use as it is, much as a commercial excavator is employed unmodified as an excavator, for example in the construction of field camps. This section therefore analyses the military employment of 6G context by context, from th</w:t>
      </w:r>
      <w:r>
        <w:t>e most permissive environments to the most contested.</w:t>
      </w:r>
    </w:p>
    <w:p w:rsidR="00E932B5" w:rsidRDefault="00710FA6">
      <w:pPr>
        <w:ind w:firstLine="709"/>
        <w:jc w:val="both"/>
      </w:pPr>
      <w:r>
        <w:t>Two observations run through the analysis. In static and protected contexts, the 6G vision applies as a whole, and the usage scenarios transfer to the military domain almost one-to-one. As the environme</w:t>
      </w:r>
      <w:r>
        <w:t>nt becomes mobile and contested, the scenarios — service categories shaped by civilian markets — stop transferring directly, while the enabling technologies continue to be usable as generic components of larger military systems such as C4ISR architectures,</w:t>
      </w:r>
      <w:r>
        <w:t xml:space="preserve"> sensor grids, and multi-layer transport networks. The analysis culminates in Table 1, which summarizes both observations.</w:t>
      </w:r>
    </w:p>
    <w:p w:rsidR="00E932B5" w:rsidRDefault="00710FA6">
      <w:pPr>
        <w:spacing w:before="120" w:after="40"/>
      </w:pPr>
      <w:r>
        <w:rPr>
          <w:b/>
          <w:i/>
        </w:rPr>
        <w:t>A. Permanent Military Installations</w:t>
      </w:r>
    </w:p>
    <w:p w:rsidR="00E932B5" w:rsidRDefault="00710FA6">
      <w:pPr>
        <w:ind w:firstLine="709"/>
        <w:jc w:val="both"/>
      </w:pPr>
      <w:r>
        <w:t>Permanent bases, garrisons, training grounds, and logistics centres are the environment closest t</w:t>
      </w:r>
      <w:r>
        <w:t>o the civilian deployments for which 6G is designed, and the military user here is essentially a demanding enterprise customer of a private 6G network. Massive communication becomes the Internet of Military Things: monitoring of fuel, ammunition, vehicles,</w:t>
      </w:r>
      <w:r>
        <w:t xml:space="preserve"> access control, surveillance, power supply, and infrastructure condition, together with predictive maintenance of platforms and tracking of assets across the supply chain. Artificial intelligence and communication keeps this dense network self-optimizing </w:t>
      </w:r>
      <w:r>
        <w:t xml:space="preserve">and provides anomaly detection in both the radio and the cyber sense. The load is carried by energy-efficient massive radio access, edge computing for local aggregation, network slicing that separates administrative, security, and operational traffic, and </w:t>
      </w:r>
      <w:r>
        <w:t>reconfigurable intelligent surfaces that shape coverage inside hardened or underground structures.</w:t>
      </w:r>
    </w:p>
    <w:p w:rsidR="00E932B5" w:rsidRDefault="00710FA6">
      <w:pPr>
        <w:ind w:firstLine="709"/>
        <w:jc w:val="both"/>
      </w:pPr>
      <w:r>
        <w:t>Training grounds and simulation centres add the immersive dimension: extended-reality mission rehearsal, distributed training across sites, and augmented mai</w:t>
      </w:r>
      <w:r>
        <w:t>ntenance procedures, supported by local edge rendering and short-range sub-terahertz links of very high capacity. Logistics centres employ hyper reliable and low-latency communication for autonomous vehicles and handling robots inside the perimeter, with A</w:t>
      </w:r>
      <w:r>
        <w:t xml:space="preserve">I analytics above them and non-terrestrial backhaul for remote depots. Security requirements remain — secure device identity, zero-trust access, and the ability to isolate compromised devices — but they are met with the mechanisms that 6G already provides </w:t>
      </w:r>
      <w:r>
        <w:t>for critical civilian infrastructure.</w:t>
      </w:r>
    </w:p>
    <w:p w:rsidR="00E932B5" w:rsidRDefault="00710FA6">
      <w:pPr>
        <w:ind w:firstLine="709"/>
        <w:jc w:val="both"/>
      </w:pPr>
      <w:r>
        <w:t>Representative applications:</w:t>
      </w:r>
    </w:p>
    <w:p w:rsidR="00E932B5" w:rsidRDefault="00710FA6">
      <w:pPr>
        <w:pStyle w:val="ListBullet"/>
        <w:jc w:val="both"/>
      </w:pPr>
      <w:r>
        <w:t>Smart-base Internet of Military Things and perimeter security;</w:t>
      </w:r>
    </w:p>
    <w:p w:rsidR="00E932B5" w:rsidRDefault="00710FA6">
      <w:pPr>
        <w:pStyle w:val="ListBullet"/>
        <w:jc w:val="both"/>
      </w:pPr>
      <w:r>
        <w:t>Extended-reality training and mission rehearsal;</w:t>
      </w:r>
    </w:p>
    <w:p w:rsidR="00E932B5" w:rsidRDefault="00710FA6">
      <w:pPr>
        <w:pStyle w:val="ListBullet"/>
        <w:jc w:val="both"/>
      </w:pPr>
      <w:r>
        <w:t>Predictive maintenance and logistics tracking;</w:t>
      </w:r>
    </w:p>
    <w:p w:rsidR="00E932B5" w:rsidRDefault="00710FA6">
      <w:pPr>
        <w:pStyle w:val="ListBullet"/>
        <w:jc w:val="both"/>
      </w:pPr>
      <w:r>
        <w:t xml:space="preserve">Autonomous intra-facility </w:t>
      </w:r>
      <w:r>
        <w:t>logistics;</w:t>
      </w:r>
    </w:p>
    <w:p w:rsidR="00E932B5" w:rsidRDefault="00710FA6">
      <w:pPr>
        <w:pStyle w:val="ListBullet"/>
        <w:jc w:val="both"/>
      </w:pPr>
      <w:r>
        <w:t>AI-based network management and cyber anomaly detection.</w:t>
      </w:r>
    </w:p>
    <w:p w:rsidR="00E932B5" w:rsidRDefault="00710FA6">
      <w:pPr>
        <w:spacing w:before="120" w:after="40"/>
      </w:pPr>
      <w:r>
        <w:rPr>
          <w:b/>
          <w:i/>
        </w:rPr>
        <w:t>B. Deployed Camps and Expeditionary Operations</w:t>
      </w:r>
    </w:p>
    <w:p w:rsidR="00E932B5" w:rsidRDefault="00710FA6">
      <w:pPr>
        <w:ind w:firstLine="709"/>
        <w:jc w:val="both"/>
      </w:pPr>
      <w:r>
        <w:t>Deployed camps and expeditionary bases recreate the services of a permanent installation at reduced scale and without fixed infrastructure. T</w:t>
      </w:r>
      <w:r>
        <w:t>he network arrives as deployable equipment — a containerized core with edge computing and mast- or vehicle-mounted radio nodes — and delivers all six scenarios in miniature: augmented command posts and battlefield digital twins, camp-wide sensor and logist</w:t>
      </w:r>
      <w:r>
        <w:t>ics connectivity, coordination of unmanned support platforms, and remote expert assistance for medicine and maintenance.</w:t>
      </w:r>
    </w:p>
    <w:p w:rsidR="00E932B5" w:rsidRDefault="00710FA6">
      <w:pPr>
        <w:ind w:firstLine="709"/>
        <w:jc w:val="both"/>
      </w:pPr>
      <w:r>
        <w:t>The enabling technologies determine whether this is practical. A sub-terahertz wireless backbone can replace fibre runs inside the comm</w:t>
      </w:r>
      <w:r>
        <w:t xml:space="preserve">and post that would otherwise take hours to install; non-terrestrial networks provide reach-back — low Earth orbit constellations for capacity, geostationary links as fallback; edge computing keeps mission services running locally when reach-back is lost; </w:t>
      </w:r>
      <w:r>
        <w:t xml:space="preserve">and quantum-safe cryptography with sovereign key management protects traffic that must transit commercial space segments. The employment model is a “network in a box”: commercial hardware as it is, with a hardened configuration — emission control, reduced </w:t>
      </w:r>
      <w:r>
        <w:t>beacon activity, national cryptography, and accreditation.</w:t>
      </w:r>
    </w:p>
    <w:p w:rsidR="00E932B5" w:rsidRDefault="00710FA6">
      <w:pPr>
        <w:ind w:firstLine="709"/>
        <w:jc w:val="both"/>
      </w:pPr>
      <w:r>
        <w:t>Representative applications:</w:t>
      </w:r>
    </w:p>
    <w:p w:rsidR="00E932B5" w:rsidRDefault="00710FA6">
      <w:pPr>
        <w:pStyle w:val="ListBullet"/>
        <w:jc w:val="both"/>
      </w:pPr>
      <w:r>
        <w:t>Rapidly deployable “network in a box” for camps and staging areas;</w:t>
      </w:r>
    </w:p>
    <w:p w:rsidR="00E932B5" w:rsidRDefault="00710FA6">
      <w:pPr>
        <w:pStyle w:val="ListBullet"/>
        <w:jc w:val="both"/>
      </w:pPr>
      <w:r>
        <w:t>Augmented command posts and battlefield digital twins;</w:t>
      </w:r>
    </w:p>
    <w:p w:rsidR="00E932B5" w:rsidRDefault="00710FA6">
      <w:pPr>
        <w:pStyle w:val="ListBullet"/>
        <w:jc w:val="both"/>
      </w:pPr>
      <w:r>
        <w:t>Camp perimeter surveillance combining communic</w:t>
      </w:r>
      <w:r>
        <w:t>ation and sensing;</w:t>
      </w:r>
    </w:p>
    <w:p w:rsidR="00E932B5" w:rsidRDefault="00710FA6">
      <w:pPr>
        <w:pStyle w:val="ListBullet"/>
        <w:jc w:val="both"/>
      </w:pPr>
      <w:r>
        <w:t>Satellite reach-back under sovereign cryptographic control;</w:t>
      </w:r>
    </w:p>
    <w:p w:rsidR="00E932B5" w:rsidRDefault="00710FA6">
      <w:pPr>
        <w:pStyle w:val="ListBullet"/>
        <w:jc w:val="both"/>
      </w:pPr>
      <w:r>
        <w:t>Remote medical and technical expert assistance.</w:t>
      </w:r>
    </w:p>
    <w:p w:rsidR="00E932B5" w:rsidRDefault="00710FA6">
      <w:pPr>
        <w:spacing w:before="120" w:after="40"/>
      </w:pPr>
      <w:r>
        <w:rPr>
          <w:b/>
          <w:i/>
        </w:rPr>
        <w:t>C. Tactical Edge and Manoeuvre Operations</w:t>
      </w:r>
    </w:p>
    <w:p w:rsidR="00E932B5" w:rsidRDefault="00710FA6">
      <w:pPr>
        <w:ind w:firstLine="709"/>
        <w:jc w:val="both"/>
      </w:pPr>
      <w:r>
        <w:t>The tactical edge is the context furthest from civilian assumptions: nodes move, spectr</w:t>
      </w:r>
      <w:r>
        <w:t xml:space="preserve">um is contested, infrastructure may be destroyed, and the network itself is a target of electronic warfare and cyber attack [3]. Employment of 6G as a complete product is no longer possible here. What remains valuable are selected services and, above all, </w:t>
      </w:r>
      <w:r>
        <w:t>the enabling technologies as components of larger military systems.</w:t>
      </w:r>
    </w:p>
    <w:p w:rsidR="00E932B5" w:rsidRDefault="00710FA6">
      <w:pPr>
        <w:ind w:firstLine="709"/>
        <w:jc w:val="both"/>
      </w:pPr>
      <w:r>
        <w:t>The mechanisms of hyper reliable and low-latency communication support coordination of unmanned aerial and ground vehicles, swarm operation, and supervised autonomy, provided they are comb</w:t>
      </w:r>
      <w:r>
        <w:t>ined with tactical edge computing for local decision-making and multi-path routing across terrestrial, airborne, and satellite links. How long an unmanned platform can hold such a role is set by its onboard power source, whose options and limits are review</w:t>
      </w:r>
      <w:r>
        <w:t xml:space="preserve">ed in </w:t>
      </w:r>
      <w:r>
        <w:t>[4]</w:t>
      </w:r>
      <w:r>
        <w:t>. AI-native networking contributes self-configuration and self-healing: detection and classification of jamming, prediction of link degradation, rerouting, and prioritization of mission-critical traffic — capabilities that also serve electronic-wa</w:t>
      </w:r>
      <w:r>
        <w:t>rfare and spectrum-management tasks. Integrated sensing and communication turns the communication nodes themselves into sensors for battlefield awareness, drone detection, convoy protection, and radio-frequency mapping, provided that deception-resistant pr</w:t>
      </w:r>
      <w:r>
        <w:t>ocessing and emission control are added. Sub-terahertz pencil-beam links offer high-capacity, low-probability-of-intercept exchange between platforms in formation, and reconfigurable intelligent surfaces can restore coverage during operations in urban terr</w:t>
      </w:r>
      <w:r>
        <w:t>ain.</w:t>
      </w:r>
    </w:p>
    <w:p w:rsidR="00E932B5" w:rsidRDefault="00710FA6">
      <w:pPr>
        <w:ind w:firstLine="709"/>
        <w:jc w:val="both"/>
      </w:pPr>
      <w:r>
        <w:t>Each of these employments requires defence-specific adaptation: redundancy and spectrum agility against jamming, explainability and human oversight for AI-based control, protection of the sensing function against decoys and spoofing, and fallback mode</w:t>
      </w:r>
      <w:r>
        <w:t>s for operation under disconnected, degraded, intermittent, and limited (DDIL) conditions.</w:t>
      </w:r>
    </w:p>
    <w:p w:rsidR="00E932B5" w:rsidRDefault="00710FA6">
      <w:pPr>
        <w:ind w:firstLine="709"/>
        <w:jc w:val="both"/>
      </w:pPr>
      <w:r>
        <w:t>Representative applications:</w:t>
      </w:r>
    </w:p>
    <w:p w:rsidR="00E932B5" w:rsidRDefault="00710FA6">
      <w:pPr>
        <w:pStyle w:val="ListBullet"/>
        <w:jc w:val="both"/>
      </w:pPr>
      <w:r>
        <w:t>Coordination of unmanned systems and swarms with edge autonomy;</w:t>
      </w:r>
    </w:p>
    <w:p w:rsidR="00E932B5" w:rsidRDefault="00710FA6">
      <w:pPr>
        <w:pStyle w:val="ListBullet"/>
        <w:jc w:val="both"/>
      </w:pPr>
      <w:r>
        <w:t>Self-healing tactical networks with jamming detection and classification</w:t>
      </w:r>
      <w:r>
        <w:t>;</w:t>
      </w:r>
    </w:p>
    <w:p w:rsidR="00E932B5" w:rsidRDefault="00710FA6">
      <w:pPr>
        <w:pStyle w:val="ListBullet"/>
        <w:jc w:val="both"/>
      </w:pPr>
      <w:r>
        <w:t>Battlefield sensing: drone detection, convoy protection, radio-frequency (RF) mapping;</w:t>
      </w:r>
    </w:p>
    <w:p w:rsidR="00E932B5" w:rsidRDefault="00710FA6">
      <w:pPr>
        <w:pStyle w:val="ListBullet"/>
        <w:jc w:val="both"/>
      </w:pPr>
      <w:r>
        <w:t>Low-probability-of-intercept platform-to-platform links;</w:t>
      </w:r>
    </w:p>
    <w:p w:rsidR="00E932B5" w:rsidRDefault="00710FA6">
      <w:pPr>
        <w:pStyle w:val="ListBullet"/>
        <w:jc w:val="both"/>
      </w:pPr>
      <w:r>
        <w:t>Mission-critical traffic prioritization under electronic attack.</w:t>
      </w:r>
    </w:p>
    <w:p w:rsidR="00E932B5" w:rsidRDefault="00710FA6">
      <w:pPr>
        <w:spacing w:before="120" w:after="40"/>
      </w:pPr>
      <w:r>
        <w:rPr>
          <w:b/>
          <w:i/>
        </w:rPr>
        <w:t>D. Maritime and Air Operations</w:t>
      </w:r>
    </w:p>
    <w:p w:rsidR="00E932B5" w:rsidRDefault="00710FA6">
      <w:pPr>
        <w:ind w:firstLine="709"/>
        <w:jc w:val="both"/>
      </w:pPr>
      <w:r>
        <w:t>Maritime and a</w:t>
      </w:r>
      <w:r>
        <w:t>ir operations lie beyond terrestrial coverage by definition, and the entry point for 6G is ubiquitous connectivity through non-terrestrial networks. Multi-layer combinations — low Earth orbit for capacity, medium and geostationary orbits for reach-back, hi</w:t>
      </w:r>
      <w:r>
        <w:t xml:space="preserve">gh-altitude platforms and airborne relays for persistent regional coverage — can form the transport layer of naval task groups and air packages, with ships and aircraft acting as network nodes. Within a formation, sub-terahertz links support high-capacity </w:t>
      </w:r>
      <w:r>
        <w:t>exchange of sensor and mission data, and integrated sensing contributes to the air and surface picture. Adoption here is component-wise: space and airborne links face latency, weather, and Doppler constraints and can be jammed, spoofed, or physically attac</w:t>
      </w:r>
      <w:r>
        <w:t>ked, so the architecture must degrade gracefully, switch frequency bands, and preserve essential services.</w:t>
      </w:r>
    </w:p>
    <w:p w:rsidR="00E932B5" w:rsidRDefault="00710FA6">
      <w:pPr>
        <w:ind w:firstLine="709"/>
        <w:jc w:val="both"/>
      </w:pPr>
      <w:r>
        <w:t>Representative applications:</w:t>
      </w:r>
    </w:p>
    <w:p w:rsidR="00E932B5" w:rsidRDefault="00710FA6">
      <w:pPr>
        <w:pStyle w:val="ListBullet"/>
        <w:jc w:val="both"/>
      </w:pPr>
      <w:r>
        <w:t>Multi-layer non-terrestrial network (NTN) connectivity for naval task groups and air operations;</w:t>
      </w:r>
    </w:p>
    <w:p w:rsidR="00E932B5" w:rsidRDefault="00710FA6">
      <w:pPr>
        <w:pStyle w:val="ListBullet"/>
        <w:jc w:val="both"/>
      </w:pPr>
      <w:r>
        <w:t xml:space="preserve">high-altitude platform </w:t>
      </w:r>
      <w:r>
        <w:t>stations (HAPS) and airborne relays for persistent regional coverage;</w:t>
      </w:r>
    </w:p>
    <w:p w:rsidR="00E932B5" w:rsidRDefault="00710FA6">
      <w:pPr>
        <w:pStyle w:val="ListBullet"/>
        <w:jc w:val="both"/>
      </w:pPr>
      <w:r>
        <w:t>High-capacity intra-formation data exchange;</w:t>
      </w:r>
    </w:p>
    <w:p w:rsidR="00E932B5" w:rsidRDefault="00710FA6">
      <w:pPr>
        <w:pStyle w:val="ListBullet"/>
        <w:jc w:val="both"/>
      </w:pPr>
      <w:r>
        <w:t>Sensing-supported air and surface situational awareness.</w:t>
      </w:r>
    </w:p>
    <w:p w:rsidR="00E932B5" w:rsidRDefault="00710FA6">
      <w:pPr>
        <w:spacing w:before="120" w:after="40"/>
      </w:pPr>
      <w:r>
        <w:rPr>
          <w:b/>
          <w:i/>
        </w:rPr>
        <w:t>E. Disaster Relief and Support to Civil Authorities</w:t>
      </w:r>
    </w:p>
    <w:p w:rsidR="00E932B5" w:rsidRDefault="00710FA6">
      <w:pPr>
        <w:ind w:firstLine="709"/>
        <w:jc w:val="both"/>
      </w:pPr>
      <w:r>
        <w:t xml:space="preserve">Disaster relief and support to </w:t>
      </w:r>
      <w:r>
        <w:t xml:space="preserve">civil authorities is the context in which military 6G equipment is used exactly as designed, in its full commercial posture. The same deployable nodes and non-terrestrial backhaul that serve expeditionary operations restore connectivity in disaster zones; </w:t>
      </w:r>
      <w:r>
        <w:t>massive communication connects responder devices and environmental sensors; immersive services deliver remote expert guidance through collapsed infrastructure; and interoperability with civil agencies comes naturally, because the network is built to the sa</w:t>
      </w:r>
      <w:r>
        <w:t>me commercial standard they use. This dual-use context is also the peacetime proving ground on which military operators gain experience with the technology.</w:t>
      </w:r>
    </w:p>
    <w:p w:rsidR="00E932B5" w:rsidRDefault="00710FA6">
      <w:pPr>
        <w:ind w:firstLine="709"/>
        <w:jc w:val="both"/>
      </w:pPr>
      <w:r>
        <w:t>Representative applications:</w:t>
      </w:r>
    </w:p>
    <w:p w:rsidR="00E932B5" w:rsidRDefault="00710FA6">
      <w:pPr>
        <w:pStyle w:val="ListBullet"/>
        <w:jc w:val="both"/>
      </w:pPr>
      <w:r>
        <w:t>Rapidly restored coverage in disaster zones;</w:t>
      </w:r>
    </w:p>
    <w:p w:rsidR="00E932B5" w:rsidRDefault="00710FA6">
      <w:pPr>
        <w:pStyle w:val="ListBullet"/>
        <w:jc w:val="both"/>
      </w:pPr>
      <w:r>
        <w:t>Drone-based assessment an</w:t>
      </w:r>
      <w:r>
        <w:t>d sensor feeds;</w:t>
      </w:r>
    </w:p>
    <w:p w:rsidR="00E932B5" w:rsidRDefault="00710FA6">
      <w:pPr>
        <w:pStyle w:val="ListBullet"/>
        <w:jc w:val="both"/>
      </w:pPr>
      <w:r>
        <w:t>Coordination of military and civil responders;</w:t>
      </w:r>
    </w:p>
    <w:p w:rsidR="00E932B5" w:rsidRDefault="00710FA6">
      <w:pPr>
        <w:pStyle w:val="ListBullet"/>
        <w:jc w:val="both"/>
      </w:pPr>
      <w:r>
        <w:t>Remote expert guidance for rescue and medical teams.</w:t>
      </w:r>
    </w:p>
    <w:p w:rsidR="00E932B5" w:rsidRDefault="00710FA6">
      <w:pPr>
        <w:ind w:firstLine="709"/>
        <w:jc w:val="both"/>
      </w:pPr>
      <w:r>
        <w:t>Table 1 summarizes the analysis across the employment contexts.</w:t>
      </w:r>
    </w:p>
    <w:p w:rsidR="00E932B5" w:rsidRDefault="00710FA6">
      <w:pPr>
        <w:spacing w:before="160" w:after="80"/>
        <w:jc w:val="right"/>
      </w:pPr>
      <w:r>
        <w:rPr>
          <w:i/>
          <w:sz w:val="24"/>
        </w:rPr>
        <w:t>Table 1. Employment of the 6G vision across military contexts: services, tec</w:t>
      </w:r>
      <w:r>
        <w:rPr>
          <w:i/>
          <w:sz w:val="24"/>
        </w:rPr>
        <w:t>hnologies, and degree of as-is use</w:t>
      </w:r>
    </w:p>
    <w:tbl>
      <w:tblPr>
        <w:tblStyle w:val="TableGrid"/>
        <w:tblW w:w="9070" w:type="dxa"/>
        <w:jc w:val="center"/>
        <w:tblLayout w:type="fixed"/>
        <w:tblLook w:val="04A0" w:firstRow="1" w:lastRow="0" w:firstColumn="1" w:lastColumn="0" w:noHBand="0" w:noVBand="1"/>
      </w:tblPr>
      <w:tblGrid>
        <w:gridCol w:w="1985"/>
        <w:gridCol w:w="3401"/>
        <w:gridCol w:w="1984"/>
        <w:gridCol w:w="1700"/>
      </w:tblGrid>
      <w:tr w:rsidR="00E932B5">
        <w:trPr>
          <w:jc w:val="center"/>
        </w:trPr>
        <w:tc>
          <w:tcPr>
            <w:tcW w:w="1984" w:type="dxa"/>
          </w:tcPr>
          <w:p w:rsidR="00E932B5" w:rsidRDefault="00710FA6">
            <w:pPr>
              <w:spacing w:before="20" w:after="20"/>
            </w:pPr>
            <w:r>
              <w:rPr>
                <w:b/>
                <w:sz w:val="20"/>
              </w:rPr>
              <w:t>Military Employment Context</w:t>
            </w:r>
          </w:p>
        </w:tc>
        <w:tc>
          <w:tcPr>
            <w:tcW w:w="3401" w:type="dxa"/>
          </w:tcPr>
          <w:p w:rsidR="00E932B5" w:rsidRDefault="00710FA6">
            <w:pPr>
              <w:spacing w:before="20" w:after="20"/>
            </w:pPr>
            <w:r>
              <w:rPr>
                <w:b/>
                <w:sz w:val="20"/>
              </w:rPr>
              <w:t>6G Services Used (Usage Scenarios)</w:t>
            </w:r>
          </w:p>
        </w:tc>
        <w:tc>
          <w:tcPr>
            <w:tcW w:w="1984" w:type="dxa"/>
          </w:tcPr>
          <w:p w:rsidR="00E932B5" w:rsidRDefault="00710FA6">
            <w:pPr>
              <w:spacing w:before="20" w:after="20"/>
            </w:pPr>
            <w:r>
              <w:rPr>
                <w:b/>
                <w:sz w:val="20"/>
              </w:rPr>
              <w:t>Key Enabling Technologies</w:t>
            </w:r>
          </w:p>
        </w:tc>
        <w:tc>
          <w:tcPr>
            <w:tcW w:w="1700" w:type="dxa"/>
          </w:tcPr>
          <w:p w:rsidR="00E932B5" w:rsidRDefault="00710FA6">
            <w:pPr>
              <w:spacing w:before="20" w:after="20"/>
            </w:pPr>
            <w:r>
              <w:rPr>
                <w:b/>
                <w:sz w:val="20"/>
              </w:rPr>
              <w:t>Degree of As-Is Employment</w:t>
            </w:r>
          </w:p>
        </w:tc>
      </w:tr>
      <w:tr w:rsidR="00E932B5">
        <w:trPr>
          <w:jc w:val="center"/>
        </w:trPr>
        <w:tc>
          <w:tcPr>
            <w:tcW w:w="1984" w:type="dxa"/>
          </w:tcPr>
          <w:p w:rsidR="00E932B5" w:rsidRDefault="00710FA6">
            <w:pPr>
              <w:spacing w:before="20" w:after="20"/>
            </w:pPr>
            <w:r>
              <w:rPr>
                <w:sz w:val="20"/>
              </w:rPr>
              <w:t>Permanent bases and garrisons</w:t>
            </w:r>
          </w:p>
        </w:tc>
        <w:tc>
          <w:tcPr>
            <w:tcW w:w="3401" w:type="dxa"/>
          </w:tcPr>
          <w:p w:rsidR="00E932B5" w:rsidRDefault="00710FA6">
            <w:pPr>
              <w:spacing w:before="20" w:after="20"/>
            </w:pPr>
            <w:r>
              <w:rPr>
                <w:sz w:val="20"/>
              </w:rPr>
              <w:t xml:space="preserve">Massive communication (IoMT, perimeter security), immersive communication </w:t>
            </w:r>
            <w:r>
              <w:rPr>
                <w:sz w:val="20"/>
              </w:rPr>
              <w:t>(training), AI and communication</w:t>
            </w:r>
          </w:p>
        </w:tc>
        <w:tc>
          <w:tcPr>
            <w:tcW w:w="1984" w:type="dxa"/>
          </w:tcPr>
          <w:p w:rsidR="00E932B5" w:rsidRDefault="00710FA6">
            <w:pPr>
              <w:spacing w:before="20" w:after="20"/>
            </w:pPr>
            <w:r>
              <w:rPr>
                <w:sz w:val="20"/>
              </w:rPr>
              <w:t>Edge computing, indoor RIS, network slicing</w:t>
            </w:r>
          </w:p>
        </w:tc>
        <w:tc>
          <w:tcPr>
            <w:tcW w:w="1700" w:type="dxa"/>
          </w:tcPr>
          <w:p w:rsidR="00E932B5" w:rsidRDefault="00710FA6">
            <w:pPr>
              <w:spacing w:before="20" w:after="20"/>
            </w:pPr>
            <w:r>
              <w:rPr>
                <w:sz w:val="20"/>
              </w:rPr>
              <w:t>Full as-is use, as a private campus network</w:t>
            </w:r>
          </w:p>
        </w:tc>
      </w:tr>
      <w:tr w:rsidR="00E932B5">
        <w:trPr>
          <w:jc w:val="center"/>
        </w:trPr>
        <w:tc>
          <w:tcPr>
            <w:tcW w:w="1984" w:type="dxa"/>
          </w:tcPr>
          <w:p w:rsidR="00E932B5" w:rsidRDefault="00710FA6">
            <w:pPr>
              <w:spacing w:before="20" w:after="20"/>
            </w:pPr>
            <w:r>
              <w:rPr>
                <w:sz w:val="20"/>
              </w:rPr>
              <w:t>Training grounds and simulation centres</w:t>
            </w:r>
          </w:p>
        </w:tc>
        <w:tc>
          <w:tcPr>
            <w:tcW w:w="3401" w:type="dxa"/>
          </w:tcPr>
          <w:p w:rsidR="00E932B5" w:rsidRDefault="00710FA6">
            <w:pPr>
              <w:spacing w:before="20" w:after="20"/>
            </w:pPr>
            <w:r>
              <w:rPr>
                <w:sz w:val="20"/>
              </w:rPr>
              <w:t xml:space="preserve">Immersive communication (XR mission rehearsal), hyper reliable and low-latency communication </w:t>
            </w:r>
            <w:r>
              <w:rPr>
                <w:sz w:val="20"/>
              </w:rPr>
              <w:t>(robotics)</w:t>
            </w:r>
          </w:p>
        </w:tc>
        <w:tc>
          <w:tcPr>
            <w:tcW w:w="1984" w:type="dxa"/>
          </w:tcPr>
          <w:p w:rsidR="00E932B5" w:rsidRDefault="00710FA6">
            <w:pPr>
              <w:spacing w:before="20" w:after="20"/>
            </w:pPr>
            <w:r>
              <w:rPr>
                <w:sz w:val="20"/>
              </w:rPr>
              <w:t>Edge rendering, short-range sub-THz links</w:t>
            </w:r>
          </w:p>
        </w:tc>
        <w:tc>
          <w:tcPr>
            <w:tcW w:w="1700" w:type="dxa"/>
          </w:tcPr>
          <w:p w:rsidR="00E932B5" w:rsidRDefault="00710FA6">
            <w:pPr>
              <w:spacing w:before="20" w:after="20"/>
            </w:pPr>
            <w:r>
              <w:rPr>
                <w:sz w:val="20"/>
              </w:rPr>
              <w:t>Nearly as-is</w:t>
            </w:r>
          </w:p>
        </w:tc>
      </w:tr>
      <w:tr w:rsidR="00E932B5">
        <w:trPr>
          <w:jc w:val="center"/>
        </w:trPr>
        <w:tc>
          <w:tcPr>
            <w:tcW w:w="1984" w:type="dxa"/>
          </w:tcPr>
          <w:p w:rsidR="00E932B5" w:rsidRDefault="00710FA6">
            <w:pPr>
              <w:spacing w:before="20" w:after="20"/>
            </w:pPr>
            <w:r>
              <w:rPr>
                <w:sz w:val="20"/>
              </w:rPr>
              <w:t>Logistics centres and supply chains</w:t>
            </w:r>
          </w:p>
        </w:tc>
        <w:tc>
          <w:tcPr>
            <w:tcW w:w="3401" w:type="dxa"/>
          </w:tcPr>
          <w:p w:rsidR="00E932B5" w:rsidRDefault="00710FA6">
            <w:pPr>
              <w:spacing w:before="20" w:after="20"/>
            </w:pPr>
            <w:r>
              <w:rPr>
                <w:sz w:val="20"/>
              </w:rPr>
              <w:t>Massive communication (asset tracking), hyper reliable and low-latency communication (autonomous vehicles)</w:t>
            </w:r>
          </w:p>
        </w:tc>
        <w:tc>
          <w:tcPr>
            <w:tcW w:w="1984" w:type="dxa"/>
          </w:tcPr>
          <w:p w:rsidR="00E932B5" w:rsidRDefault="00710FA6">
            <w:pPr>
              <w:spacing w:before="20" w:after="20"/>
            </w:pPr>
            <w:r>
              <w:rPr>
                <w:sz w:val="20"/>
              </w:rPr>
              <w:t>Edge computing, AI analytics, NTN backhaul</w:t>
            </w:r>
          </w:p>
        </w:tc>
        <w:tc>
          <w:tcPr>
            <w:tcW w:w="1700" w:type="dxa"/>
          </w:tcPr>
          <w:p w:rsidR="00E932B5" w:rsidRDefault="00710FA6">
            <w:pPr>
              <w:spacing w:before="20" w:after="20"/>
            </w:pPr>
            <w:r>
              <w:rPr>
                <w:sz w:val="20"/>
              </w:rPr>
              <w:t>As-</w:t>
            </w:r>
            <w:r>
              <w:rPr>
                <w:sz w:val="20"/>
              </w:rPr>
              <w:t>is with procedural adaptation</w:t>
            </w:r>
          </w:p>
        </w:tc>
      </w:tr>
      <w:tr w:rsidR="00E932B5">
        <w:trPr>
          <w:jc w:val="center"/>
        </w:trPr>
        <w:tc>
          <w:tcPr>
            <w:tcW w:w="1984" w:type="dxa"/>
          </w:tcPr>
          <w:p w:rsidR="00E932B5" w:rsidRDefault="00710FA6">
            <w:pPr>
              <w:spacing w:before="20" w:after="20"/>
            </w:pPr>
            <w:r>
              <w:rPr>
                <w:sz w:val="20"/>
              </w:rPr>
              <w:t>Deployed camps and expeditionary bases</w:t>
            </w:r>
          </w:p>
        </w:tc>
        <w:tc>
          <w:tcPr>
            <w:tcW w:w="3401" w:type="dxa"/>
          </w:tcPr>
          <w:p w:rsidR="00E932B5" w:rsidRDefault="00710FA6">
            <w:pPr>
              <w:spacing w:before="20" w:after="20"/>
            </w:pPr>
            <w:r>
              <w:rPr>
                <w:sz w:val="20"/>
              </w:rPr>
              <w:t>All six scenarios at reduced scale</w:t>
            </w:r>
          </w:p>
        </w:tc>
        <w:tc>
          <w:tcPr>
            <w:tcW w:w="1984" w:type="dxa"/>
          </w:tcPr>
          <w:p w:rsidR="00E932B5" w:rsidRDefault="00710FA6">
            <w:pPr>
              <w:spacing w:before="20" w:after="20"/>
            </w:pPr>
            <w:r>
              <w:rPr>
                <w:sz w:val="20"/>
              </w:rPr>
              <w:t>Deployable core, NTN reach-back, quantum-safe security</w:t>
            </w:r>
          </w:p>
        </w:tc>
        <w:tc>
          <w:tcPr>
            <w:tcW w:w="1700" w:type="dxa"/>
          </w:tcPr>
          <w:p w:rsidR="00E932B5" w:rsidRDefault="00710FA6">
            <w:pPr>
              <w:spacing w:before="20" w:after="20"/>
            </w:pPr>
            <w:r>
              <w:rPr>
                <w:sz w:val="20"/>
              </w:rPr>
              <w:t>“Network in a box”: as-is hardware, hardened configuration</w:t>
            </w:r>
          </w:p>
        </w:tc>
      </w:tr>
      <w:tr w:rsidR="00E932B5">
        <w:trPr>
          <w:jc w:val="center"/>
        </w:trPr>
        <w:tc>
          <w:tcPr>
            <w:tcW w:w="1984" w:type="dxa"/>
          </w:tcPr>
          <w:p w:rsidR="00E932B5" w:rsidRDefault="00710FA6">
            <w:pPr>
              <w:spacing w:before="20" w:after="20"/>
            </w:pPr>
            <w:r>
              <w:rPr>
                <w:sz w:val="20"/>
              </w:rPr>
              <w:t>Tactical edge and manoeuvre operatio</w:t>
            </w:r>
            <w:r>
              <w:rPr>
                <w:sz w:val="20"/>
              </w:rPr>
              <w:t>ns</w:t>
            </w:r>
          </w:p>
        </w:tc>
        <w:tc>
          <w:tcPr>
            <w:tcW w:w="3401" w:type="dxa"/>
          </w:tcPr>
          <w:p w:rsidR="00E932B5" w:rsidRDefault="00710FA6">
            <w:pPr>
              <w:spacing w:before="20" w:after="20"/>
            </w:pPr>
            <w:r>
              <w:rPr>
                <w:sz w:val="20"/>
              </w:rPr>
              <w:t>Selected services only</w:t>
            </w:r>
          </w:p>
        </w:tc>
        <w:tc>
          <w:tcPr>
            <w:tcW w:w="1984" w:type="dxa"/>
          </w:tcPr>
          <w:p w:rsidR="00E932B5" w:rsidRDefault="00710FA6">
            <w:pPr>
              <w:spacing w:before="20" w:after="20"/>
            </w:pPr>
            <w:r>
              <w:rPr>
                <w:sz w:val="20"/>
              </w:rPr>
              <w:t>NTN, edge autonomy, AI-native routing, ISAC</w:t>
            </w:r>
          </w:p>
        </w:tc>
        <w:tc>
          <w:tcPr>
            <w:tcW w:w="1700" w:type="dxa"/>
          </w:tcPr>
          <w:p w:rsidR="00E932B5" w:rsidRDefault="00710FA6">
            <w:pPr>
              <w:spacing w:before="20" w:after="20"/>
            </w:pPr>
            <w:r>
              <w:rPr>
                <w:sz w:val="20"/>
              </w:rPr>
              <w:t>Component-wise: as-is employment ends here</w:t>
            </w:r>
          </w:p>
        </w:tc>
      </w:tr>
      <w:tr w:rsidR="00E932B5">
        <w:trPr>
          <w:jc w:val="center"/>
        </w:trPr>
        <w:tc>
          <w:tcPr>
            <w:tcW w:w="1984" w:type="dxa"/>
          </w:tcPr>
          <w:p w:rsidR="00E932B5" w:rsidRDefault="00710FA6">
            <w:pPr>
              <w:spacing w:before="20" w:after="20"/>
            </w:pPr>
            <w:r>
              <w:rPr>
                <w:sz w:val="20"/>
              </w:rPr>
              <w:t>Maritime and air operations</w:t>
            </w:r>
          </w:p>
        </w:tc>
        <w:tc>
          <w:tcPr>
            <w:tcW w:w="3401" w:type="dxa"/>
          </w:tcPr>
          <w:p w:rsidR="00E932B5" w:rsidRDefault="00710FA6">
            <w:pPr>
              <w:spacing w:before="20" w:after="20"/>
            </w:pPr>
            <w:r>
              <w:rPr>
                <w:sz w:val="20"/>
              </w:rPr>
              <w:t>Ubiquitous connectivity, integrated sensing and communication</w:t>
            </w:r>
          </w:p>
        </w:tc>
        <w:tc>
          <w:tcPr>
            <w:tcW w:w="1984" w:type="dxa"/>
          </w:tcPr>
          <w:p w:rsidR="00E932B5" w:rsidRDefault="00710FA6">
            <w:pPr>
              <w:spacing w:before="20" w:after="20"/>
            </w:pPr>
            <w:r>
              <w:rPr>
                <w:sz w:val="20"/>
              </w:rPr>
              <w:t>Multi-layer NTN, ISAC</w:t>
            </w:r>
          </w:p>
        </w:tc>
        <w:tc>
          <w:tcPr>
            <w:tcW w:w="1700" w:type="dxa"/>
          </w:tcPr>
          <w:p w:rsidR="00E932B5" w:rsidRDefault="00710FA6">
            <w:pPr>
              <w:spacing w:before="20" w:after="20"/>
            </w:pPr>
            <w:r>
              <w:rPr>
                <w:sz w:val="20"/>
              </w:rPr>
              <w:t>Component-wise</w:t>
            </w:r>
          </w:p>
        </w:tc>
      </w:tr>
      <w:tr w:rsidR="00E932B5">
        <w:trPr>
          <w:jc w:val="center"/>
        </w:trPr>
        <w:tc>
          <w:tcPr>
            <w:tcW w:w="1984" w:type="dxa"/>
          </w:tcPr>
          <w:p w:rsidR="00E932B5" w:rsidRDefault="00710FA6">
            <w:pPr>
              <w:spacing w:before="20" w:after="20"/>
            </w:pPr>
            <w:r>
              <w:rPr>
                <w:sz w:val="20"/>
              </w:rPr>
              <w:t xml:space="preserve">Disaster </w:t>
            </w:r>
            <w:r>
              <w:rPr>
                <w:sz w:val="20"/>
              </w:rPr>
              <w:t>relief and support to civil authorities</w:t>
            </w:r>
          </w:p>
        </w:tc>
        <w:tc>
          <w:tcPr>
            <w:tcW w:w="3401" w:type="dxa"/>
          </w:tcPr>
          <w:p w:rsidR="00E932B5" w:rsidRDefault="00710FA6">
            <w:pPr>
              <w:spacing w:before="20" w:after="20"/>
            </w:pPr>
            <w:r>
              <w:rPr>
                <w:sz w:val="20"/>
              </w:rPr>
              <w:t>Ubiquitous connectivity, massive communication</w:t>
            </w:r>
          </w:p>
        </w:tc>
        <w:tc>
          <w:tcPr>
            <w:tcW w:w="1984" w:type="dxa"/>
          </w:tcPr>
          <w:p w:rsidR="00E932B5" w:rsidRDefault="00710FA6">
            <w:pPr>
              <w:spacing w:before="20" w:after="20"/>
            </w:pPr>
            <w:r>
              <w:rPr>
                <w:sz w:val="20"/>
              </w:rPr>
              <w:t>Deployable nodes, NTN</w:t>
            </w:r>
          </w:p>
        </w:tc>
        <w:tc>
          <w:tcPr>
            <w:tcW w:w="1700" w:type="dxa"/>
          </w:tcPr>
          <w:p w:rsidR="00E932B5" w:rsidRDefault="00710FA6">
            <w:pPr>
              <w:spacing w:before="20" w:after="20"/>
            </w:pPr>
            <w:r>
              <w:rPr>
                <w:sz w:val="20"/>
              </w:rPr>
              <w:t>Full as-is (direct dual use)</w:t>
            </w:r>
          </w:p>
        </w:tc>
      </w:tr>
    </w:tbl>
    <w:p w:rsidR="00E932B5" w:rsidRDefault="00710FA6">
      <w:pPr>
        <w:spacing w:before="200"/>
        <w:ind w:firstLine="709"/>
        <w:jc w:val="both"/>
      </w:pPr>
      <w:r>
        <w:t>The table makes the gradient of usability explicit. The question is not whether 6G is militarily applicable, but in w</w:t>
      </w:r>
      <w:r>
        <w:t>hich form: the same product moves from full as-is employment in permanent installations, through hardened-configuration use in deployed camps, to purely component-wise integration at the tactical edge and in maritime and air operations. The variable that d</w:t>
      </w:r>
      <w:r>
        <w:t>rives this transition is not the technology itself but the environment — mobility, adversary pressure, and the absence of infrastructure.</w:t>
      </w:r>
    </w:p>
    <w:p w:rsidR="00E932B5" w:rsidRDefault="00710FA6">
      <w:pPr>
        <w:ind w:firstLine="709"/>
        <w:jc w:val="both"/>
      </w:pPr>
      <w:r>
        <w:t>The boundary at which as-is employment ends is also the point at which defence-specific engineering begins. Below that</w:t>
      </w:r>
      <w:r>
        <w:t xml:space="preserve"> boundary, adoption is mainly a matter of procurement, configuration hardening, and accreditation; beyond it, adoption becomes a system-of-systems integration problem, in which 6G technologies are combined with military waveforms, legacy radios, and sovere</w:t>
      </w:r>
      <w:r>
        <w:t>ign security architectures. Military 6G should therefore be treated as a spectrum of employment models rather than as a single deployment, and its practical value comes from choosing the right model for each context.</w:t>
      </w:r>
    </w:p>
    <w:p w:rsidR="00E932B5" w:rsidRDefault="00710FA6">
      <w:pPr>
        <w:spacing w:before="120" w:after="40"/>
        <w:jc w:val="center"/>
      </w:pPr>
      <w:r>
        <w:rPr>
          <w:b/>
        </w:rPr>
        <w:t>IV. Discussion</w:t>
      </w:r>
    </w:p>
    <w:p w:rsidR="00E932B5" w:rsidRDefault="00710FA6">
      <w:pPr>
        <w:ind w:firstLine="709"/>
        <w:jc w:val="both"/>
      </w:pPr>
      <w:r>
        <w:t xml:space="preserve">The analysis shows that </w:t>
      </w:r>
      <w:r>
        <w:t>each usage scenario has a possible military interpretation, but this interpretation becomes complete only when the scenario and its enabling technologies are considered together, in the employment context in which they would actually be used — as the conte</w:t>
      </w:r>
      <w:r>
        <w:t>xt-by-context analysis in Section III demonstrates.</w:t>
      </w:r>
    </w:p>
    <w:p w:rsidR="00E932B5" w:rsidRDefault="00710FA6">
      <w:pPr>
        <w:ind w:firstLine="709"/>
        <w:jc w:val="both"/>
      </w:pPr>
      <w:r>
        <w:t>This distinction between scenarios and technologies has practical consequences for defence planning. The usage scenarios will be redefined by commercial markets and may change substantially before deploym</w:t>
      </w:r>
      <w:r>
        <w:t>ent; the enabling technologies — non-terrestrial networking, sub-terahertz radio, reconfigurable intelligent surfaces, edge computing, AI-native management, and quantum-safe security — are the stable elements that defence organizations can track, test, and</w:t>
      </w:r>
      <w:r>
        <w:t xml:space="preserve"> integrate as components of larger systems. Military value will therefore be captured primarily at the system-integration level, not by importing civilian services unchanged. This technology-driven approach is appropriate because 6G is still in the researc</w:t>
      </w:r>
      <w:r>
        <w:t>h and early standardization phase.</w:t>
      </w:r>
    </w:p>
    <w:p w:rsidR="00E932B5" w:rsidRDefault="00710FA6">
      <w:pPr>
        <w:ind w:firstLine="709"/>
        <w:jc w:val="both"/>
      </w:pPr>
      <w:r>
        <w:t>The integration of communication, sensing, AI, and edge computing also creates new engineering and operational challenges. If these functions become tightly coupled, an attack or malfunction in one layer may affect the wh</w:t>
      </w:r>
      <w:r>
        <w:t xml:space="preserve">ole system: jamming may degrade communication, spoofing may mislead sensing, cyber attacks may compromise edge nodes, and adversarial data may manipulate AI models. The future military use of 6G must therefore be treated as a system-of-systems engineering </w:t>
      </w:r>
      <w:r>
        <w:t>problem, not only as a communication problem.</w:t>
      </w:r>
    </w:p>
    <w:p w:rsidR="00E932B5" w:rsidRDefault="00710FA6">
      <w:pPr>
        <w:ind w:firstLine="709"/>
        <w:jc w:val="both"/>
      </w:pPr>
      <w:r>
        <w:t xml:space="preserve">A gradual transition from 5G to 6G is therefore expected. Technologies such as 5G-Advanced, private 5G networks, non-terrestrial network integration, multi-access edge computing, integrated sensing research, </w:t>
      </w:r>
      <w:r>
        <w:t>and AI-based network management can serve as intermediate steps, helping defence organizations evaluate operational concepts, develop testbeds, study security implications, and prepare for future 6G standardization.</w:t>
      </w:r>
    </w:p>
    <w:p w:rsidR="00E932B5" w:rsidRDefault="00710FA6">
      <w:pPr>
        <w:spacing w:before="120" w:after="40"/>
        <w:jc w:val="center"/>
      </w:pPr>
      <w:r>
        <w:rPr>
          <w:b/>
        </w:rPr>
        <w:t>V. Conclusion</w:t>
      </w:r>
    </w:p>
    <w:p w:rsidR="00E932B5" w:rsidRDefault="00710FA6">
      <w:pPr>
        <w:ind w:firstLine="709"/>
        <w:jc w:val="both"/>
      </w:pPr>
      <w:r>
        <w:t xml:space="preserve">6G has the potential to </w:t>
      </w:r>
      <w:r>
        <w:t>become a major enabler of future military communications. Its expected capabilities — AI-native networking, integrated sensing and communication, non-terrestrial connectivity, high-capacity links, tactical edge computing, and quantum-safe security — corres</w:t>
      </w:r>
      <w:r>
        <w:t>pond closely to the needs of future multi-domain operations.</w:t>
      </w:r>
    </w:p>
    <w:p w:rsidR="00E932B5" w:rsidRDefault="00710FA6">
      <w:pPr>
        <w:ind w:firstLine="709"/>
        <w:jc w:val="both"/>
      </w:pPr>
      <w:r>
        <w:t>This paper approached the topic from the technology side by analyzing the IMT-2030 usage scenarios and the enabling technologies behind them. The analysis shows three things: the six usage scenar</w:t>
      </w:r>
      <w:r>
        <w:t>ios can be interpreted as defence capability drivers when combined with specific technological enablers; the enabling technologies themselves transfer to the military domain directly, as components of larger systems; and the employment of 6G as a whole fol</w:t>
      </w:r>
      <w:r>
        <w:t>lows a gradient — from as-is use in bases, training grounds, and deployed camps to component-wise integration at the contested tactical edge.</w:t>
      </w:r>
    </w:p>
    <w:p w:rsidR="00E932B5" w:rsidRDefault="00710FA6">
      <w:pPr>
        <w:ind w:firstLine="709"/>
        <w:jc w:val="both"/>
      </w:pPr>
      <w:r>
        <w:t>The main conclusion is that 6G should not be understood only as a faster mobile network: its military importance c</w:t>
      </w:r>
      <w:r>
        <w:t xml:space="preserve">omes from the convergence of communications, sensing, artificial intelligence, distributed computing, non-terrestrial networking, and advanced security, which can create new forms of situational awareness, autonomous coordination, spectrum adaptation, and </w:t>
      </w:r>
      <w:r>
        <w:t>human–machine interaction.</w:t>
      </w:r>
    </w:p>
    <w:p w:rsidR="00E932B5" w:rsidRDefault="00710FA6">
      <w:pPr>
        <w:ind w:firstLine="709"/>
        <w:jc w:val="both"/>
      </w:pPr>
      <w:r>
        <w:t>At the same time, commercial 6G will not automatically become a military communication solution: defence use will require adaptation to contested electromagnetic environments, cyber threats, infrastructure limitations, interopera</w:t>
      </w:r>
      <w:r>
        <w:t>bility requirements, and sovereign control, and existing tactical radios, satellite communication (SATCOM) systems, and software-defined radio (SDR)-based gateways will remain important. The most realistic perspective is to view 6G as a future system-of-sy</w:t>
      </w:r>
      <w:r>
        <w:t>stems layer that connects people, machines, sensors, platforms, AI services, and non-terrestrial assets — complementing and extending existing military communication systems rather than replacing them. If developed deliberately and with defence-specific co</w:t>
      </w:r>
      <w:r>
        <w:t>nstraints in mind, 6G can provide the foundation for future intelligent, resilient, and multi-domain military communication systems.</w:t>
      </w:r>
    </w:p>
    <w:p w:rsidR="00E932B5" w:rsidRDefault="00E932B5">
      <w:pPr>
        <w:jc w:val="both"/>
      </w:pPr>
    </w:p>
    <w:p w:rsidR="00E932B5" w:rsidRDefault="00710FA6">
      <w:pPr>
        <w:spacing w:before="120" w:after="40"/>
        <w:jc w:val="both"/>
      </w:pPr>
      <w:r>
        <w:rPr>
          <w:b/>
        </w:rPr>
        <w:t>ACKNOWLEDGMENTS:</w:t>
      </w:r>
    </w:p>
    <w:p w:rsidR="00E932B5" w:rsidRDefault="00710FA6">
      <w:pPr>
        <w:ind w:firstLine="709"/>
        <w:jc w:val="both"/>
      </w:pPr>
      <w:r>
        <w:t>This work was supported by the National Scientific Program Security and Defense, funded by the Ministry o</w:t>
      </w:r>
      <w:r>
        <w:t>f Education and Science of the Republic of Bulgaria under grant agreement no. D01-74/19.05.2022.</w:t>
      </w:r>
    </w:p>
    <w:p w:rsidR="00E932B5" w:rsidRDefault="00710FA6">
      <w:pPr>
        <w:spacing w:before="120" w:after="40"/>
      </w:pPr>
      <w:r>
        <w:rPr>
          <w:b/>
        </w:rPr>
        <w:t>REFERENCES:</w:t>
      </w:r>
    </w:p>
    <w:p w:rsidR="00E932B5" w:rsidRDefault="00710FA6">
      <w:pPr>
        <w:jc w:val="both"/>
      </w:pPr>
      <w:r>
        <w:rPr>
          <w:sz w:val="22"/>
        </w:rPr>
        <w:t>1. 3GPP. Release 20 [online]. 3rd Generation Partnership Project, 2025 [viewed 17 July 2026]. Available at: https://www.3gpp.org/specifications-tec</w:t>
      </w:r>
      <w:r>
        <w:rPr>
          <w:sz w:val="22"/>
        </w:rPr>
        <w:t>hnologies/releases/release-20</w:t>
      </w:r>
    </w:p>
    <w:p w:rsidR="00E932B5" w:rsidRDefault="00710FA6">
      <w:pPr>
        <w:jc w:val="both"/>
      </w:pPr>
      <w:r>
        <w:rPr>
          <w:sz w:val="22"/>
        </w:rPr>
        <w:t>2. 3GPP. Release 21 [online]. 3rd Generation Partnership Project, 2026 [viewed 17 July 2026]. Available at: https://www.3gpp.org/specifications-technologies/releases/release-21</w:t>
      </w:r>
    </w:p>
    <w:p w:rsidR="00E932B5" w:rsidRDefault="00710FA6">
      <w:pPr>
        <w:jc w:val="both"/>
      </w:pPr>
      <w:r>
        <w:rPr>
          <w:sz w:val="22"/>
        </w:rPr>
        <w:t>3. BOYANOV, P. A Taxonomy of the Cyber Attacks. J</w:t>
      </w:r>
      <w:r>
        <w:rPr>
          <w:sz w:val="22"/>
        </w:rPr>
        <w:t>ournal Scientific and Applied Research, vol. 3 (2013), no. 1, pp. 114–124. DOI: 10.46687/jsar.v3i1.73.</w:t>
      </w:r>
    </w:p>
    <w:p w:rsidR="00E932B5" w:rsidRDefault="00710FA6">
      <w:pPr>
        <w:jc w:val="both"/>
      </w:pPr>
      <w:r>
        <w:rPr>
          <w:sz w:val="22"/>
        </w:rPr>
        <w:t>4. GENCHEVA, P., I. HUTOV and B. GENOV. Power Sources for Unmanned Aerial Vehicles: A Review. In: XXII International Congress “Machines. Technologies. Ma</w:t>
      </w:r>
      <w:r>
        <w:rPr>
          <w:sz w:val="22"/>
        </w:rPr>
        <w:t>terials”, Summer Session, Varna, 3–6 September 2025. Year VIII, issue 3 (32), pp. 383–386. ISSN 2535-003X.</w:t>
      </w:r>
    </w:p>
    <w:p w:rsidR="00E932B5" w:rsidRDefault="00710FA6">
      <w:pPr>
        <w:jc w:val="both"/>
      </w:pPr>
      <w:r>
        <w:rPr>
          <w:sz w:val="22"/>
        </w:rPr>
        <w:t>5. INTERNATIONAL TELECOMMUNICATION UNION. IMT towards 2030 and beyond (IMT-2030) [online]. ITU-R Working Party 5D [viewed 17 July 2026]. Available at</w:t>
      </w:r>
      <w:r>
        <w:rPr>
          <w:sz w:val="22"/>
        </w:rPr>
        <w:t>: https://www.itu.int/en/ITU-R/study-groups/rsg5/rwp5d/imt-2030/Pages/default.aspx</w:t>
      </w:r>
    </w:p>
    <w:p w:rsidR="00E932B5" w:rsidRDefault="00710FA6">
      <w:pPr>
        <w:jc w:val="both"/>
      </w:pPr>
      <w:r>
        <w:rPr>
          <w:sz w:val="22"/>
        </w:rPr>
        <w:t xml:space="preserve">6. INTERNATIONAL TELECOMMUNICATION UNION. Recommendation ITU-R M.2160-0: Framework and overall objectives of the future development of IMT for 2030 and beyond. Geneva: ITU, </w:t>
      </w:r>
      <w:r>
        <w:rPr>
          <w:sz w:val="22"/>
        </w:rPr>
        <w:t>2023 [viewed 17 July 2026]. Available at: https://www.itu.int/rec/R-REC-M.2160/en</w:t>
      </w:r>
    </w:p>
    <w:p w:rsidR="00E932B5" w:rsidRDefault="00710FA6">
      <w:pPr>
        <w:jc w:val="both"/>
      </w:pPr>
      <w:r>
        <w:rPr>
          <w:sz w:val="22"/>
        </w:rPr>
        <w:t>7. IVANOV, I. and M. ANGELOV. 5G Technology for Military Communication – Applications, Gaps, and Future Directions. In: Сборник доклади от научна конференция „Актуални пробле</w:t>
      </w:r>
      <w:r>
        <w:rPr>
          <w:sz w:val="22"/>
        </w:rPr>
        <w:t>ми на сигурността“, 9–10 октомври 2025. Велико Търново: ИК на НВУ „Васил Левски“, 2025, pp. 115–125. ISSN 2367-7473.</w:t>
      </w:r>
    </w:p>
    <w:p w:rsidR="00E932B5" w:rsidRDefault="00710FA6">
      <w:pPr>
        <w:jc w:val="both"/>
      </w:pPr>
      <w:r>
        <w:rPr>
          <w:sz w:val="22"/>
        </w:rPr>
        <w:t>8. IVANOV, V., A. MANCHEV and M. KOZARSKI. Current challenges to the national security system of the Republic of Bulgaria in the context of</w:t>
      </w:r>
      <w:r>
        <w:rPr>
          <w:sz w:val="22"/>
        </w:rPr>
        <w:t xml:space="preserve"> the continuing militarisation of the Black Sea. In: Сборник доклади от XII Международна научна конференция „ХЕМУС 2024“, Пловдив, 2024, pp. III-87–III-99. ISSN 1312-2916. (in Bulgarian)</w:t>
      </w:r>
    </w:p>
    <w:p w:rsidR="00E932B5" w:rsidRDefault="00710FA6">
      <w:pPr>
        <w:jc w:val="both"/>
      </w:pPr>
      <w:r>
        <w:rPr>
          <w:sz w:val="22"/>
        </w:rPr>
        <w:t>9. LATRECHE, S. and H. BELLAHSENE. A comprehensive survey on 6G: Enab</w:t>
      </w:r>
      <w:r>
        <w:rPr>
          <w:sz w:val="22"/>
        </w:rPr>
        <w:t>ling technologies, key applications, and future challenges. Franklin Open, vol. 15 (2026), art. 100559. DOI: 10.1016/j.fraope.2026.100559.</w:t>
      </w:r>
    </w:p>
    <w:p w:rsidR="00E932B5" w:rsidRDefault="00710FA6">
      <w:pPr>
        <w:jc w:val="both"/>
      </w:pPr>
      <w:r>
        <w:rPr>
          <w:sz w:val="22"/>
        </w:rPr>
        <w:t>10. MILIČEVIĆ, Z. and Z. BOJKOVIĆ. Review of 5G and 6G applications for mobile wireless communication in the military</w:t>
      </w:r>
      <w:r>
        <w:rPr>
          <w:sz w:val="22"/>
        </w:rPr>
        <w:t xml:space="preserve"> environment. Vojnotehnički glasnik / Military Technical Courier, vol. 72 (2024), no. 1, pp. 435–451. DOI: 10.5937/vojtehg72-47037.</w:t>
      </w:r>
    </w:p>
    <w:p w:rsidR="00E932B5" w:rsidRDefault="00710FA6">
      <w:pPr>
        <w:jc w:val="both"/>
      </w:pPr>
      <w:r>
        <w:rPr>
          <w:sz w:val="22"/>
        </w:rPr>
        <w:t>11. NATO DEFENCE INNOVATION ACCELERATOR FOR THE NORTH ATLANTIC (DIANA). 6G Test Centre Finland – DIANA Deep Tech Accelerator</w:t>
      </w:r>
      <w:r>
        <w:rPr>
          <w:sz w:val="22"/>
        </w:rPr>
        <w:t xml:space="preserve"> Network [online]. NATO DIANA, 2024 [viewed 17 July 2026]. Available at: https://www.diana.nato.int</w:t>
      </w:r>
    </w:p>
    <w:p w:rsidR="00E932B5" w:rsidRDefault="00710FA6">
      <w:pPr>
        <w:jc w:val="both"/>
      </w:pPr>
      <w:r>
        <w:rPr>
          <w:sz w:val="22"/>
        </w:rPr>
        <w:t>12. NATO SCIENCE AND TECHNOLOGY ORGANIZATION. Science &amp; Technology Trends 2023–2043: Science &amp; Technology in the Service of NATO. Neuilly-sur-Seine: NATO ST</w:t>
      </w:r>
      <w:r>
        <w:rPr>
          <w:sz w:val="22"/>
        </w:rPr>
        <w:t>O, 2023.</w:t>
      </w:r>
    </w:p>
    <w:p w:rsidR="00E932B5" w:rsidRDefault="00710FA6">
      <w:pPr>
        <w:jc w:val="both"/>
      </w:pPr>
      <w:r>
        <w:rPr>
          <w:sz w:val="22"/>
        </w:rPr>
        <w:t>13. SAARNISAARI, H., M. HÖYHTYÄ, H. RANTANEN and J. MÄKELÄ. Military Communications in the 6G Era: Finnish Perspective. In: MILCOM 2024 – IEEE Military Communications Conference (MILCOM). IEEE, 2024, pp. 135–140. DOI: 10.1109/MILCOM61039.2024.1077</w:t>
      </w:r>
      <w:r>
        <w:rPr>
          <w:sz w:val="22"/>
        </w:rPr>
        <w:t>3716.</w:t>
      </w:r>
    </w:p>
    <w:p w:rsidR="00E932B5" w:rsidRDefault="00710FA6">
      <w:pPr>
        <w:jc w:val="both"/>
      </w:pPr>
      <w:r>
        <w:rPr>
          <w:sz w:val="22"/>
        </w:rPr>
        <w:t>14. SUOMALAINEN, J., I. AHMAD, A. SHAJAN and T. SAVUNEN. Cybersecurity for tactical 6G networks: Threats, architecture, and intelligence. Future Generation Computer Systems, vol. 162 (2025), art. 107500. DOI: 10.1016/j.future.2024.107500.</w:t>
      </w:r>
    </w:p>
    <w:p w:rsidR="00E932B5" w:rsidRDefault="00710FA6">
      <w:pPr>
        <w:jc w:val="both"/>
      </w:pPr>
      <w:r>
        <w:rPr>
          <w:sz w:val="22"/>
        </w:rPr>
        <w:t>15. SWEDISH</w:t>
      </w:r>
      <w:r>
        <w:rPr>
          <w:sz w:val="22"/>
        </w:rPr>
        <w:t xml:space="preserve"> INSTITUTE OF INTERNATIONAL AFFAIRS. 6G: Cybersecurity and Defence Implications. UI Brief no. 5. Stockholm: Utrikespolitiska institutet (UI), 2025.</w:t>
      </w:r>
    </w:p>
    <w:p w:rsidR="00E932B5" w:rsidRDefault="00710FA6">
      <w:pPr>
        <w:jc w:val="both"/>
      </w:pPr>
      <w:r>
        <w:rPr>
          <w:sz w:val="22"/>
        </w:rPr>
        <w:t xml:space="preserve">16. VTT TECHNICAL RESEARCH CENTRE OF FINLAND. DIANA 6G Technology Centre Development Project [online]. VTT </w:t>
      </w:r>
      <w:r>
        <w:rPr>
          <w:sz w:val="22"/>
        </w:rPr>
        <w:t>Research Information Portal, Project ID 12431, 2024 [viewed 17 July 2026]. Available at: https://cris.vtt.fi</w:t>
      </w:r>
    </w:p>
    <w:p w:rsidR="00E932B5" w:rsidRDefault="00E932B5">
      <w:pPr>
        <w:jc w:val="both"/>
      </w:pPr>
    </w:p>
    <w:p w:rsidR="00E932B5" w:rsidRDefault="00710FA6">
      <w:pPr>
        <w:keepNext/>
      </w:pPr>
      <w:r>
        <w:rPr>
          <w:i/>
          <w:sz w:val="24"/>
        </w:rPr>
        <w:t>COL (Ret.) Assoc. Prof. Eng. Ivan Penchev Ivanov, PhD</w:t>
      </w:r>
    </w:p>
    <w:p w:rsidR="00E932B5" w:rsidRDefault="00710FA6">
      <w:pPr>
        <w:keepNext/>
      </w:pPr>
      <w:r>
        <w:rPr>
          <w:i/>
          <w:sz w:val="24"/>
        </w:rPr>
        <w:t>Defence Institute “Prof. Tsvetan Lazarov”</w:t>
      </w:r>
    </w:p>
    <w:p w:rsidR="00E932B5" w:rsidRDefault="00710FA6">
      <w:pPr>
        <w:keepNext/>
      </w:pPr>
      <w:r>
        <w:rPr>
          <w:i/>
          <w:sz w:val="24"/>
        </w:rPr>
        <w:t>Sofia, 1592, “Professor Tsvetan Lazarov” 2 Blvd, B</w:t>
      </w:r>
      <w:r>
        <w:rPr>
          <w:i/>
          <w:sz w:val="24"/>
        </w:rPr>
        <w:t>ulgaria</w:t>
      </w:r>
    </w:p>
    <w:p w:rsidR="00E932B5" w:rsidRDefault="00710FA6">
      <w:pPr>
        <w:keepNext/>
      </w:pPr>
      <w:r>
        <w:rPr>
          <w:i/>
          <w:sz w:val="24"/>
        </w:rPr>
        <w:t>tel.: +359 2 9221822</w:t>
      </w:r>
    </w:p>
    <w:p w:rsidR="00E932B5" w:rsidRDefault="00710FA6">
      <w:r>
        <w:rPr>
          <w:i/>
          <w:sz w:val="24"/>
        </w:rPr>
        <w:t>e-mail: i.p.ivanov@di.mod.bg</w:t>
      </w:r>
    </w:p>
    <w:sectPr w:rsidR="00E932B5">
      <w:pgSz w:w="11906" w:h="16838"/>
      <w:pgMar w:top="1134" w:right="1134" w:bottom="850" w:left="170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FA6" w:rsidRDefault="00710FA6">
      <w:r>
        <w:separator/>
      </w:r>
    </w:p>
  </w:endnote>
  <w:endnote w:type="continuationSeparator" w:id="0">
    <w:p w:rsidR="00710FA6" w:rsidRDefault="00710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059"/>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Times New Roman"/>
    <w:charset w:val="01"/>
    <w:family w:val="roman"/>
    <w:pitch w:val="default"/>
    <w:sig w:usb0="00000000" w:usb1="500078FF" w:usb2="00000021" w:usb3="00000000" w:csb0="600001BF" w:csb1="DFF70000"/>
  </w:font>
  <w:font w:name="Noto Sans CJK SC">
    <w:charset w:val="86"/>
    <w:family w:val="auto"/>
    <w:pitch w:val="default"/>
    <w:sig w:usb0="30000083" w:usb1="2BDF3C10" w:usb2="00000016" w:usb3="00000000" w:csb0="602E0107" w:csb1="00000000"/>
  </w:font>
  <w:font w:name="Noto Sans Devanagari">
    <w:altName w:val="Bahnschrift Light"/>
    <w:charset w:val="00"/>
    <w:family w:val="auto"/>
    <w:pitch w:val="default"/>
    <w:sig w:usb0="00000003" w:usb1="00002046" w:usb2="00000000" w:usb3="00000000" w:csb0="00000001" w:csb1="00000000"/>
  </w:font>
  <w:font w:name="Courier">
    <w:panose1 w:val="02070409020205020404"/>
    <w:charset w:val="01"/>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FA6" w:rsidRDefault="00710FA6">
      <w:r>
        <w:separator/>
      </w:r>
    </w:p>
  </w:footnote>
  <w:footnote w:type="continuationSeparator" w:id="0">
    <w:p w:rsidR="00710FA6" w:rsidRDefault="00710FA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B47D776"/>
    <w:multiLevelType w:val="multilevel"/>
    <w:tmpl w:val="BB47D776"/>
    <w:lvl w:ilvl="0">
      <w:start w:val="1"/>
      <w:numFmt w:val="decimal"/>
      <w:pStyle w:val="ListNumber"/>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 w15:restartNumberingAfterBreak="0">
    <w:nsid w:val="DFFF3AC2"/>
    <w:multiLevelType w:val="multilevel"/>
    <w:tmpl w:val="DFFF3AC2"/>
    <w:lvl w:ilvl="0">
      <w:start w:val="1"/>
      <w:numFmt w:val="bullet"/>
      <w:pStyle w:val="ListBullet2"/>
      <w:lvlText w:val=""/>
      <w:lvlJc w:val="left"/>
      <w:pPr>
        <w:tabs>
          <w:tab w:val="left" w:pos="720"/>
        </w:tabs>
        <w:ind w:left="720" w:hanging="360"/>
      </w:pPr>
      <w:rPr>
        <w:rFonts w:ascii="Symbol" w:hAnsi="Symbol" w:cs="Symbol" w:hint="default"/>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2" w15:restartNumberingAfterBreak="0">
    <w:nsid w:val="F2FB7DA4"/>
    <w:multiLevelType w:val="multilevel"/>
    <w:tmpl w:val="F2FB7DA4"/>
    <w:lvl w:ilvl="0">
      <w:start w:val="1"/>
      <w:numFmt w:val="decimal"/>
      <w:pStyle w:val="ListNumber2"/>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 w15:restartNumberingAfterBreak="0">
    <w:nsid w:val="F3ED0DB5"/>
    <w:multiLevelType w:val="multilevel"/>
    <w:tmpl w:val="F3ED0DB5"/>
    <w:lvl w:ilvl="0">
      <w:start w:val="1"/>
      <w:numFmt w:val="bullet"/>
      <w:pStyle w:val="ListBullet3"/>
      <w:lvlText w:val=""/>
      <w:lvlJc w:val="left"/>
      <w:pPr>
        <w:tabs>
          <w:tab w:val="left" w:pos="1080"/>
        </w:tabs>
        <w:ind w:left="1080" w:hanging="360"/>
      </w:pPr>
      <w:rPr>
        <w:rFonts w:ascii="Symbol" w:hAnsi="Symbol" w:cs="Symbol" w:hint="default"/>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FEFD1656"/>
    <w:multiLevelType w:val="multilevel"/>
    <w:tmpl w:val="FEFD1656"/>
    <w:lvl w:ilvl="0">
      <w:start w:val="1"/>
      <w:numFmt w:val="bullet"/>
      <w:pStyle w:val="ListBullet"/>
      <w:lvlText w:val=""/>
      <w:lvlJc w:val="left"/>
      <w:pPr>
        <w:tabs>
          <w:tab w:val="left" w:pos="360"/>
        </w:tabs>
        <w:ind w:left="360" w:hanging="360"/>
      </w:pPr>
      <w:rPr>
        <w:rFonts w:ascii="Symbol" w:hAnsi="Symbol" w:cs="Symbol" w:hint="default"/>
      </w:r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5" w15:restartNumberingAfterBreak="0">
    <w:nsid w:val="6627973C"/>
    <w:multiLevelType w:val="multilevel"/>
    <w:tmpl w:val="6627973C"/>
    <w:lvl w:ilvl="0">
      <w:start w:val="1"/>
      <w:numFmt w:val="decimal"/>
      <w:pStyle w:val="ListNumber3"/>
      <w:lvlText w:val="%1."/>
      <w:lvlJc w:val="left"/>
      <w:pPr>
        <w:tabs>
          <w:tab w:val="left" w:pos="1080"/>
        </w:tabs>
        <w:ind w:left="108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4"/>
  </w:num>
  <w:num w:numId="2">
    <w:abstractNumId w:val="1"/>
  </w:num>
  <w:num w:numId="3">
    <w:abstractNumId w:val="3"/>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2B5"/>
    <w:rsid w:val="00710FA6"/>
    <w:rsid w:val="00D40100"/>
    <w:rsid w:val="00E932B5"/>
    <w:rsid w:val="72F7CAC5"/>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F506CD-3394-4999-BB16-33927968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uiPriority="0"/>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lsdException w:name="List Number" w:unhideWhenUsed="1"/>
    <w:lsdException w:name="List 2" w:unhideWhenUsed="1" w:qFormat="1"/>
    <w:lsdException w:name="List 3" w:unhideWhenUsed="1" w:qFormat="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overflowPunct w:val="0"/>
    </w:pPr>
    <w:rPr>
      <w:rFonts w:ascii="Times New Roman" w:eastAsia="Times New Roman" w:hAnsi="Times New Roman"/>
      <w:sz w:val="28"/>
      <w:szCs w:val="22"/>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pPr>
      <w:tabs>
        <w:tab w:val="center" w:pos="4680"/>
        <w:tab w:val="right" w:pos="9360"/>
      </w:tabs>
    </w:pPr>
  </w:style>
  <w:style w:type="paragraph" w:styleId="IndexHeading">
    <w:name w:val="index heading"/>
    <w:basedOn w:val="Heading"/>
    <w:next w:val="Index1"/>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Cs w:val="28"/>
    </w:rPr>
  </w:style>
  <w:style w:type="paragraph" w:styleId="Index1">
    <w:name w:val="index 1"/>
    <w:basedOn w:val="Normal"/>
    <w:next w:val="Normal"/>
    <w:uiPriority w:val="99"/>
    <w:semiHidden/>
    <w:unhideWhenUsed/>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uppressAutoHyphens/>
      <w:spacing w:after="200" w:line="276" w:lineRule="auto"/>
    </w:pPr>
    <w:rPr>
      <w:rFonts w:ascii="Courier" w:hAnsi="Courier"/>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character" w:customStyle="1" w:styleId="QuoteChar">
    <w:name w:val="Quote Char"/>
    <w:basedOn w:val="DefaultParagraphFont"/>
    <w:link w:val="Quote"/>
    <w:uiPriority w:val="29"/>
    <w:qFormat/>
    <w:rPr>
      <w:i/>
      <w:iCs/>
      <w:color w:val="000000" w:themeColor="text1"/>
    </w:rPr>
  </w:style>
  <w:style w:type="paragraph" w:styleId="Quote">
    <w:name w:val="Quote"/>
    <w:basedOn w:val="Normal"/>
    <w:next w:val="Normal"/>
    <w:link w:val="QuoteChar"/>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character" w:customStyle="1" w:styleId="IntenseQuoteChar">
    <w:name w:val="Intense Quote Char"/>
    <w:basedOn w:val="DefaultParagraphFont"/>
    <w:link w:val="IntenseQuote"/>
    <w:uiPriority w:val="30"/>
    <w:qFormat/>
    <w:rPr>
      <w:b/>
      <w:bCs/>
      <w:i/>
      <w:iCs/>
      <w:color w:val="4F81BD" w:themeColor="accent1"/>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SubtleEmphasis1">
    <w:name w:val="Subtle Emphasis1"/>
    <w:basedOn w:val="DefaultParagraphFont"/>
    <w:uiPriority w:val="19"/>
    <w:qFormat/>
    <w:rPr>
      <w:i/>
      <w:iCs/>
      <w:color w:val="808080" w:themeColor="text1" w:themeTint="7F"/>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NoSpacing">
    <w:name w:val="No Spacing"/>
    <w:uiPriority w:val="1"/>
    <w:qFormat/>
    <w:pPr>
      <w:suppressAutoHyphens/>
    </w:pPr>
    <w:rPr>
      <w:sz w:val="22"/>
      <w:szCs w:val="22"/>
    </w:rPr>
  </w:style>
  <w:style w:type="paragraph" w:styleId="ListParagraph">
    <w:name w:val="List Paragraph"/>
    <w:basedOn w:val="Normal"/>
    <w:uiPriority w:val="34"/>
    <w:qFormat/>
    <w:pPr>
      <w:ind w:left="720"/>
      <w:contextualSpacing/>
    </w:p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4474</Words>
  <Characters>25507</Characters>
  <Application>Microsoft Office Word</Application>
  <DocSecurity>0</DocSecurity>
  <Lines>212</Lines>
  <Paragraphs>59</Paragraphs>
  <ScaleCrop>false</ScaleCrop>
  <Company/>
  <LinksUpToDate>false</LinksUpToDate>
  <CharactersWithSpaces>29922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ivan</cp:lastModifiedBy>
  <cp:revision>4</cp:revision>
  <dcterms:created xsi:type="dcterms:W3CDTF">2013-12-24T01:15:00Z</dcterms:created>
  <dcterms:modified xsi:type="dcterms:W3CDTF">2026-09-10T07:00:00Z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1033-11.1.0.11723</vt:lpwstr>
  </property>
</Properties>
</file>