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line="240" w:lineRule="auto" w:before="0" w:after="0"/>
        <w:jc w:val="center"/>
      </w:pPr>
      <w:r>
        <w:rPr>
          <w:rFonts w:ascii="Times New Roman" w:hAnsi="Times New Roman" w:eastAsia="Times New Roman"/>
          <w:b/>
          <w:i w:val="0"/>
          <w:sz w:val="32"/>
        </w:rPr>
        <w:t>ЗАГУБАТА НА УПРАВЛЕНИЕ В СИСТЕМИТЕ ЗА НАЦИОНАЛНА СИГУРНОСТ: КОМПОНЕНТНИ И ФУНКЦИОНАЛНИ ИЗМЕРЕНИЯ</w:t>
      </w:r>
    </w:p>
    <w:p>
      <w:pPr>
        <w:spacing w:line="240" w:lineRule="auto"/>
      </w:pPr>
      <w:r>
        <w:rPr>
          <w:rFonts w:ascii="Times New Roman" w:hAnsi="Times New Roman" w:eastAsia="Times New Roman"/>
          <w:b w:val="0"/>
          <w:i w:val="0"/>
          <w:sz w:val="28"/>
        </w:rPr>
      </w:r>
    </w:p>
    <w:p>
      <w:pPr>
        <w:spacing w:line="240" w:lineRule="auto"/>
      </w:pPr>
      <w:r>
        <w:rPr>
          <w:rFonts w:ascii="Times New Roman" w:hAnsi="Times New Roman" w:eastAsia="Times New Roman"/>
          <w:b w:val="0"/>
          <w:i w:val="0"/>
          <w:sz w:val="28"/>
        </w:rPr>
      </w:r>
    </w:p>
    <w:p>
      <w:pPr>
        <w:spacing w:line="240" w:lineRule="auto" w:before="0" w:after="0"/>
        <w:jc w:val="center"/>
      </w:pPr>
      <w:r>
        <w:rPr>
          <w:rFonts w:ascii="Times New Roman" w:hAnsi="Times New Roman" w:eastAsia="Times New Roman"/>
          <w:b/>
          <w:i w:val="0"/>
          <w:sz w:val="32"/>
        </w:rPr>
        <w:t>Николай Т. Илиев</w:t>
      </w:r>
    </w:p>
    <w:p>
      <w:pPr>
        <w:spacing w:line="240" w:lineRule="auto"/>
      </w:pPr>
      <w:r>
        <w:rPr>
          <w:rFonts w:ascii="Times New Roman" w:hAnsi="Times New Roman" w:eastAsia="Times New Roman"/>
          <w:b w:val="0"/>
          <w:i w:val="0"/>
          <w:sz w:val="28"/>
        </w:rPr>
      </w:r>
    </w:p>
    <w:p>
      <w:pPr>
        <w:spacing w:line="240" w:lineRule="auto" w:before="0" w:after="0"/>
        <w:jc w:val="center"/>
      </w:pPr>
      <w:r>
        <w:rPr>
          <w:rFonts w:ascii="Times New Roman" w:hAnsi="Times New Roman" w:eastAsia="Times New Roman"/>
          <w:b/>
          <w:i w:val="0"/>
          <w:sz w:val="32"/>
        </w:rPr>
        <w:t>LOSS OF CONTROL IN NATIONAL SECURITY SYSTEMS: COMPONENT AND FUNCTIONAL DIMENSIONS</w:t>
      </w:r>
    </w:p>
    <w:p>
      <w:pPr>
        <w:spacing w:line="240" w:lineRule="auto"/>
      </w:pPr>
      <w:r>
        <w:rPr>
          <w:rFonts w:ascii="Times New Roman" w:hAnsi="Times New Roman" w:eastAsia="Times New Roman"/>
          <w:b w:val="0"/>
          <w:i w:val="0"/>
          <w:sz w:val="28"/>
        </w:rPr>
      </w:r>
    </w:p>
    <w:p>
      <w:pPr>
        <w:spacing w:line="240" w:lineRule="auto" w:before="0" w:after="0"/>
        <w:jc w:val="center"/>
      </w:pPr>
      <w:r>
        <w:rPr>
          <w:rFonts w:ascii="Times New Roman" w:hAnsi="Times New Roman" w:eastAsia="Times New Roman"/>
          <w:b/>
          <w:i w:val="0"/>
          <w:sz w:val="32"/>
        </w:rPr>
        <w:t>Nikolay T. Iliev</w:t>
      </w:r>
    </w:p>
    <w:p>
      <w:pPr>
        <w:spacing w:line="240" w:lineRule="auto"/>
      </w:pPr>
      <w:r>
        <w:rPr>
          <w:rFonts w:ascii="Times New Roman" w:hAnsi="Times New Roman" w:eastAsia="Times New Roman"/>
          <w:b w:val="0"/>
          <w:i w:val="0"/>
          <w:sz w:val="28"/>
        </w:rPr>
      </w:r>
    </w:p>
    <w:p>
      <w:pPr>
        <w:spacing w:line="240" w:lineRule="auto"/>
      </w:pPr>
      <w:r>
        <w:rPr>
          <w:rFonts w:ascii="Times New Roman" w:hAnsi="Times New Roman" w:eastAsia="Times New Roman"/>
          <w:b w:val="0"/>
          <w:i w:val="0"/>
          <w:sz w:val="28"/>
        </w:rPr>
      </w:r>
    </w:p>
    <w:p>
      <w:pPr>
        <w:spacing w:line="240" w:lineRule="auto" w:before="0" w:after="0"/>
        <w:jc w:val="both"/>
      </w:pPr>
      <w:r>
        <w:rPr>
          <w:rFonts w:ascii="Times New Roman" w:hAnsi="Times New Roman"/>
          <w:b/>
          <w:i/>
          <w:sz w:val="24"/>
        </w:rPr>
        <w:t>Резюме: Докладът разглежда връзката между загубата на управленски компонент и промяната в изпълнението на управленската функция. Разграничават се състоянието на конкретния носител и функционалното състояние след неговото отпадане или ограничаване. Обосновава се, че функционална загуба е налице при доказано намаляване или прекъсване на изпълнението на конкретна управленска функция.</w:t>
      </w:r>
    </w:p>
    <w:p>
      <w:pPr>
        <w:spacing w:line="240" w:lineRule="auto"/>
      </w:pPr>
      <w:r>
        <w:rPr>
          <w:rFonts w:ascii="Times New Roman" w:hAnsi="Times New Roman" w:eastAsia="Times New Roman"/>
          <w:b w:val="0"/>
          <w:i w:val="0"/>
          <w:sz w:val="28"/>
        </w:rPr>
      </w:r>
    </w:p>
    <w:p>
      <w:pPr>
        <w:spacing w:line="240" w:lineRule="auto" w:before="0" w:after="0"/>
        <w:jc w:val="both"/>
      </w:pPr>
      <w:r>
        <w:rPr>
          <w:rFonts w:ascii="Times New Roman" w:hAnsi="Times New Roman" w:eastAsia="Times New Roman"/>
          <w:b/>
          <w:i/>
          <w:sz w:val="24"/>
        </w:rPr>
        <w:t>Ключови думи:</w:t>
      </w:r>
      <w:r>
        <w:rPr>
          <w:rFonts w:ascii="Times New Roman" w:hAnsi="Times New Roman" w:eastAsia="Times New Roman"/>
          <w:b w:val="0"/>
          <w:i/>
          <w:sz w:val="24"/>
        </w:rPr>
        <w:t xml:space="preserve"> загуба, управление, компонент, функция, национална сигурност</w:t>
      </w:r>
    </w:p>
    <w:p>
      <w:pPr>
        <w:spacing w:line="240" w:lineRule="auto"/>
      </w:pPr>
      <w:r>
        <w:rPr>
          <w:rFonts w:ascii="Times New Roman" w:hAnsi="Times New Roman" w:eastAsia="Times New Roman"/>
          <w:b w:val="0"/>
          <w:i w:val="0"/>
          <w:sz w:val="28"/>
        </w:rPr>
      </w:r>
    </w:p>
    <w:p>
      <w:pPr>
        <w:spacing w:line="240" w:lineRule="auto" w:before="0" w:after="0"/>
        <w:jc w:val="both"/>
      </w:pPr>
      <w:r>
        <w:rPr>
          <w:rFonts w:ascii="Times New Roman" w:hAnsi="Times New Roman"/>
          <w:b/>
          <w:i/>
          <w:sz w:val="24"/>
        </w:rPr>
        <w:t>Abstract: The paper examines the relationship between the loss of a control component and changes in the performance of a control function. It distinguishes the state of the specific carrier from the functional state after its loss or degradation. It argues that a functional loss is established when the performance of a specific control function is demonstrably reduced or interrupted.</w:t>
      </w:r>
    </w:p>
    <w:p>
      <w:pPr>
        <w:spacing w:line="240" w:lineRule="auto"/>
      </w:pPr>
      <w:r>
        <w:rPr>
          <w:rFonts w:ascii="Times New Roman" w:hAnsi="Times New Roman" w:eastAsia="Times New Roman"/>
          <w:b w:val="0"/>
          <w:i w:val="0"/>
          <w:sz w:val="28"/>
        </w:rPr>
      </w:r>
    </w:p>
    <w:p>
      <w:pPr>
        <w:spacing w:line="240" w:lineRule="auto" w:before="0" w:after="0"/>
        <w:jc w:val="both"/>
      </w:pPr>
      <w:r>
        <w:rPr>
          <w:rFonts w:ascii="Times New Roman" w:hAnsi="Times New Roman" w:eastAsia="Times New Roman"/>
          <w:b/>
          <w:i/>
          <w:sz w:val="24"/>
        </w:rPr>
        <w:t>Keywords:</w:t>
      </w:r>
      <w:r>
        <w:rPr>
          <w:rFonts w:ascii="Times New Roman" w:hAnsi="Times New Roman" w:eastAsia="Times New Roman"/>
          <w:b w:val="0"/>
          <w:i/>
          <w:sz w:val="24"/>
        </w:rPr>
        <w:t xml:space="preserve"> loss, control, component, function, national security</w:t>
      </w:r>
    </w:p>
    <w:p>
      <w:pPr>
        <w:spacing w:line="240" w:lineRule="auto"/>
      </w:pPr>
      <w:r>
        <w:rPr>
          <w:rFonts w:ascii="Times New Roman" w:hAnsi="Times New Roman" w:eastAsia="Times New Roman"/>
          <w:b w:val="0"/>
          <w:i w:val="0"/>
          <w:sz w:val="28"/>
        </w:rPr>
      </w:r>
    </w:p>
    <w:p>
      <w:pPr>
        <w:spacing w:line="240" w:lineRule="auto"/>
      </w:pPr>
      <w:r>
        <w:rPr>
          <w:rFonts w:ascii="Times New Roman" w:hAnsi="Times New Roman" w:eastAsia="Times New Roman"/>
          <w:b w:val="0"/>
          <w:i w:val="0"/>
          <w:sz w:val="28"/>
        </w:rPr>
      </w:r>
    </w:p>
    <w:p>
      <w:pPr>
        <w:spacing w:line="240" w:lineRule="auto" w:before="160" w:after="0"/>
        <w:jc w:val="left"/>
      </w:pPr>
      <w:r>
        <w:rPr>
          <w:rFonts w:ascii="Times New Roman" w:hAnsi="Times New Roman" w:eastAsia="Times New Roman"/>
          <w:b/>
          <w:i w:val="0"/>
          <w:sz w:val="28"/>
        </w:rPr>
        <w:t>ВЪВЕДЕНИЕ</w:t>
      </w:r>
    </w:p>
    <w:p>
      <w:pPr>
        <w:spacing w:line="240" w:lineRule="auto" w:before="0" w:after="0"/>
        <w:ind w:firstLine="454"/>
        <w:jc w:val="both"/>
      </w:pPr>
      <w:r>
        <w:rPr>
          <w:rFonts w:ascii="Times New Roman" w:hAnsi="Times New Roman" w:eastAsia="Times New Roman"/>
          <w:b w:val="0"/>
          <w:i w:val="0"/>
          <w:sz w:val="28"/>
        </w:rPr>
        <w:t>Управлението осигурява съгласуваното действие на системите за национална сигурност. Чрез него се събират и обработват сведения, вземат се решения, поставят се задачи, координират се действия и се проследява изпълнението. Във въоръжените сили тези дейности се осъществяват в рамките на ръководството, командването и управлението и се поддържат от съответната система [1].</w:t>
      </w:r>
    </w:p>
    <w:p>
      <w:pPr>
        <w:spacing w:line="240" w:lineRule="auto" w:before="0" w:after="0"/>
        <w:ind w:firstLine="454"/>
        <w:jc w:val="both"/>
      </w:pPr>
      <w:r>
        <w:rPr>
          <w:rFonts w:ascii="Times New Roman" w:hAnsi="Times New Roman" w:eastAsia="Times New Roman"/>
          <w:b w:val="0"/>
          <w:i w:val="0"/>
          <w:sz w:val="28"/>
        </w:rPr>
        <w:t>На практика управлението се осъществява чрез конкретни хора, органи, пунктове, комуникационни и информационни средства, процедури и установени организационни отношения. Това поставя конкретен въпрос при настъпване на загуба: какво точно е загубено — определен носител или самата управленска функция?</w:t>
      </w:r>
    </w:p>
    <w:p>
      <w:pPr>
        <w:spacing w:line="240" w:lineRule="auto" w:before="0" w:after="0"/>
        <w:ind w:firstLine="454"/>
        <w:jc w:val="both"/>
      </w:pPr>
      <w:r>
        <w:rPr>
          <w:rFonts w:ascii="Times New Roman" w:hAnsi="Times New Roman" w:eastAsia="Times New Roman"/>
          <w:b w:val="0"/>
          <w:i w:val="0"/>
          <w:sz w:val="28"/>
        </w:rPr>
        <w:t>Отпадането на управленски компонент е пряко установим факт за състоянието на конкретен елемент. Отражението върху управлението се вижда в начина, по който след това се изпълнява съответната дейност. Двете положения са свързани, но не са тъждествени. Един и същ тип компонентна загуба може да доведе до прекъсване на функцията, до ограничено изпълнение или да остави основната дейност практически запазена.</w:t>
      </w:r>
    </w:p>
    <w:p>
      <w:pPr>
        <w:spacing w:line="240" w:lineRule="auto" w:before="0" w:after="0"/>
        <w:ind w:firstLine="454"/>
        <w:jc w:val="both"/>
      </w:pPr>
      <w:r>
        <w:rPr>
          <w:rFonts w:ascii="Times New Roman" w:hAnsi="Times New Roman" w:eastAsia="Times New Roman"/>
          <w:b w:val="0"/>
          <w:i w:val="0"/>
          <w:sz w:val="28"/>
        </w:rPr>
        <w:t>Възможна е и обратната ситуация. Носителят може физически да е наличен, а участието му в управлението да е ограничено от прекъсната свързаност, липса на достъп до необходима информация, ограничени правомощия или други условия на използване. Затова физическата наличност на носителя и състоянието на функцията трябва да се проверяват отделно.</w:t>
      </w:r>
    </w:p>
    <w:p>
      <w:pPr>
        <w:spacing w:line="240" w:lineRule="auto" w:before="0" w:after="0"/>
        <w:ind w:firstLine="454"/>
        <w:jc w:val="both"/>
      </w:pPr>
      <w:r>
        <w:rPr>
          <w:rFonts w:ascii="Times New Roman" w:hAnsi="Times New Roman" w:eastAsia="Times New Roman"/>
          <w:b w:val="0"/>
          <w:i w:val="0"/>
          <w:sz w:val="28"/>
        </w:rPr>
        <w:t>Целта на доклада е да се изясни отношението между загубата на управленски компонент и изменението в изпълнението на управленската функция и на тази основа да се очертае границата между компонентна загуба и загуба на управление.</w:t>
      </w:r>
    </w:p>
    <w:p>
      <w:pPr>
        <w:spacing w:line="240" w:lineRule="auto" w:before="160" w:after="0"/>
        <w:jc w:val="left"/>
      </w:pPr>
      <w:r>
        <w:rPr>
          <w:rFonts w:ascii="Times New Roman" w:hAnsi="Times New Roman" w:eastAsia="Times New Roman"/>
          <w:b/>
          <w:i w:val="0"/>
          <w:sz w:val="28"/>
        </w:rPr>
        <w:t>1. УПРАВЛЕНСКИ КОМПОНЕНТ И УПРАВЛЕНСКА ФУНКЦИЯ</w:t>
      </w:r>
    </w:p>
    <w:p>
      <w:pPr>
        <w:spacing w:line="240" w:lineRule="auto" w:before="0" w:after="0"/>
        <w:ind w:firstLine="454"/>
        <w:jc w:val="both"/>
      </w:pPr>
      <w:r>
        <w:rPr>
          <w:rFonts w:ascii="Times New Roman" w:hAnsi="Times New Roman" w:eastAsia="Times New Roman"/>
          <w:b w:val="0"/>
          <w:i w:val="0"/>
          <w:sz w:val="28"/>
        </w:rPr>
        <w:t>Системата за командване и управление включва различни по характер елементи. Българската военна доктрина я определя като единство на личен състав, инфраструктура, оборудване и процедури, чрез които се осигуряват планирането, ръководството, координацията, взаимодействието и контролът [2]. В американската доктрина същият проблем е представен чрез хора, процеси, мрежи и командни пунктове като компоненти на системата за командване и управление [3]. Макар терминологията да е различна, и в двата случая управлението се осъществява чрез съвместното действие на няколко вида носители.</w:t>
      </w:r>
    </w:p>
    <w:p>
      <w:pPr>
        <w:spacing w:line="240" w:lineRule="auto" w:before="0" w:after="0"/>
        <w:ind w:firstLine="454"/>
        <w:jc w:val="both"/>
      </w:pPr>
      <w:r>
        <w:rPr>
          <w:rFonts w:ascii="Times New Roman" w:hAnsi="Times New Roman" w:eastAsia="Times New Roman"/>
          <w:b w:val="0"/>
          <w:i w:val="0"/>
          <w:sz w:val="28"/>
        </w:rPr>
        <w:t>Тук под управленски компонент се разбира конкретен носител, чието състояние е релевантно за изпълнението на определена управленска дейност. Такъв носител може да бъде човек, орган, пункт, техническо средство, комуникационна връзка, информационен ресурс или организационно отношение. Управленската функция се изразява в реалното осъществяване на дейности като получаване и обработване на информация, вземане и довеждане на решения, поставяне на задачи, координация и контрол.</w:t>
      </w:r>
    </w:p>
    <w:p>
      <w:pPr>
        <w:spacing w:line="240" w:lineRule="auto" w:before="0" w:after="0"/>
        <w:ind w:firstLine="454"/>
        <w:jc w:val="both"/>
      </w:pPr>
      <w:r>
        <w:rPr>
          <w:rFonts w:ascii="Times New Roman" w:hAnsi="Times New Roman" w:eastAsia="Times New Roman"/>
          <w:b w:val="0"/>
          <w:i w:val="0"/>
          <w:sz w:val="28"/>
        </w:rPr>
        <w:t>Връзката между компонент и функция рядко е еднозначна. Един елемент може да участва в няколко дейности, а една дейност обикновено зависи от повече от един елемент. Загубата на конкретен носител описва състоянието на компонента; функционалният резултат се определя според това как се изменя изпълнението на дейността.</w:t>
      </w:r>
    </w:p>
    <w:p>
      <w:pPr>
        <w:spacing w:line="240" w:lineRule="auto" w:before="0" w:after="0"/>
        <w:ind w:firstLine="454"/>
        <w:jc w:val="both"/>
      </w:pPr>
      <w:r>
        <w:rPr>
          <w:rFonts w:ascii="Times New Roman" w:hAnsi="Times New Roman" w:eastAsia="Times New Roman"/>
          <w:b w:val="0"/>
          <w:i w:val="0"/>
          <w:sz w:val="28"/>
        </w:rPr>
        <w:t>Прекъсването на отделен комуникационен канал например е конкретна компонентна загуба. За състоянието на управлението е важно дали необходимата информация и решения продължават да достигат до адресатите, с какво закъснение и с каква пълнота. Същата логика важи при отпадане на пункт, работно място или отделен орган: фактът на загубата е установим на компонентно равнище, докато отражението върху управлението се вижда в изпълнението на дейността.</w:t>
      </w:r>
    </w:p>
    <w:p>
      <w:pPr>
        <w:spacing w:line="240" w:lineRule="auto" w:before="0" w:after="0"/>
        <w:ind w:firstLine="454"/>
        <w:jc w:val="both"/>
      </w:pPr>
      <w:r>
        <w:rPr>
          <w:rFonts w:ascii="Times New Roman" w:hAnsi="Times New Roman" w:eastAsia="Times New Roman"/>
          <w:b w:val="0"/>
          <w:i w:val="0"/>
          <w:sz w:val="28"/>
        </w:rPr>
        <w:t>Същото разграничение е важно и в обратна посока. Физически наличен елемент може да има ограничена функционална роля, ако достъпът до него е прекъснат или връзката му с останалите елементи е нарушена. Затова състоянието на носителя и състоянието на функцията се установяват отделно, макар да са част от един и същ управленски процес.</w:t>
      </w:r>
    </w:p>
    <w:p>
      <w:pPr>
        <w:spacing w:line="240" w:lineRule="auto" w:before="160" w:after="0"/>
        <w:jc w:val="left"/>
      </w:pPr>
      <w:r>
        <w:rPr>
          <w:rFonts w:ascii="Times New Roman" w:hAnsi="Times New Roman" w:eastAsia="Times New Roman"/>
          <w:b/>
          <w:i w:val="0"/>
          <w:sz w:val="28"/>
        </w:rPr>
        <w:t>2. ФОРМИ НА КОМПОНЕНТНА ЗАГУБА В УПРАВЛЕНИЕТО</w:t>
      </w:r>
    </w:p>
    <w:p>
      <w:pPr>
        <w:spacing w:line="240" w:lineRule="auto" w:before="0" w:after="0"/>
        <w:ind w:firstLine="454"/>
        <w:jc w:val="both"/>
      </w:pPr>
      <w:r>
        <w:rPr>
          <w:rFonts w:ascii="Times New Roman" w:hAnsi="Times New Roman" w:eastAsia="Times New Roman"/>
          <w:b w:val="0"/>
          <w:i w:val="0"/>
          <w:sz w:val="28"/>
        </w:rPr>
        <w:t>Формата на компонентната загуба зависи от характера на засегнатия носител. Общото между тези форми е конкретното отпадане или намаляване на характеристика, която има значение за участието на компонента в управленския процес.</w:t>
      </w:r>
    </w:p>
    <w:p>
      <w:pPr>
        <w:spacing w:line="240" w:lineRule="auto" w:before="0" w:after="0"/>
        <w:ind w:firstLine="454"/>
        <w:jc w:val="both"/>
      </w:pPr>
      <w:r>
        <w:rPr>
          <w:rFonts w:ascii="Times New Roman" w:hAnsi="Times New Roman" w:eastAsia="Times New Roman"/>
          <w:b w:val="0"/>
          <w:i w:val="0"/>
          <w:sz w:val="28"/>
        </w:rPr>
        <w:t>При загуба на човешки носител може да бъде засегнат командир, ръководител, длъжностно лице или специалист. За анализа е важно каква роля е изпълнявало конкретното лице. Състоянието на функцията се определя отделно — чрез това кои управленски дейности продължават и кои се променят след отпадането му.</w:t>
      </w:r>
    </w:p>
    <w:p>
      <w:pPr>
        <w:spacing w:line="240" w:lineRule="auto" w:before="0" w:after="0"/>
        <w:ind w:firstLine="454"/>
        <w:jc w:val="both"/>
      </w:pPr>
      <w:r>
        <w:rPr>
          <w:rFonts w:ascii="Times New Roman" w:hAnsi="Times New Roman" w:eastAsia="Times New Roman"/>
          <w:b w:val="0"/>
          <w:i w:val="0"/>
          <w:sz w:val="28"/>
        </w:rPr>
        <w:t>При организационен носител предмет на анализа е органът или структурното звено, на което са възложени определени задачи, правомощия и информационни връзки. Загубата му може да засегне повече от една дейност. Функционалното отражение личи по това кои дейности продължават да се изпълняват и кои са ограничени или прекъснати.</w:t>
      </w:r>
    </w:p>
    <w:p>
      <w:pPr>
        <w:spacing w:line="240" w:lineRule="auto" w:before="0" w:after="0"/>
        <w:ind w:firstLine="454"/>
        <w:jc w:val="both"/>
      </w:pPr>
      <w:r>
        <w:rPr>
          <w:rFonts w:ascii="Times New Roman" w:hAnsi="Times New Roman" w:eastAsia="Times New Roman"/>
          <w:b w:val="0"/>
          <w:i w:val="0"/>
          <w:sz w:val="28"/>
        </w:rPr>
        <w:t>Пунктовете за управление, работните места и техническата инфраструктура формират друг тип носители. Съвременната българска доктрина разглежда инфраструктурата и оборудването като отделна част от системата за командване и управление и включва различни пунктове и интегрирани комуникационни и информационни средства [4]. Отпадането или недостъпността на такъв елемент установява компонентна загуба; функционалният резултат зависи от това кои дейности фактически остават изпълними.</w:t>
      </w:r>
    </w:p>
    <w:p>
      <w:pPr>
        <w:spacing w:line="240" w:lineRule="auto" w:before="0" w:after="0"/>
        <w:ind w:firstLine="454"/>
        <w:jc w:val="both"/>
      </w:pPr>
      <w:r>
        <w:rPr>
          <w:rFonts w:ascii="Times New Roman" w:hAnsi="Times New Roman" w:eastAsia="Times New Roman"/>
          <w:b w:val="0"/>
          <w:i w:val="0"/>
          <w:sz w:val="28"/>
        </w:rPr>
        <w:t>Комуникационните и информационните компоненти поставят сходен проблем. Загуба може да се прояви чрез прекъсване на канал, недостъпност на система, отпадане на информация или намаляване на нейна релевантна характеристика. Физическото състояние на техническия носител е само част от картината, защото управлението зависи от възможността информацията да бъде получена, обработена и използвана навреме.</w:t>
      </w:r>
    </w:p>
    <w:p>
      <w:pPr>
        <w:spacing w:line="240" w:lineRule="auto" w:before="0" w:after="0"/>
        <w:ind w:firstLine="454"/>
        <w:jc w:val="both"/>
      </w:pPr>
      <w:r>
        <w:rPr>
          <w:rFonts w:ascii="Times New Roman" w:hAnsi="Times New Roman"/>
          <w:b w:val="0"/>
          <w:i w:val="0"/>
          <w:sz w:val="28"/>
        </w:rPr>
        <w:t>Към компонентното равнище могат да се отнесат и загуба или ограничаване на правомощия, достъп или организационна свързаност, когато тези характеристики принадлежат на определим носител и са релевантни за участието му в управлението. Така компонентната загуба обхваща не само отпадането на материалния носител, но и намаляването на характеристика, необходима за неговото участие в управленския процес.</w:t>
      </w:r>
    </w:p>
    <w:p>
      <w:pPr>
        <w:spacing w:line="240" w:lineRule="auto" w:before="160" w:after="0"/>
        <w:jc w:val="left"/>
      </w:pPr>
      <w:r>
        <w:rPr>
          <w:rFonts w:ascii="Times New Roman" w:hAnsi="Times New Roman" w:eastAsia="Times New Roman"/>
          <w:b/>
          <w:i w:val="0"/>
          <w:sz w:val="28"/>
        </w:rPr>
        <w:t>3. ОТ КОМПОНЕНТНО ИЗМЕНЕНИЕ КЪМ ФУНКЦИОНАЛНО ОТРАЖЕНИЕ</w:t>
      </w:r>
    </w:p>
    <w:p>
      <w:pPr>
        <w:spacing w:line="240" w:lineRule="auto" w:before="0" w:after="0"/>
        <w:ind w:firstLine="454"/>
        <w:jc w:val="both"/>
      </w:pPr>
      <w:r>
        <w:rPr>
          <w:rFonts w:ascii="Times New Roman" w:hAnsi="Times New Roman" w:eastAsia="Times New Roman"/>
          <w:b w:val="0"/>
          <w:i w:val="0"/>
          <w:sz w:val="28"/>
        </w:rPr>
        <w:t>След установяването на компонентната загуба възниква втори въпрос: как се е променило изпълнението на управленската дейност. Тук формалното място на засегнатия елемент има значение, но решаваща е фактическата му роля в конкретната ситуация.</w:t>
      </w:r>
    </w:p>
    <w:p>
      <w:pPr>
        <w:spacing w:line="240" w:lineRule="auto" w:before="0" w:after="0"/>
        <w:ind w:firstLine="454"/>
        <w:jc w:val="both"/>
      </w:pPr>
      <w:r>
        <w:rPr>
          <w:rFonts w:ascii="Times New Roman" w:hAnsi="Times New Roman" w:eastAsia="Times New Roman"/>
          <w:b w:val="0"/>
          <w:i w:val="0"/>
          <w:sz w:val="28"/>
        </w:rPr>
        <w:t>Системите за командване и управление подпомагат вземането на решения, осигуряват релевантна информация и довеждат указанията до изпълнителите. В американската военна доктрина тези задачи са разглеждани като взаимно свързани функции на системата за командване и управление [5]. Затова отражението на компонентната загуба се търси в това дали и как конкретната дейност продължава да се изпълнява, а не само в техническото състояние на елемента.</w:t>
      </w:r>
    </w:p>
    <w:p>
      <w:pPr>
        <w:spacing w:line="240" w:lineRule="auto" w:before="0" w:after="0"/>
        <w:ind w:firstLine="454"/>
        <w:jc w:val="both"/>
      </w:pPr>
      <w:r>
        <w:rPr>
          <w:rFonts w:ascii="Times New Roman" w:hAnsi="Times New Roman" w:eastAsia="Times New Roman"/>
          <w:b w:val="0"/>
          <w:i w:val="0"/>
          <w:sz w:val="28"/>
        </w:rPr>
        <w:t>Най-ясният случай е пълното прекъсване на дейност, която засегнатият компонент е осигурявал непосредствено. Тогава може да се проследи както самата компонентна загуба, така и настъпилото функционално изменение. В други случаи дейността продължава, но с по-малък обем, закъснение, ограничен информационен обмен или друга доказуема промяна.</w:t>
      </w:r>
    </w:p>
    <w:p>
      <w:pPr>
        <w:spacing w:line="240" w:lineRule="auto" w:before="0" w:after="0"/>
        <w:ind w:firstLine="454"/>
        <w:jc w:val="both"/>
      </w:pPr>
      <w:r>
        <w:rPr>
          <w:rFonts w:ascii="Times New Roman" w:hAnsi="Times New Roman" w:eastAsia="Times New Roman"/>
          <w:b w:val="0"/>
          <w:i w:val="0"/>
          <w:sz w:val="28"/>
        </w:rPr>
        <w:t>Има и случаи, при които компонентът отпада, а основната управленска дейност остава изпълнима. Тогава компонентната загуба е налице, но дейността не се прекъсва напълно. Причините за запазването на функцията могат да бъдат различни.</w:t>
      </w:r>
    </w:p>
    <w:p>
      <w:pPr>
        <w:spacing w:line="240" w:lineRule="auto" w:before="0" w:after="0"/>
        <w:ind w:firstLine="454"/>
        <w:jc w:val="both"/>
      </w:pPr>
      <w:r>
        <w:rPr>
          <w:rFonts w:ascii="Times New Roman" w:hAnsi="Times New Roman"/>
          <w:b w:val="0"/>
          <w:i w:val="0"/>
          <w:sz w:val="28"/>
        </w:rPr>
        <w:t>Доказателствата тук са от два различни вида. Едните се отнасят до състоянието на носителя — отпадане, недостъпност или намаляване на релевантна характеристика. Другите показват как се изпълнява функцията след това — например без установима промяна, с ограничение или с прекъсване на конкретна управленска дейност. Връзката между двете се установява чрез развитието на конкретния случай.</w:t>
      </w:r>
    </w:p>
    <w:p>
      <w:pPr>
        <w:spacing w:line="240" w:lineRule="auto" w:before="0" w:after="0"/>
        <w:ind w:firstLine="454"/>
        <w:jc w:val="both"/>
      </w:pPr>
      <w:r>
        <w:rPr>
          <w:rFonts w:ascii="Times New Roman" w:hAnsi="Times New Roman"/>
          <w:b w:val="0"/>
          <w:i w:val="0"/>
          <w:sz w:val="28"/>
        </w:rPr>
        <w:t>Разделянето на двата въпроса е важно и за причинния анализ. Изпълнението на функцията може да е намалено, а наличните данни да сочат и други фактори освен разглежданата компонентна загуба. Обратно, самата зависимост между компонент и функция не доказва, че във всеки конкретен случай е настъпило функционално изменение. Това съответства на разбирането, че командването и управлението може да се организира чрез различни организационни и технически конфигурации [6].</w:t>
      </w:r>
    </w:p>
    <w:p>
      <w:pPr>
        <w:spacing w:line="240" w:lineRule="auto" w:before="160" w:after="0"/>
        <w:jc w:val="left"/>
      </w:pPr>
      <w:r>
        <w:rPr>
          <w:rFonts w:ascii="Times New Roman" w:hAnsi="Times New Roman" w:eastAsia="Times New Roman"/>
          <w:b/>
          <w:i w:val="0"/>
          <w:sz w:val="28"/>
        </w:rPr>
        <w:t>4. ФАКТИЧЕСКО СЪСТОЯНИЕ НА УПРАВЛЕНСКАТА ФУНКЦИЯ</w:t>
      </w:r>
    </w:p>
    <w:p>
      <w:pPr>
        <w:spacing w:line="240" w:lineRule="auto" w:before="0" w:after="0"/>
        <w:ind w:firstLine="454"/>
        <w:jc w:val="both"/>
      </w:pPr>
      <w:r>
        <w:rPr>
          <w:rFonts w:ascii="Times New Roman" w:hAnsi="Times New Roman" w:eastAsia="Times New Roman"/>
          <w:b w:val="0"/>
          <w:i w:val="0"/>
          <w:sz w:val="28"/>
        </w:rPr>
        <w:t>Функционалното състояние след компонентна загуба рядко може да се опише достатъчно точно чрез простото противопоставяне „има управление“ и „няма управление“. Практически значими са и междинните положения, при които дейността продължава, но при изменени условия.</w:t>
      </w:r>
    </w:p>
    <w:p>
      <w:pPr>
        <w:spacing w:line="240" w:lineRule="auto" w:before="0" w:after="0"/>
        <w:ind w:firstLine="454"/>
        <w:jc w:val="both"/>
      </w:pPr>
      <w:r>
        <w:rPr>
          <w:rFonts w:ascii="Times New Roman" w:hAnsi="Times New Roman"/>
          <w:b w:val="0"/>
          <w:i w:val="0"/>
          <w:sz w:val="28"/>
        </w:rPr>
        <w:t>Когато управленската дейност се запазва в необходимия обем и при релевантните за анализа характеристики, компонентната загуба остава самостоятелен факт, но функционална загуба за разглежданата дейност и момент не се установява. При доказуемо намаляване на обема, скоростта, достъпа или качеството на информационния обмен е налице ограничено функционално изпълнение. При фактическо прекъсване на конкретната дейност се установява пълна загуба на съответната функция за разглеждания момент или период.</w:t>
      </w:r>
    </w:p>
    <w:p>
      <w:pPr>
        <w:spacing w:line="240" w:lineRule="auto" w:before="0" w:after="0"/>
        <w:ind w:firstLine="454"/>
        <w:jc w:val="both"/>
      </w:pPr>
      <w:r>
        <w:rPr>
          <w:rFonts w:ascii="Times New Roman" w:hAnsi="Times New Roman"/>
          <w:b w:val="0"/>
          <w:i w:val="0"/>
          <w:sz w:val="28"/>
        </w:rPr>
        <w:t>Тези проявления служат за описание на наблюдаваното състояние. Във всеки конкретен случай следва да се посочи каква дейност се изпълнява, в каква степен и за кой момент или период; при необходимост могат да се използват и по-прецизни показатели, съобразени с конкретната функция.</w:t>
      </w:r>
    </w:p>
    <w:p>
      <w:pPr>
        <w:spacing w:line="240" w:lineRule="auto" w:before="0" w:after="0"/>
        <w:ind w:firstLine="454"/>
        <w:jc w:val="both"/>
      </w:pPr>
      <w:r>
        <w:rPr>
          <w:rFonts w:ascii="Times New Roman" w:hAnsi="Times New Roman" w:eastAsia="Times New Roman"/>
          <w:b w:val="0"/>
          <w:i w:val="0"/>
          <w:sz w:val="28"/>
        </w:rPr>
        <w:t>Времето също има значение. Дейност, прекъсната непосредствено след загубата, може по-късно да бъде възобновена в различна степен. За всеки разглеждан момент трябва да се описва реалното състояние, а не предполагаемото или предвиденото в организационните планове.</w:t>
      </w:r>
    </w:p>
    <w:p>
      <w:pPr>
        <w:spacing w:line="240" w:lineRule="auto" w:before="0" w:after="0"/>
        <w:ind w:firstLine="454"/>
        <w:jc w:val="both"/>
      </w:pPr>
      <w:r>
        <w:rPr>
          <w:rFonts w:ascii="Times New Roman" w:hAnsi="Times New Roman" w:eastAsia="Times New Roman"/>
          <w:b w:val="0"/>
          <w:i w:val="0"/>
          <w:sz w:val="28"/>
        </w:rPr>
        <w:t>Тази логика е съвместима и с изискването за устойчивост и непрекъснатост на командването и управлението. Българската доктрина изисква системата да може да функционира в неблагоприятна среда и да поддържа непрекъснато ръководене на подчинените сили [7]. Самото наличие на такова изискване обаче не заменя проверката на реалното изпълнение при конкретна загуба.</w:t>
      </w:r>
    </w:p>
    <w:p>
      <w:pPr>
        <w:spacing w:line="240" w:lineRule="auto" w:before="160" w:after="0"/>
        <w:jc w:val="left"/>
      </w:pPr>
      <w:r>
        <w:rPr>
          <w:rFonts w:ascii="Times New Roman" w:hAnsi="Times New Roman" w:eastAsia="Times New Roman"/>
          <w:b/>
          <w:i w:val="0"/>
          <w:sz w:val="28"/>
        </w:rPr>
        <w:t>5. ГРАНИЦА МЕЖДУ ЗАГУБА НА НОСИТЕЛ И ЗАГУБА НА УПРАВЛЕНИЕ</w:t>
      </w:r>
    </w:p>
    <w:p>
      <w:pPr>
        <w:spacing w:line="240" w:lineRule="auto" w:before="0" w:after="0"/>
        <w:ind w:firstLine="454"/>
        <w:jc w:val="both"/>
      </w:pPr>
      <w:r>
        <w:rPr>
          <w:rFonts w:ascii="Times New Roman" w:hAnsi="Times New Roman" w:eastAsia="Times New Roman"/>
          <w:b w:val="0"/>
          <w:i w:val="0"/>
          <w:sz w:val="28"/>
        </w:rPr>
        <w:t>Основната граница е между състоянието на носителя и изпълнението на функцията. Загубата на управленски компонент се отнася до конкретния носител. Загубата на управление се отнася до реалното изпълнение на функцията, в която този носител участва.</w:t>
      </w:r>
    </w:p>
    <w:p>
      <w:pPr>
        <w:spacing w:line="240" w:lineRule="auto" w:before="0" w:after="0"/>
        <w:ind w:firstLine="454"/>
        <w:jc w:val="both"/>
      </w:pPr>
      <w:r>
        <w:rPr>
          <w:rFonts w:ascii="Times New Roman" w:hAnsi="Times New Roman"/>
          <w:b w:val="0"/>
          <w:i w:val="0"/>
          <w:sz w:val="28"/>
        </w:rPr>
        <w:t>Компонентната загуба се установява чрез отпадане, недостъпност или намаляване на релевантна характеристика на определим елемент спрямо релевантно сравнително състояние. За функционалното равнище е необходимо отделно да се установи какво се е променило в самата управленска дейност спрямо релевантно за нея сравнително състояние. Ето защо загубата на конкретен носител сама по себе си не е достатъчна за извод, че управлението е загубено.</w:t>
      </w:r>
    </w:p>
    <w:p>
      <w:pPr>
        <w:spacing w:line="240" w:lineRule="auto" w:before="0" w:after="0"/>
        <w:ind w:firstLine="454"/>
        <w:jc w:val="both"/>
      </w:pPr>
      <w:r>
        <w:rPr>
          <w:rFonts w:ascii="Times New Roman" w:hAnsi="Times New Roman"/>
          <w:b w:val="0"/>
          <w:i w:val="0"/>
          <w:sz w:val="28"/>
        </w:rPr>
        <w:t>Когато след компонентната загуба дейността продължава с изменени параметри, анализът трябва да посочи конкретното намаляване в изпълнението. То представлява реализирана загуба на функционално равнище, без непременно да означава пълна загуба на управление. Ако изпълнението се запазва без доказуемо намаляване на релевантните характеристики, компонентната загуба остава факт, но функционална загуба не се установява за разглежданата дейност и момент. Пълна загуба на съответната функция е налице при фактическото ѝ прекъсване.</w:t>
      </w:r>
    </w:p>
    <w:p>
      <w:pPr>
        <w:spacing w:line="240" w:lineRule="auto" w:before="0" w:after="0"/>
        <w:ind w:firstLine="454"/>
        <w:jc w:val="both"/>
      </w:pPr>
      <w:r>
        <w:rPr>
          <w:rFonts w:ascii="Times New Roman" w:hAnsi="Times New Roman"/>
          <w:b w:val="0"/>
          <w:i w:val="0"/>
          <w:sz w:val="28"/>
        </w:rPr>
        <w:t>На тази основа загубата на управленски компонент може да бъде определена като реализирана загуба спрямо конкретен носител или релевантна негова характеристика. На функционално равнище реализирана загуба в управлението е налице при фактически настъпило и доказателствено установимо намаляване на изпълнението на конкретна управленска функция спрямо релевантно сравнително състояние, а пълна загуба на функцията — при нейното прекъсване за разглеждания момент или период.</w:t>
      </w:r>
    </w:p>
    <w:p>
      <w:pPr>
        <w:spacing w:line="240" w:lineRule="auto" w:before="0" w:after="0"/>
        <w:ind w:firstLine="454"/>
        <w:jc w:val="both"/>
      </w:pPr>
      <w:r>
        <w:rPr>
          <w:rFonts w:ascii="Times New Roman" w:hAnsi="Times New Roman"/>
          <w:b w:val="0"/>
          <w:i w:val="0"/>
          <w:sz w:val="28"/>
        </w:rPr>
        <w:t>Двете положения могат да възникнат едновременно, но това не е задължително. Затова анализът трябва да отговори на два отделни въпроса: какво е настъпило с носителя и как се изпълнява конкретната функция след това. Изводът за отделна управленска функция остава в нейните аналитични граници; заключение за състоянието на управлението като цяло изисква отделна оценка на релевантните функции.</w:t>
      </w:r>
    </w:p>
    <w:p>
      <w:pPr>
        <w:spacing w:line="240" w:lineRule="auto" w:before="0" w:after="0"/>
        <w:ind w:firstLine="454"/>
        <w:jc w:val="both"/>
      </w:pPr>
      <w:r>
        <w:rPr>
          <w:rFonts w:ascii="Times New Roman" w:hAnsi="Times New Roman" w:eastAsia="Times New Roman"/>
          <w:b w:val="0"/>
          <w:i w:val="0"/>
          <w:sz w:val="28"/>
        </w:rPr>
        <w:t>Видимата тежест на физическото поражение също може да подведе. Значително компонентно увреждане може да има ограничено отражение върху управленската дейност, а сравнително малка промяна в друг елемент да доведе до съществено функционално нарушение. Затова оценката трябва да следва реалното изпълнение на дейността.</w:t>
      </w:r>
    </w:p>
    <w:p>
      <w:pPr>
        <w:spacing w:line="240" w:lineRule="auto" w:before="160" w:after="0"/>
        <w:jc w:val="left"/>
      </w:pPr>
      <w:r>
        <w:rPr>
          <w:rFonts w:ascii="Times New Roman" w:hAnsi="Times New Roman" w:eastAsia="Times New Roman"/>
          <w:b/>
          <w:i w:val="0"/>
          <w:sz w:val="28"/>
        </w:rPr>
        <w:t>6. ЗНАЧЕНИЕ ЗА АНАЛИЗА НА СИСТЕМИТЕ ЗА НАЦИОНАЛНА СИГУРНОСТ</w:t>
      </w:r>
    </w:p>
    <w:p>
      <w:pPr>
        <w:spacing w:line="240" w:lineRule="auto" w:before="0" w:after="0"/>
        <w:ind w:firstLine="454"/>
        <w:jc w:val="both"/>
      </w:pPr>
      <w:r>
        <w:rPr>
          <w:rFonts w:ascii="Times New Roman" w:hAnsi="Times New Roman"/>
          <w:b w:val="0"/>
          <w:i w:val="0"/>
          <w:sz w:val="28"/>
        </w:rPr>
        <w:t>По своята логика разграничението не се ограничава до военния контекст. То е приложимо към системи за национална сигурност, в които управленските дейности се осъществяват чрез определими човешки, организационни, технически и информационни носители. НАТО също разглежда командването и управлението като способност, основана на човешкия капацитет и подпомагана от информационните технологии [8].</w:t>
      </w:r>
    </w:p>
    <w:p>
      <w:pPr>
        <w:spacing w:line="240" w:lineRule="auto" w:before="0" w:after="0"/>
        <w:ind w:firstLine="454"/>
        <w:jc w:val="both"/>
      </w:pPr>
      <w:r>
        <w:rPr>
          <w:rFonts w:ascii="Times New Roman" w:hAnsi="Times New Roman" w:eastAsia="Times New Roman"/>
          <w:b w:val="0"/>
          <w:i w:val="0"/>
          <w:sz w:val="28"/>
        </w:rPr>
        <w:t>На практика разграничението води до по-точна оценка на загубата. Приравняването на отпадналия компонент с отпаднала функция може да преувеличи резултата, когато дейността продължава. Самото физическо наличие на елементите също може да създаде подвеждаща картина, ако реалното изпълнение вече е ограничено.</w:t>
      </w:r>
    </w:p>
    <w:p>
      <w:pPr>
        <w:spacing w:line="240" w:lineRule="auto" w:before="0" w:after="0"/>
        <w:ind w:firstLine="454"/>
        <w:jc w:val="both"/>
      </w:pPr>
      <w:r>
        <w:rPr>
          <w:rFonts w:ascii="Times New Roman" w:hAnsi="Times New Roman" w:eastAsia="Times New Roman"/>
          <w:b w:val="0"/>
          <w:i w:val="0"/>
          <w:sz w:val="28"/>
        </w:rPr>
        <w:t>Разграничението изяснява и доказателствената основа на извода. Данните за носителя установяват компонентната загуба, а данните за изпълнението показват функционалното отражение. Така може да се проследи как е направен преходът от едната констатация към другата.</w:t>
      </w:r>
    </w:p>
    <w:p>
      <w:pPr>
        <w:spacing w:line="240" w:lineRule="auto" w:before="0" w:after="0"/>
        <w:ind w:firstLine="454"/>
        <w:jc w:val="both"/>
      </w:pPr>
      <w:r>
        <w:rPr>
          <w:rFonts w:ascii="Times New Roman" w:hAnsi="Times New Roman" w:eastAsia="Times New Roman"/>
          <w:b w:val="0"/>
          <w:i w:val="0"/>
          <w:sz w:val="28"/>
        </w:rPr>
        <w:t>Разграничението позволява и по-точно описание на частичните нарушения. Вместо общата формула „загуба на управление“ анализът може да посочи коя дейност е прекъсната, коя е ограничена и коя остава изпълнима. Това е особено важно при сложни системи, в които различни управленски дейности реагират по различен начин на една и съща компонентна загуба.</w:t>
      </w:r>
    </w:p>
    <w:p>
      <w:pPr>
        <w:spacing w:line="240" w:lineRule="auto" w:before="0" w:after="0"/>
        <w:ind w:firstLine="454"/>
        <w:jc w:val="both"/>
      </w:pPr>
      <w:r>
        <w:rPr>
          <w:rFonts w:ascii="Times New Roman" w:hAnsi="Times New Roman" w:eastAsia="Times New Roman"/>
          <w:b w:val="0"/>
          <w:i w:val="0"/>
          <w:sz w:val="28"/>
        </w:rPr>
        <w:t>Двете измерения се допълват. Компонентното измерение индивидуализира засегнатия носител, а функционалното показва действителното състояние на управленската дейност. Съчетаването им дава по-точна основа за описание на загубата на управление и предпазва от прибързано пренасяне на констатации между различни равнища.</w:t>
      </w:r>
    </w:p>
    <w:p>
      <w:pPr>
        <w:spacing w:line="240" w:lineRule="auto" w:before="160" w:after="0"/>
        <w:jc w:val="left"/>
      </w:pPr>
      <w:r>
        <w:rPr>
          <w:rFonts w:ascii="Times New Roman" w:hAnsi="Times New Roman" w:eastAsia="Times New Roman"/>
          <w:b/>
          <w:i w:val="0"/>
          <w:sz w:val="28"/>
        </w:rPr>
        <w:t>ЗАКЛЮЧЕНИЕ</w:t>
      </w:r>
    </w:p>
    <w:p>
      <w:pPr>
        <w:spacing w:line="240" w:lineRule="auto" w:before="0" w:after="0"/>
        <w:ind w:firstLine="454"/>
        <w:jc w:val="both"/>
      </w:pPr>
      <w:r>
        <w:rPr>
          <w:rFonts w:ascii="Times New Roman" w:hAnsi="Times New Roman" w:eastAsia="Times New Roman"/>
          <w:b w:val="0"/>
          <w:i w:val="0"/>
          <w:sz w:val="28"/>
        </w:rPr>
        <w:t>Изследването на загубата на управление изисква ясно разграничение между състоянието на конкретния носител и реалното изпълнение на управленската функция. Компонентната загуба показва какво е настъпило с човешки, организационен, технически, комуникационен или информационен елемент. Функционалната оценка показва как това изменение се е отразило върху самата управленска дейност.</w:t>
      </w:r>
    </w:p>
    <w:p>
      <w:pPr>
        <w:spacing w:line="240" w:lineRule="auto" w:before="0" w:after="0"/>
        <w:ind w:firstLine="454"/>
        <w:jc w:val="both"/>
      </w:pPr>
      <w:r>
        <w:rPr>
          <w:rFonts w:ascii="Times New Roman" w:hAnsi="Times New Roman" w:eastAsia="Times New Roman"/>
          <w:b w:val="0"/>
          <w:i w:val="0"/>
          <w:sz w:val="28"/>
        </w:rPr>
        <w:t>От анализа могат да се изведат три основни извода.</w:t>
      </w:r>
    </w:p>
    <w:p>
      <w:pPr>
        <w:spacing w:line="240" w:lineRule="auto" w:before="0" w:after="0"/>
        <w:ind w:firstLine="454"/>
        <w:jc w:val="both"/>
      </w:pPr>
      <w:r>
        <w:rPr>
          <w:rFonts w:ascii="Times New Roman" w:hAnsi="Times New Roman" w:eastAsia="Times New Roman"/>
          <w:b w:val="0"/>
          <w:i w:val="0"/>
          <w:sz w:val="28"/>
        </w:rPr>
        <w:t>Първо, загубата на управленски компонент и загубата на управление са различни положения. Компонентното равнище се отнася до конкретния носител, а функционалното — до реалното изпълнение на управленската дейност след настъпилото изменение.</w:t>
      </w:r>
    </w:p>
    <w:p>
      <w:pPr>
        <w:spacing w:line="240" w:lineRule="auto" w:before="0" w:after="0"/>
        <w:ind w:firstLine="454"/>
        <w:jc w:val="both"/>
      </w:pPr>
      <w:r>
        <w:rPr>
          <w:rFonts w:ascii="Times New Roman" w:hAnsi="Times New Roman"/>
          <w:b w:val="0"/>
          <w:i w:val="0"/>
          <w:sz w:val="28"/>
        </w:rPr>
        <w:t>Второ, функционалното състояние се установява чрез реалното изпълнение на конкретната управленска дейност. То може да остане без установима промяна, да бъде ограничено или да се прекъсне. Реализирана функционална загуба е налице, когато данните показват намаляване или прекъсване на изпълнението спрямо релевантно сравнително състояние.</w:t>
      </w:r>
    </w:p>
    <w:p>
      <w:pPr>
        <w:spacing w:line="240" w:lineRule="auto" w:before="0" w:after="0"/>
        <w:ind w:firstLine="454"/>
        <w:jc w:val="both"/>
      </w:pPr>
      <w:r>
        <w:rPr>
          <w:rFonts w:ascii="Times New Roman" w:hAnsi="Times New Roman"/>
          <w:b w:val="0"/>
          <w:i w:val="0"/>
          <w:sz w:val="28"/>
        </w:rPr>
        <w:t>Трето, преходът от констатация за компонентна загуба към извод за функционална загуба в управлението изисква самостоятелно доказване както на функционалното изменение, така и на връзката му с разглежданата компонентна загуба. Тази проверка ограничава както преувеличаването, така и подценяването на действителния резултат.</w:t>
      </w:r>
    </w:p>
    <w:p>
      <w:pPr>
        <w:spacing w:line="240" w:lineRule="auto" w:before="0" w:after="0"/>
        <w:ind w:firstLine="454"/>
        <w:jc w:val="both"/>
      </w:pPr>
      <w:r>
        <w:rPr>
          <w:rFonts w:ascii="Times New Roman" w:hAnsi="Times New Roman" w:eastAsia="Times New Roman"/>
          <w:b w:val="0"/>
          <w:i w:val="0"/>
          <w:sz w:val="28"/>
        </w:rPr>
        <w:t>Броят, видът и физическото състояние на засегнатите компоненти дават важна, но непълна картина за състоянието на управлението. Решаващо е фактическото изпълнение на функцията след настъпилото изменение.</w:t>
      </w:r>
    </w:p>
    <w:p>
      <w:pPr>
        <w:spacing w:line="240" w:lineRule="auto" w:before="0" w:after="0"/>
        <w:ind w:firstLine="454"/>
        <w:jc w:val="both"/>
      </w:pPr>
      <w:r>
        <w:rPr>
          <w:rFonts w:ascii="Times New Roman" w:hAnsi="Times New Roman" w:eastAsia="Times New Roman"/>
          <w:b w:val="0"/>
          <w:i w:val="0"/>
          <w:sz w:val="28"/>
        </w:rPr>
        <w:t>Това разграничение дава по-точна основа за установяване и описание на загубата на управление в системите за национална сигурност.</w:t>
      </w:r>
    </w:p>
    <w:p>
      <w:pPr>
        <w:spacing w:line="240" w:lineRule="auto"/>
      </w:pPr>
      <w:r>
        <w:rPr>
          <w:rFonts w:ascii="Times New Roman" w:hAnsi="Times New Roman" w:eastAsia="Times New Roman"/>
          <w:b w:val="0"/>
          <w:i w:val="0"/>
          <w:sz w:val="28"/>
        </w:rPr>
      </w:r>
    </w:p>
    <w:p>
      <w:pPr>
        <w:spacing w:line="240" w:lineRule="auto" w:before="160" w:after="0"/>
        <w:jc w:val="left"/>
      </w:pPr>
      <w:r>
        <w:rPr>
          <w:rFonts w:ascii="Times New Roman" w:hAnsi="Times New Roman" w:eastAsia="Times New Roman"/>
          <w:b/>
          <w:i w:val="0"/>
          <w:sz w:val="28"/>
        </w:rPr>
        <w:t>БЕЛЕЖКИ:</w:t>
      </w:r>
    </w:p>
    <w:p>
      <w:pPr>
        <w:spacing w:line="240" w:lineRule="auto" w:before="0" w:after="0"/>
        <w:jc w:val="both"/>
      </w:pPr>
      <w:r>
        <w:rPr>
          <w:rFonts w:ascii="Times New Roman" w:hAnsi="Times New Roman" w:eastAsia="Times New Roman"/>
          <w:b w:val="0"/>
          <w:i w:val="0"/>
          <w:sz w:val="28"/>
        </w:rPr>
        <w:t>[1] МИНИСТЕРСТВО НА ОТБРАНАТА. Доктрина на въоръжените сили на Република България. НП-01, издание Б. София, 2025, т. 152–170. Наличен на: https://mod.bg/documents/20251205_doktrina_vs_rb.pdf. [прегледан 2026-07-14].</w:t>
      </w:r>
    </w:p>
    <w:p>
      <w:pPr>
        <w:spacing w:line="240" w:lineRule="auto" w:before="0" w:after="0"/>
        <w:jc w:val="both"/>
      </w:pPr>
      <w:r>
        <w:rPr>
          <w:rFonts w:ascii="Times New Roman" w:hAnsi="Times New Roman" w:eastAsia="Times New Roman"/>
          <w:b w:val="0"/>
          <w:i w:val="0"/>
          <w:sz w:val="28"/>
        </w:rPr>
        <w:t>[2] МИНИСТЕРСТВО НА ОТБРАНАТА, бел. 1, т. 168–170.</w:t>
      </w:r>
    </w:p>
    <w:p>
      <w:pPr>
        <w:spacing w:line="240" w:lineRule="auto" w:before="0" w:after="0"/>
        <w:jc w:val="both"/>
      </w:pPr>
      <w:r>
        <w:rPr>
          <w:rFonts w:ascii="Times New Roman" w:hAnsi="Times New Roman" w:eastAsia="Times New Roman"/>
          <w:b w:val="0"/>
          <w:i w:val="0"/>
          <w:sz w:val="28"/>
        </w:rPr>
        <w:t>[3] DEPARTMENT OF THE ARMY. ADP 6-0, Mission Command: Command and Control of Army Forces. Washington, DC: Headquarters, Department of the Army, 2019, paras. 4-1–4-5. Available from: https://armypubs.army.mil/epubs/DR_pubs/DR_a/ARN34403-ADP_6-0-000-WEB-3.pdf. [viewed 2026-05-22].</w:t>
      </w:r>
    </w:p>
    <w:p>
      <w:pPr>
        <w:spacing w:line="240" w:lineRule="auto" w:before="0" w:after="0"/>
        <w:jc w:val="both"/>
      </w:pPr>
      <w:r>
        <w:rPr>
          <w:rFonts w:ascii="Times New Roman" w:hAnsi="Times New Roman" w:eastAsia="Times New Roman"/>
          <w:b w:val="0"/>
          <w:i w:val="0"/>
          <w:sz w:val="28"/>
        </w:rPr>
        <w:t>[4] МИНИСТЕРСТВО НА ОТБРАНАТА, бел. 1, т. 170.</w:t>
      </w:r>
    </w:p>
    <w:p>
      <w:pPr>
        <w:spacing w:line="240" w:lineRule="auto" w:before="0" w:after="0"/>
        <w:jc w:val="both"/>
      </w:pPr>
      <w:r>
        <w:rPr>
          <w:rFonts w:ascii="Times New Roman" w:hAnsi="Times New Roman" w:eastAsia="Times New Roman"/>
          <w:b w:val="0"/>
          <w:i w:val="0"/>
          <w:sz w:val="28"/>
        </w:rPr>
        <w:t>[5] DEPARTMENT OF THE ARMY. FM 6-0, Commander and Staff Organization and Operations. Washington, DC: Headquarters, Department of the Army, 2022, paras. 1-23–1-25. Available from: https://armypubs.army.mil/epubs/DR_pubs/DR_a/ARN35404-FM_6-0-000-WEB-1.pdf. [viewed 2026-06-18].</w:t>
      </w:r>
    </w:p>
    <w:p>
      <w:pPr>
        <w:spacing w:line="240" w:lineRule="auto" w:before="0" w:after="0"/>
        <w:jc w:val="both"/>
      </w:pPr>
      <w:r>
        <w:rPr>
          <w:rFonts w:ascii="Times New Roman" w:hAnsi="Times New Roman" w:eastAsia="Times New Roman"/>
          <w:b w:val="0"/>
          <w:i w:val="0"/>
          <w:sz w:val="28"/>
        </w:rPr>
        <w:t>[6] ALBERTS, David S. and Richard E. HAYES. Understanding Command and Control. Washington, DC: Department of Defense Command and Control Research Program, 2006.</w:t>
      </w:r>
    </w:p>
    <w:p>
      <w:pPr>
        <w:spacing w:line="240" w:lineRule="auto" w:before="0" w:after="0"/>
        <w:jc w:val="both"/>
      </w:pPr>
      <w:r>
        <w:rPr>
          <w:rFonts w:ascii="Times New Roman" w:hAnsi="Times New Roman" w:eastAsia="Times New Roman"/>
          <w:b w:val="0"/>
          <w:i w:val="0"/>
          <w:sz w:val="28"/>
        </w:rPr>
        <w:t>[7] МИНИСТЕРСТВО НА ОТБРАНАТА, бел. 1, т. 173–174.</w:t>
      </w:r>
    </w:p>
    <w:p>
      <w:pPr>
        <w:spacing w:line="240" w:lineRule="auto" w:before="0" w:after="0"/>
        <w:jc w:val="both"/>
      </w:pPr>
      <w:r>
        <w:rPr>
          <w:rFonts w:ascii="Times New Roman" w:hAnsi="Times New Roman" w:eastAsia="Times New Roman"/>
          <w:b w:val="0"/>
          <w:i w:val="0"/>
          <w:sz w:val="28"/>
        </w:rPr>
        <w:t>[8] NORTH ATLANTIC TREATY ORGANIZATION (NATO). NATO’s Joint Air Power Strategy. Online. 26 June 2018, paras. 44–45. Available from: https://www.nato.int/cps/en/natohq/official_texts_156374.htm. [viewed 2026-08-07].</w:t>
      </w:r>
    </w:p>
    <w:p>
      <w:pPr>
        <w:spacing w:line="240" w:lineRule="auto"/>
      </w:pPr>
      <w:r>
        <w:rPr>
          <w:rFonts w:ascii="Times New Roman" w:hAnsi="Times New Roman" w:eastAsia="Times New Roman"/>
          <w:b w:val="0"/>
          <w:i w:val="0"/>
          <w:sz w:val="28"/>
        </w:rPr>
      </w:r>
    </w:p>
    <w:p>
      <w:pPr>
        <w:spacing w:line="240" w:lineRule="auto" w:before="160" w:after="0"/>
        <w:jc w:val="left"/>
      </w:pPr>
      <w:r>
        <w:rPr>
          <w:rFonts w:ascii="Times New Roman" w:hAnsi="Times New Roman" w:eastAsia="Times New Roman"/>
          <w:b/>
          <w:i w:val="0"/>
          <w:sz w:val="28"/>
        </w:rPr>
        <w:t>ЛИТЕРАТУРА:</w:t>
      </w:r>
    </w:p>
    <w:p>
      <w:pPr>
        <w:spacing w:line="240" w:lineRule="auto" w:before="0" w:after="0"/>
        <w:jc w:val="both"/>
      </w:pPr>
      <w:r>
        <w:rPr>
          <w:rFonts w:ascii="Times New Roman" w:hAnsi="Times New Roman" w:eastAsia="Times New Roman"/>
          <w:b w:val="0"/>
          <w:i w:val="0"/>
          <w:sz w:val="28"/>
        </w:rPr>
        <w:t>1. МИНИСТЕРСТВО НА ОТБРАНАТА. Доктрина на въоръжените сили на Република България. НП-01, издание Б. София, 2025. Наличен на: https://mod.bg/documents/20251205_doktrina_vs_rb.pdf. [прегледан 2026-07-14].</w:t>
      </w:r>
    </w:p>
    <w:p>
      <w:pPr>
        <w:spacing w:line="240" w:lineRule="auto" w:before="0" w:after="0"/>
        <w:jc w:val="both"/>
      </w:pPr>
      <w:r>
        <w:rPr>
          <w:rFonts w:ascii="Times New Roman" w:hAnsi="Times New Roman" w:eastAsia="Times New Roman"/>
          <w:b w:val="0"/>
          <w:i w:val="0"/>
          <w:sz w:val="28"/>
        </w:rPr>
        <w:t>2. ALBERTS, David S. and Richard E. HAYES. Understanding Command and Control. Washington, DC: Department of Defense Command and Control Research Program, 2006.</w:t>
      </w:r>
    </w:p>
    <w:p>
      <w:pPr>
        <w:spacing w:line="240" w:lineRule="auto" w:before="0" w:after="0"/>
        <w:jc w:val="both"/>
      </w:pPr>
      <w:r>
        <w:rPr>
          <w:rFonts w:ascii="Times New Roman" w:hAnsi="Times New Roman" w:eastAsia="Times New Roman"/>
          <w:b w:val="0"/>
          <w:i w:val="0"/>
          <w:sz w:val="28"/>
        </w:rPr>
        <w:t>3. DEPARTMENT OF THE ARMY. ADP 6-0, Mission Command: Command and Control of Army Forces. Washington, DC: Headquarters, Department of the Army, 2019. Available from: https://armypubs.army.mil/epubs/DR_pubs/DR_a/ARN34403-ADP_6-0-000-WEB-3.pdf. [viewed 2026-05-22].</w:t>
      </w:r>
    </w:p>
    <w:p>
      <w:pPr>
        <w:spacing w:line="240" w:lineRule="auto" w:before="0" w:after="0"/>
        <w:jc w:val="both"/>
      </w:pPr>
      <w:r>
        <w:rPr>
          <w:rFonts w:ascii="Times New Roman" w:hAnsi="Times New Roman" w:eastAsia="Times New Roman"/>
          <w:b w:val="0"/>
          <w:i w:val="0"/>
          <w:sz w:val="28"/>
        </w:rPr>
        <w:t>4. DEPARTMENT OF THE ARMY. FM 6-0, Commander and Staff Organization and Operations. Washington, DC: Headquarters, Department of the Army, 2022. Available from: https://armypubs.army.mil/epubs/DR_pubs/DR_a/ARN35404-FM_6-0-000-WEB-1.pdf. [viewed 2026-06-18].</w:t>
      </w:r>
    </w:p>
    <w:p>
      <w:pPr>
        <w:spacing w:line="240" w:lineRule="auto" w:before="0" w:after="0"/>
        <w:jc w:val="both"/>
      </w:pPr>
      <w:r>
        <w:rPr>
          <w:rFonts w:ascii="Times New Roman" w:hAnsi="Times New Roman" w:eastAsia="Times New Roman"/>
          <w:b w:val="0"/>
          <w:i w:val="0"/>
          <w:sz w:val="28"/>
        </w:rPr>
        <w:t>5. NORTH ATLANTIC TREATY ORGANIZATION (NATO). NATO’s Joint Air Power Strategy. Online. 26 June 2018. Available from: https://www.nato.int/cps/en/natohq/official_texts_156374.htm. [viewed 2026-08-07].</w:t>
      </w:r>
    </w:p>
    <w:p>
      <w:pPr>
        <w:spacing w:line="240" w:lineRule="auto"/>
      </w:pPr>
      <w:r>
        <w:rPr>
          <w:rFonts w:ascii="Times New Roman" w:hAnsi="Times New Roman" w:eastAsia="Times New Roman"/>
          <w:b w:val="0"/>
          <w:i w:val="0"/>
          <w:sz w:val="28"/>
        </w:rPr>
      </w:r>
    </w:p>
    <w:p>
      <w:pPr>
        <w:spacing w:line="240" w:lineRule="auto" w:before="0" w:after="0"/>
        <w:jc w:val="left"/>
      </w:pPr>
      <w:r>
        <w:rPr>
          <w:rFonts w:ascii="Times New Roman" w:hAnsi="Times New Roman" w:eastAsia="Times New Roman"/>
          <w:b w:val="0"/>
          <w:i/>
          <w:sz w:val="24"/>
        </w:rPr>
        <w:t>доц. д-р Николай Тодоров Илиев; Национален военен университет „Васил Левски“, факултет „Сигурност и отбрана“, катедра „Военни науки“; 5000 Велико Търново, бул. „България“ № 76; тел.: 0888312231; e-mail: ntiliev@nvu.bg</w:t>
      </w:r>
    </w:p>
    <w:sectPr w:rsidR="00D1767C" w:rsidRPr="00D1767C" w:rsidSect="009605D7">
      <w:headerReference w:type="default" r:id="rId17"/>
      <w:footerReference w:type="default" r:id="rId18"/>
      <w:footnotePr>
        <w:numRestart w:val="eachSect"/>
      </w:footnotePr>
      <w:pgSz w:w="11906" w:h="16838"/>
      <w:pgMar w:top="1134" w:right="1134" w:bottom="850"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6713" w14:textId="77777777" w:rsidR="00FE5AEA" w:rsidRDefault="00FE5AEA" w:rsidP="00A0193A">
      <w:r>
        <w:separator/>
      </w:r>
    </w:p>
  </w:endnote>
  <w:endnote w:type="continuationSeparator" w:id="0">
    <w:p w14:paraId="150C862D" w14:textId="77777777" w:rsidR="00FE5AEA" w:rsidRDefault="00FE5AE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A05C" w14:textId="77777777" w:rsidR="00FE5AEA" w:rsidRDefault="00FE5AEA" w:rsidP="00A0193A">
      <w:r>
        <w:separator/>
      </w:r>
    </w:p>
  </w:footnote>
  <w:footnote w:type="continuationSeparator" w:id="0">
    <w:p w14:paraId="376459CF" w14:textId="77777777" w:rsidR="00FE5AEA" w:rsidRDefault="00FE5AEA" w:rsidP="00A0193A">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71186"/>
    <w:rsid w:val="00386A6A"/>
    <w:rsid w:val="003B1F44"/>
    <w:rsid w:val="003E4E40"/>
    <w:rsid w:val="00415DF1"/>
    <w:rsid w:val="004F589D"/>
    <w:rsid w:val="00503623"/>
    <w:rsid w:val="00534842"/>
    <w:rsid w:val="005C35F1"/>
    <w:rsid w:val="0068049F"/>
    <w:rsid w:val="0068074F"/>
    <w:rsid w:val="00686EAC"/>
    <w:rsid w:val="00694543"/>
    <w:rsid w:val="006A7C1E"/>
    <w:rsid w:val="006D7048"/>
    <w:rsid w:val="006F2052"/>
    <w:rsid w:val="007041A3"/>
    <w:rsid w:val="00710DE2"/>
    <w:rsid w:val="00763C2E"/>
    <w:rsid w:val="0077663F"/>
    <w:rsid w:val="007973BD"/>
    <w:rsid w:val="007B5909"/>
    <w:rsid w:val="007B686C"/>
    <w:rsid w:val="007E2105"/>
    <w:rsid w:val="008129C2"/>
    <w:rsid w:val="008652CB"/>
    <w:rsid w:val="00877F5E"/>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86955"/>
    <w:rsid w:val="00A8717A"/>
    <w:rsid w:val="00B245AD"/>
    <w:rsid w:val="00B3091F"/>
    <w:rsid w:val="00B41AF1"/>
    <w:rsid w:val="00B601CF"/>
    <w:rsid w:val="00B9433C"/>
    <w:rsid w:val="00B97CDE"/>
    <w:rsid w:val="00BC2FB1"/>
    <w:rsid w:val="00BD084C"/>
    <w:rsid w:val="00C46C28"/>
    <w:rsid w:val="00CA7C37"/>
    <w:rsid w:val="00CB7B8B"/>
    <w:rsid w:val="00CF19F3"/>
    <w:rsid w:val="00D1767C"/>
    <w:rsid w:val="00D940F8"/>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before="0"/>
    </w:pPr>
    <w:rPr>
      <w:rFonts w:ascii="Times New Roman" w:hAnsi="Times New Roman" w:cs="Times New Roman" w:eastAsia="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ajet.org.au/index.php/AJET/issue/view/67"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ajet.org.au/index.php/AJET/issue/view/67" TargetMode="External"/><Relationship Id="rId17" Type="http://schemas.openxmlformats.org/officeDocument/2006/relationships/header" Target="header1.xml"/><Relationship Id="rId1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04C1CB-04C6-4EA3-B926-9ADCFFB89AEA}" type="doc">
      <dgm:prSet loTypeId="urn:microsoft.com/office/officeart/2005/8/layout/matrix3" loCatId="matrix" qsTypeId="urn:microsoft.com/office/officeart/2005/8/quickstyle/simple1" qsCatId="simple" csTypeId="urn:microsoft.com/office/officeart/2005/8/colors/accent1_2" csCatId="accent1" phldr="0"/>
      <dgm:spPr/>
      <dgm:t>
        <a:bodyPr/>
        <a:lstStyle/>
        <a:p>
          <a:endParaRPr lang="bg-BG"/>
        </a:p>
      </dgm:t>
    </dgm:pt>
    <dgm:pt modelId="{FC805B6B-3BCF-43FC-9CAD-1130515FC1B4}">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DE0AF3DB-A00E-4B08-AA3E-A8AE5D7BB364}" type="parTrans" cxnId="{C5E1FC3F-2189-46DE-87B5-674693D657BA}">
      <dgm:prSet/>
      <dgm:spPr/>
      <dgm:t>
        <a:bodyPr/>
        <a:lstStyle/>
        <a:p>
          <a:pPr algn="ctr"/>
          <a:endParaRPr lang="bg-BG">
            <a:latin typeface="Times New Roman" panose="02020603050405020304" pitchFamily="18" charset="0"/>
            <a:cs typeface="Times New Roman" panose="02020603050405020304" pitchFamily="18" charset="0"/>
          </a:endParaRPr>
        </a:p>
      </dgm:t>
    </dgm:pt>
    <dgm:pt modelId="{0B0AEC14-50CB-4A09-82C1-1418A5BFC699}" type="sibTrans" cxnId="{C5E1FC3F-2189-46DE-87B5-674693D657BA}">
      <dgm:prSet/>
      <dgm:spPr/>
      <dgm:t>
        <a:bodyPr/>
        <a:lstStyle/>
        <a:p>
          <a:pPr algn="ctr"/>
          <a:endParaRPr lang="bg-BG">
            <a:latin typeface="Times New Roman" panose="02020603050405020304" pitchFamily="18" charset="0"/>
            <a:cs typeface="Times New Roman" panose="02020603050405020304" pitchFamily="18" charset="0"/>
          </a:endParaRPr>
        </a:p>
      </dgm:t>
    </dgm:pt>
    <dgm:pt modelId="{FBB327E9-B5B9-4F5D-B533-D60DA3700433}">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6CE9C4B9-6235-4A88-8F4F-46833DFC0857}" type="parTrans" cxnId="{487B0A0B-59A3-418E-9DFF-E6C6D4B4A7E2}">
      <dgm:prSet/>
      <dgm:spPr/>
      <dgm:t>
        <a:bodyPr/>
        <a:lstStyle/>
        <a:p>
          <a:pPr algn="ctr"/>
          <a:endParaRPr lang="bg-BG">
            <a:latin typeface="Times New Roman" panose="02020603050405020304" pitchFamily="18" charset="0"/>
            <a:cs typeface="Times New Roman" panose="02020603050405020304" pitchFamily="18" charset="0"/>
          </a:endParaRPr>
        </a:p>
      </dgm:t>
    </dgm:pt>
    <dgm:pt modelId="{15F5724B-72DA-4C55-984A-A096056E0E09}" type="sibTrans" cxnId="{487B0A0B-59A3-418E-9DFF-E6C6D4B4A7E2}">
      <dgm:prSet/>
      <dgm:spPr/>
      <dgm:t>
        <a:bodyPr/>
        <a:lstStyle/>
        <a:p>
          <a:pPr algn="ctr"/>
          <a:endParaRPr lang="bg-BG">
            <a:latin typeface="Times New Roman" panose="02020603050405020304" pitchFamily="18" charset="0"/>
            <a:cs typeface="Times New Roman" panose="02020603050405020304" pitchFamily="18" charset="0"/>
          </a:endParaRPr>
        </a:p>
      </dgm:t>
    </dgm:pt>
    <dgm:pt modelId="{B6CB7B54-2CA0-403A-9F33-1DABD689B38F}">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824135DB-C69D-45C8-AE8C-BB3504C804D7}" type="parTrans" cxnId="{648AAD36-698B-43E4-8DD3-DC427020C64E}">
      <dgm:prSet/>
      <dgm:spPr/>
      <dgm:t>
        <a:bodyPr/>
        <a:lstStyle/>
        <a:p>
          <a:pPr algn="ctr"/>
          <a:endParaRPr lang="bg-BG">
            <a:latin typeface="Times New Roman" panose="02020603050405020304" pitchFamily="18" charset="0"/>
            <a:cs typeface="Times New Roman" panose="02020603050405020304" pitchFamily="18" charset="0"/>
          </a:endParaRPr>
        </a:p>
      </dgm:t>
    </dgm:pt>
    <dgm:pt modelId="{D74D4315-6447-4D86-9762-34A4B105F5EE}" type="sibTrans" cxnId="{648AAD36-698B-43E4-8DD3-DC427020C64E}">
      <dgm:prSet/>
      <dgm:spPr/>
      <dgm:t>
        <a:bodyPr/>
        <a:lstStyle/>
        <a:p>
          <a:pPr algn="ctr"/>
          <a:endParaRPr lang="bg-BG">
            <a:latin typeface="Times New Roman" panose="02020603050405020304" pitchFamily="18" charset="0"/>
            <a:cs typeface="Times New Roman" panose="02020603050405020304" pitchFamily="18" charset="0"/>
          </a:endParaRPr>
        </a:p>
      </dgm:t>
    </dgm:pt>
    <dgm:pt modelId="{C0AA841C-F9F7-4EAC-A686-F810DD97E112}">
      <dgm:prSet phldrT="[Текст]" phldr="1"/>
      <dgm:spPr/>
      <dgm:t>
        <a:bodyPr/>
        <a:lstStyle/>
        <a:p>
          <a:pPr algn="just"/>
          <a:endParaRPr lang="bg-BG">
            <a:latin typeface="Times New Roman" panose="02020603050405020304" pitchFamily="18" charset="0"/>
            <a:cs typeface="Times New Roman" panose="02020603050405020304" pitchFamily="18" charset="0"/>
          </a:endParaRPr>
        </a:p>
      </dgm:t>
    </dgm:pt>
    <dgm:pt modelId="{5380A2F4-27B7-4BE7-AD81-ED8D975BAD6F}" type="parTrans" cxnId="{61E205EB-2FE4-45A6-9DB8-F62B8D47AB59}">
      <dgm:prSet/>
      <dgm:spPr/>
      <dgm:t>
        <a:bodyPr/>
        <a:lstStyle/>
        <a:p>
          <a:pPr algn="ctr"/>
          <a:endParaRPr lang="bg-BG">
            <a:latin typeface="Times New Roman" panose="02020603050405020304" pitchFamily="18" charset="0"/>
            <a:cs typeface="Times New Roman" panose="02020603050405020304" pitchFamily="18" charset="0"/>
          </a:endParaRPr>
        </a:p>
      </dgm:t>
    </dgm:pt>
    <dgm:pt modelId="{9256A629-E6A0-4210-9F0E-F369790E2C77}" type="sibTrans" cxnId="{61E205EB-2FE4-45A6-9DB8-F62B8D47AB59}">
      <dgm:prSet/>
      <dgm:spPr/>
      <dgm:t>
        <a:bodyPr/>
        <a:lstStyle/>
        <a:p>
          <a:pPr algn="ctr"/>
          <a:endParaRPr lang="bg-BG">
            <a:latin typeface="Times New Roman" panose="02020603050405020304" pitchFamily="18" charset="0"/>
            <a:cs typeface="Times New Roman" panose="02020603050405020304" pitchFamily="18" charset="0"/>
          </a:endParaRPr>
        </a:p>
      </dgm:t>
    </dgm:pt>
    <dgm:pt modelId="{A610B83C-7835-45CD-9E0E-85A75E6BFAB4}" type="pres">
      <dgm:prSet presAssocID="{D304C1CB-04C6-4EA3-B926-9ADCFFB89AEA}" presName="matrix" presStyleCnt="0">
        <dgm:presLayoutVars>
          <dgm:chMax val="1"/>
          <dgm:dir/>
          <dgm:resizeHandles val="exact"/>
        </dgm:presLayoutVars>
      </dgm:prSet>
      <dgm:spPr/>
    </dgm:pt>
    <dgm:pt modelId="{6075BAAD-A4EE-4781-9275-01983512BC7F}" type="pres">
      <dgm:prSet presAssocID="{D304C1CB-04C6-4EA3-B926-9ADCFFB89AEA}" presName="diamond" presStyleLbl="bgShp" presStyleIdx="0" presStyleCnt="1"/>
      <dgm:spPr/>
    </dgm:pt>
    <dgm:pt modelId="{0485A9E5-77C2-4F89-8953-4EB232801A88}" type="pres">
      <dgm:prSet presAssocID="{D304C1CB-04C6-4EA3-B926-9ADCFFB89AEA}" presName="quad1" presStyleLbl="node1" presStyleIdx="0" presStyleCnt="4">
        <dgm:presLayoutVars>
          <dgm:chMax val="0"/>
          <dgm:chPref val="0"/>
          <dgm:bulletEnabled val="1"/>
        </dgm:presLayoutVars>
      </dgm:prSet>
      <dgm:spPr/>
    </dgm:pt>
    <dgm:pt modelId="{499539D9-097D-4EC8-9D90-993AB8F4EE57}" type="pres">
      <dgm:prSet presAssocID="{D304C1CB-04C6-4EA3-B926-9ADCFFB89AEA}" presName="quad2" presStyleLbl="node1" presStyleIdx="1" presStyleCnt="4" custLinFactNeighborY="-2851">
        <dgm:presLayoutVars>
          <dgm:chMax val="0"/>
          <dgm:chPref val="0"/>
          <dgm:bulletEnabled val="1"/>
        </dgm:presLayoutVars>
      </dgm:prSet>
      <dgm:spPr/>
    </dgm:pt>
    <dgm:pt modelId="{0A225D92-4202-4D7D-9492-875584054325}" type="pres">
      <dgm:prSet presAssocID="{D304C1CB-04C6-4EA3-B926-9ADCFFB89AEA}" presName="quad3" presStyleLbl="node1" presStyleIdx="2" presStyleCnt="4">
        <dgm:presLayoutVars>
          <dgm:chMax val="0"/>
          <dgm:chPref val="0"/>
          <dgm:bulletEnabled val="1"/>
        </dgm:presLayoutVars>
      </dgm:prSet>
      <dgm:spPr/>
    </dgm:pt>
    <dgm:pt modelId="{476B5C7E-F897-41EE-AC1F-1573DDCE0699}" type="pres">
      <dgm:prSet presAssocID="{D304C1CB-04C6-4EA3-B926-9ADCFFB89AEA}" presName="quad4" presStyleLbl="node1" presStyleIdx="3" presStyleCnt="4" custLinFactNeighborX="-3945" custLinFactNeighborY="3945">
        <dgm:presLayoutVars>
          <dgm:chMax val="0"/>
          <dgm:chPref val="0"/>
          <dgm:bulletEnabled val="1"/>
        </dgm:presLayoutVars>
      </dgm:prSet>
      <dgm:spPr/>
    </dgm:pt>
  </dgm:ptLst>
  <dgm:cxnLst>
    <dgm:cxn modelId="{487B0A0B-59A3-418E-9DFF-E6C6D4B4A7E2}" srcId="{D304C1CB-04C6-4EA3-B926-9ADCFFB89AEA}" destId="{FBB327E9-B5B9-4F5D-B533-D60DA3700433}" srcOrd="1" destOrd="0" parTransId="{6CE9C4B9-6235-4A88-8F4F-46833DFC0857}" sibTransId="{15F5724B-72DA-4C55-984A-A096056E0E09}"/>
    <dgm:cxn modelId="{648AAD36-698B-43E4-8DD3-DC427020C64E}" srcId="{D304C1CB-04C6-4EA3-B926-9ADCFFB89AEA}" destId="{B6CB7B54-2CA0-403A-9F33-1DABD689B38F}" srcOrd="2" destOrd="0" parTransId="{824135DB-C69D-45C8-AE8C-BB3504C804D7}" sibTransId="{D74D4315-6447-4D86-9762-34A4B105F5EE}"/>
    <dgm:cxn modelId="{090A6A38-EE3E-4F4C-8917-ACCE05B6A1FD}" type="presOf" srcId="{C0AA841C-F9F7-4EAC-A686-F810DD97E112}" destId="{476B5C7E-F897-41EE-AC1F-1573DDCE0699}" srcOrd="0" destOrd="0" presId="urn:microsoft.com/office/officeart/2005/8/layout/matrix3"/>
    <dgm:cxn modelId="{C5E1FC3F-2189-46DE-87B5-674693D657BA}" srcId="{D304C1CB-04C6-4EA3-B926-9ADCFFB89AEA}" destId="{FC805B6B-3BCF-43FC-9CAD-1130515FC1B4}" srcOrd="0" destOrd="0" parTransId="{DE0AF3DB-A00E-4B08-AA3E-A8AE5D7BB364}" sibTransId="{0B0AEC14-50CB-4A09-82C1-1418A5BFC699}"/>
    <dgm:cxn modelId="{F4D5175B-2A4C-4F17-B78E-6FC1CEDD9C3B}" type="presOf" srcId="{B6CB7B54-2CA0-403A-9F33-1DABD689B38F}" destId="{0A225D92-4202-4D7D-9492-875584054325}" srcOrd="0" destOrd="0" presId="urn:microsoft.com/office/officeart/2005/8/layout/matrix3"/>
    <dgm:cxn modelId="{F9B91246-19DD-4029-B9BA-7572AFF2B675}" type="presOf" srcId="{D304C1CB-04C6-4EA3-B926-9ADCFFB89AEA}" destId="{A610B83C-7835-45CD-9E0E-85A75E6BFAB4}" srcOrd="0" destOrd="0" presId="urn:microsoft.com/office/officeart/2005/8/layout/matrix3"/>
    <dgm:cxn modelId="{96AB56A7-81D1-4752-8644-BA53BA07F15F}" type="presOf" srcId="{FC805B6B-3BCF-43FC-9CAD-1130515FC1B4}" destId="{0485A9E5-77C2-4F89-8953-4EB232801A88}" srcOrd="0" destOrd="0" presId="urn:microsoft.com/office/officeart/2005/8/layout/matrix3"/>
    <dgm:cxn modelId="{61E205EB-2FE4-45A6-9DB8-F62B8D47AB59}" srcId="{D304C1CB-04C6-4EA3-B926-9ADCFFB89AEA}" destId="{C0AA841C-F9F7-4EAC-A686-F810DD97E112}" srcOrd="3" destOrd="0" parTransId="{5380A2F4-27B7-4BE7-AD81-ED8D975BAD6F}" sibTransId="{9256A629-E6A0-4210-9F0E-F369790E2C77}"/>
    <dgm:cxn modelId="{7C353EFA-0F81-4939-BFCA-AA85B773C8F9}" type="presOf" srcId="{FBB327E9-B5B9-4F5D-B533-D60DA3700433}" destId="{499539D9-097D-4EC8-9D90-993AB8F4EE57}" srcOrd="0" destOrd="0" presId="urn:microsoft.com/office/officeart/2005/8/layout/matrix3"/>
    <dgm:cxn modelId="{CD7681E3-DB97-44B0-938F-0ACAE7323C91}" type="presParOf" srcId="{A610B83C-7835-45CD-9E0E-85A75E6BFAB4}" destId="{6075BAAD-A4EE-4781-9275-01983512BC7F}" srcOrd="0" destOrd="0" presId="urn:microsoft.com/office/officeart/2005/8/layout/matrix3"/>
    <dgm:cxn modelId="{39430D89-9E49-4A4A-ADE8-2F3A63C6C587}" type="presParOf" srcId="{A610B83C-7835-45CD-9E0E-85A75E6BFAB4}" destId="{0485A9E5-77C2-4F89-8953-4EB232801A88}" srcOrd="1" destOrd="0" presId="urn:microsoft.com/office/officeart/2005/8/layout/matrix3"/>
    <dgm:cxn modelId="{43C64C40-9E40-4395-9DA1-C1D1CEC94192}" type="presParOf" srcId="{A610B83C-7835-45CD-9E0E-85A75E6BFAB4}" destId="{499539D9-097D-4EC8-9D90-993AB8F4EE57}" srcOrd="2" destOrd="0" presId="urn:microsoft.com/office/officeart/2005/8/layout/matrix3"/>
    <dgm:cxn modelId="{7941198C-8EE4-4DBF-BA04-558E924B5994}" type="presParOf" srcId="{A610B83C-7835-45CD-9E0E-85A75E6BFAB4}" destId="{0A225D92-4202-4D7D-9492-875584054325}" srcOrd="3" destOrd="0" presId="urn:microsoft.com/office/officeart/2005/8/layout/matrix3"/>
    <dgm:cxn modelId="{5C7B9E2E-9ECA-4ECE-953E-E413F9811E16}" type="presParOf" srcId="{A610B83C-7835-45CD-9E0E-85A75E6BFAB4}" destId="{476B5C7E-F897-41EE-AC1F-1573DDCE0699}" srcOrd="4" destOrd="0" presId="urn:microsoft.com/office/officeart/2005/8/layout/matrix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75BAAD-A4EE-4781-9275-01983512BC7F}">
      <dsp:nvSpPr>
        <dsp:cNvPr id="0" name=""/>
        <dsp:cNvSpPr/>
      </dsp:nvSpPr>
      <dsp:spPr>
        <a:xfrm>
          <a:off x="0" y="47942"/>
          <a:ext cx="856615" cy="85661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485A9E5-77C2-4F89-8953-4EB232801A88}">
      <dsp:nvSpPr>
        <dsp:cNvPr id="0" name=""/>
        <dsp:cNvSpPr/>
      </dsp:nvSpPr>
      <dsp:spPr>
        <a:xfrm>
          <a:off x="81378" y="129320"/>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145628"/>
        <a:ext cx="301463" cy="301463"/>
      </dsp:txXfrm>
    </dsp:sp>
    <dsp:sp modelId="{499539D9-097D-4EC8-9D90-993AB8F4EE57}">
      <dsp:nvSpPr>
        <dsp:cNvPr id="0" name=""/>
        <dsp:cNvSpPr/>
      </dsp:nvSpPr>
      <dsp:spPr>
        <a:xfrm>
          <a:off x="441156" y="119796"/>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57464" y="136104"/>
        <a:ext cx="301463" cy="301463"/>
      </dsp:txXfrm>
    </dsp:sp>
    <dsp:sp modelId="{0A225D92-4202-4D7D-9492-875584054325}">
      <dsp:nvSpPr>
        <dsp:cNvPr id="0" name=""/>
        <dsp:cNvSpPr/>
      </dsp:nvSpPr>
      <dsp:spPr>
        <a:xfrm>
          <a:off x="81378" y="489099"/>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505407"/>
        <a:ext cx="301463" cy="301463"/>
      </dsp:txXfrm>
    </dsp:sp>
    <dsp:sp modelId="{476B5C7E-F897-41EE-AC1F-1573DDCE0699}">
      <dsp:nvSpPr>
        <dsp:cNvPr id="0" name=""/>
        <dsp:cNvSpPr/>
      </dsp:nvSpPr>
      <dsp:spPr>
        <a:xfrm>
          <a:off x="427977" y="502278"/>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just"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44285" y="518586"/>
        <a:ext cx="301463" cy="301463"/>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703</Words>
  <Characters>4009</Characters>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description/>
  <dcterms:created xsi:type="dcterms:W3CDTF">2022-08-11T05:55:00Z</dcterms:created>
  <dcterms:modified xsi:type="dcterms:W3CDTF">2026-06-23T07:19:00Z</dcterms:modified>
</cp:coreProperties>
</file>