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line="240" w:lineRule="auto" w:before="0" w:after="0"/>
        <w:jc w:val="center"/>
      </w:pPr>
      <w:r>
        <w:rPr>
          <w:rFonts w:ascii="Times New Roman" w:hAnsi="Times New Roman" w:eastAsia="Times New Roman"/>
          <w:b/>
          <w:i w:val="0"/>
          <w:sz w:val="32"/>
        </w:rPr>
        <w:t>ЗАГУБАТА КАТО АНАЛИТИЧНА КАТЕГОРИЯ В ИЗСЛЕДВАНИЯТА НА НАЦИОНАЛНАТА СИГУРНОСТ: СЪДЪРЖАНИЕ И КОНЦЕПТУАЛНИ РАЗГРАНИЧЕНИЯ</w:t>
      </w:r>
    </w:p>
    <w:p>
      <w:pPr>
        <w:spacing w:line="240" w:lineRule="auto" w:before="0" w:after="0"/>
      </w:pPr>
      <w:r>
        <w:rPr>
          <w:rFonts w:ascii="Times New Roman" w:hAnsi="Times New Roman" w:eastAsia="Times New Roman"/>
          <w:sz w:val="28"/>
        </w:rPr>
      </w:r>
    </w:p>
    <w:p>
      <w:pPr>
        <w:spacing w:line="240" w:lineRule="auto" w:before="0" w:after="0"/>
      </w:pPr>
      <w:r>
        <w:rPr>
          <w:rFonts w:ascii="Times New Roman" w:hAnsi="Times New Roman" w:eastAsia="Times New Roman"/>
          <w:sz w:val="28"/>
        </w:rPr>
      </w:r>
    </w:p>
    <w:p>
      <w:pPr>
        <w:spacing w:line="240" w:lineRule="auto" w:before="0" w:after="0"/>
        <w:jc w:val="center"/>
      </w:pPr>
      <w:r>
        <w:rPr>
          <w:rFonts w:ascii="Times New Roman" w:hAnsi="Times New Roman" w:eastAsia="Times New Roman"/>
          <w:b/>
          <w:i w:val="0"/>
          <w:sz w:val="32"/>
        </w:rPr>
        <w:t>Николай Т. Илиев</w:t>
      </w:r>
    </w:p>
    <w:p>
      <w:pPr>
        <w:spacing w:line="240" w:lineRule="auto" w:before="0" w:after="0"/>
      </w:pPr>
      <w:r>
        <w:rPr>
          <w:rFonts w:ascii="Times New Roman" w:hAnsi="Times New Roman" w:eastAsia="Times New Roman"/>
          <w:sz w:val="28"/>
        </w:rPr>
      </w:r>
    </w:p>
    <w:p>
      <w:pPr>
        <w:spacing w:line="240" w:lineRule="auto" w:before="0" w:after="0"/>
        <w:jc w:val="center"/>
      </w:pPr>
      <w:r>
        <w:rPr>
          <w:rFonts w:ascii="Times New Roman" w:hAnsi="Times New Roman" w:eastAsia="Times New Roman"/>
          <w:b/>
          <w:i w:val="0"/>
          <w:sz w:val="32"/>
        </w:rPr>
        <w:t>LOSS AS AN ANALYTICAL CATEGORY IN NATIONAL SECURITY RESEARCH: CONTENT AND CONCEPTUAL DISTINCTIONS</w:t>
      </w:r>
    </w:p>
    <w:p>
      <w:pPr>
        <w:spacing w:line="240" w:lineRule="auto" w:before="0" w:after="0"/>
      </w:pPr>
      <w:r>
        <w:rPr>
          <w:rFonts w:ascii="Times New Roman" w:hAnsi="Times New Roman" w:eastAsia="Times New Roman"/>
          <w:sz w:val="28"/>
        </w:rPr>
      </w:r>
    </w:p>
    <w:p>
      <w:pPr>
        <w:spacing w:line="240" w:lineRule="auto" w:before="0" w:after="0"/>
        <w:jc w:val="center"/>
      </w:pPr>
      <w:r>
        <w:rPr>
          <w:rFonts w:ascii="Times New Roman" w:hAnsi="Times New Roman" w:eastAsia="Times New Roman"/>
          <w:b/>
          <w:i w:val="0"/>
          <w:sz w:val="32"/>
        </w:rPr>
        <w:t>Nikolay T. Iliev</w:t>
      </w:r>
    </w:p>
    <w:p>
      <w:pPr>
        <w:spacing w:line="240" w:lineRule="auto" w:before="0" w:after="0"/>
      </w:pPr>
      <w:r>
        <w:rPr>
          <w:rFonts w:ascii="Times New Roman" w:hAnsi="Times New Roman" w:eastAsia="Times New Roman"/>
          <w:sz w:val="28"/>
        </w:rPr>
      </w:r>
    </w:p>
    <w:p>
      <w:pPr>
        <w:spacing w:line="240" w:lineRule="auto" w:before="0" w:after="0"/>
      </w:pPr>
      <w:r>
        <w:rPr>
          <w:rFonts w:ascii="Times New Roman" w:hAnsi="Times New Roman" w:eastAsia="Times New Roman"/>
          <w:sz w:val="28"/>
        </w:rPr>
      </w:r>
    </w:p>
    <w:p>
      <w:pPr>
        <w:spacing w:line="240" w:lineRule="auto" w:before="0" w:after="0"/>
        <w:jc w:val="both"/>
      </w:pPr>
      <w:r>
        <w:rPr>
          <w:rFonts w:ascii="Times New Roman" w:hAnsi="Times New Roman" w:eastAsia="Times New Roman"/>
          <w:b/>
          <w:i/>
          <w:sz w:val="24"/>
        </w:rPr>
        <w:t>Резюме:</w:t>
      </w:r>
      <w:r>
        <w:rPr>
          <w:rFonts w:ascii="Times New Roman" w:hAnsi="Times New Roman" w:eastAsia="Times New Roman"/>
          <w:b w:val="0"/>
          <w:i/>
          <w:sz w:val="24"/>
        </w:rPr>
        <w:t xml:space="preserve"> В доклада се изследва загубата като аналитична категория в изследванията на националната сигурност. Разграничават се загуба, риск, щета, въздействие и последствие. Обосновава се, че реализираната загуба предполага фактически настъпило и доказателствено установимо отпадане на определим референт или намаляване на релевантна негова характеристика спрямо релевантно сравнително състояние.</w:t>
      </w:r>
    </w:p>
    <w:p>
      <w:pPr>
        <w:spacing w:line="240" w:lineRule="auto" w:before="0" w:after="0"/>
      </w:pPr>
      <w:r>
        <w:rPr>
          <w:rFonts w:ascii="Times New Roman" w:hAnsi="Times New Roman" w:eastAsia="Times New Roman"/>
          <w:sz w:val="28"/>
        </w:rPr>
      </w:r>
    </w:p>
    <w:p>
      <w:pPr>
        <w:spacing w:line="240" w:lineRule="auto" w:before="0" w:after="0"/>
        <w:jc w:val="both"/>
      </w:pPr>
      <w:r>
        <w:rPr>
          <w:rFonts w:ascii="Times New Roman" w:hAnsi="Times New Roman" w:eastAsia="Times New Roman"/>
          <w:b/>
          <w:i/>
          <w:sz w:val="24"/>
        </w:rPr>
        <w:t>Ключови думи:</w:t>
      </w:r>
      <w:r>
        <w:rPr>
          <w:rFonts w:ascii="Times New Roman" w:hAnsi="Times New Roman" w:eastAsia="Times New Roman"/>
          <w:b w:val="0"/>
          <w:i/>
          <w:sz w:val="24"/>
        </w:rPr>
        <w:t xml:space="preserve"> загуба, реализирана загуба, риск, щета, национална сигурност</w:t>
      </w:r>
    </w:p>
    <w:p>
      <w:pPr>
        <w:spacing w:line="240" w:lineRule="auto" w:before="0" w:after="0"/>
      </w:pPr>
      <w:r>
        <w:rPr>
          <w:rFonts w:ascii="Times New Roman" w:hAnsi="Times New Roman" w:eastAsia="Times New Roman"/>
          <w:sz w:val="28"/>
        </w:rPr>
      </w:r>
    </w:p>
    <w:p>
      <w:pPr>
        <w:spacing w:line="240" w:lineRule="auto" w:before="0" w:after="0"/>
        <w:jc w:val="both"/>
      </w:pPr>
      <w:r>
        <w:rPr>
          <w:rFonts w:ascii="Times New Roman" w:hAnsi="Times New Roman" w:eastAsia="Times New Roman"/>
          <w:b/>
          <w:i/>
          <w:sz w:val="24"/>
        </w:rPr>
        <w:t>Abstract:</w:t>
      </w:r>
      <w:r>
        <w:rPr>
          <w:rFonts w:ascii="Times New Roman" w:hAnsi="Times New Roman" w:eastAsia="Times New Roman"/>
          <w:b w:val="0"/>
          <w:i/>
          <w:sz w:val="24"/>
        </w:rPr>
        <w:t xml:space="preserve"> The paper examines loss as an analytical category in national security research and distinguishes it from risk, damage, impact and consequence. It argues that a realized loss presupposes an actually occurred and evidentially ascertainable loss of an identifiable referent or a reduction in a relevant characteristic of that referent in relation to a relevant comparative state.</w:t>
      </w:r>
    </w:p>
    <w:p>
      <w:pPr>
        <w:spacing w:line="240" w:lineRule="auto" w:before="0" w:after="0"/>
      </w:pPr>
      <w:r>
        <w:rPr>
          <w:rFonts w:ascii="Times New Roman" w:hAnsi="Times New Roman" w:eastAsia="Times New Roman"/>
          <w:sz w:val="28"/>
        </w:rPr>
      </w:r>
    </w:p>
    <w:p>
      <w:pPr>
        <w:spacing w:line="240" w:lineRule="auto" w:before="0" w:after="0"/>
        <w:jc w:val="both"/>
      </w:pPr>
      <w:r>
        <w:rPr>
          <w:rFonts w:ascii="Times New Roman" w:hAnsi="Times New Roman" w:eastAsia="Times New Roman"/>
          <w:b/>
          <w:i/>
          <w:sz w:val="24"/>
        </w:rPr>
        <w:t>Keywords:</w:t>
      </w:r>
      <w:r>
        <w:rPr>
          <w:rFonts w:ascii="Times New Roman" w:hAnsi="Times New Roman" w:eastAsia="Times New Roman"/>
          <w:b w:val="0"/>
          <w:i/>
          <w:sz w:val="24"/>
        </w:rPr>
        <w:t xml:space="preserve"> loss, realized loss, risk, damage, national security</w:t>
      </w:r>
    </w:p>
    <w:p>
      <w:pPr>
        <w:spacing w:line="240" w:lineRule="auto" w:before="0" w:after="0"/>
      </w:pPr>
      <w:r>
        <w:rPr>
          <w:rFonts w:ascii="Times New Roman" w:hAnsi="Times New Roman" w:eastAsia="Times New Roman"/>
          <w:sz w:val="28"/>
        </w:rPr>
      </w:r>
    </w:p>
    <w:p>
      <w:pPr>
        <w:spacing w:line="240" w:lineRule="auto" w:before="0" w:after="0"/>
      </w:pPr>
      <w:r>
        <w:rPr>
          <w:rFonts w:ascii="Times New Roman" w:hAnsi="Times New Roman" w:eastAsia="Times New Roman"/>
          <w:sz w:val="28"/>
        </w:rPr>
      </w:r>
    </w:p>
    <w:p>
      <w:pPr>
        <w:keepNext/>
        <w:spacing w:line="240" w:lineRule="auto" w:before="160" w:after="0"/>
        <w:jc w:val="left"/>
      </w:pPr>
      <w:r>
        <w:rPr>
          <w:rFonts w:ascii="Times New Roman" w:hAnsi="Times New Roman" w:eastAsia="Times New Roman"/>
          <w:b/>
          <w:i w:val="0"/>
          <w:sz w:val="28"/>
        </w:rPr>
        <w:t>ВЪВЕДЕНИЕ</w:t>
      </w:r>
    </w:p>
    <w:p>
      <w:pPr>
        <w:spacing w:line="240" w:lineRule="auto" w:before="0" w:after="0"/>
        <w:ind w:firstLine="454"/>
        <w:jc w:val="both"/>
      </w:pPr>
      <w:r>
        <w:rPr>
          <w:rFonts w:ascii="Times New Roman" w:hAnsi="Times New Roman" w:eastAsia="Times New Roman"/>
          <w:b w:val="0"/>
          <w:i w:val="0"/>
          <w:sz w:val="28"/>
        </w:rPr>
        <w:t>Понятието „загуба“ се използва широко в изследванията на сигурността и отбраната, при управлението на риска, защитата на критичната инфраструктура, бедствията и авариите, икономическите оценки и информационната сигурност. Зад общата дума обаче стоят различни по характер явления. В зависимост от предметната област чрез „загуба“ могат да се обозначават човешки жертви, унищожени материални обекти, намаляване на ресурси, икономически стойности, прекъсване на дейности, загубване на информация, ограничаване на достъп и други неблагоприятни резултати.</w:t>
      </w:r>
    </w:p>
    <w:p>
      <w:pPr>
        <w:spacing w:line="240" w:lineRule="auto" w:before="0" w:after="0"/>
        <w:ind w:firstLine="454"/>
        <w:jc w:val="both"/>
      </w:pPr>
      <w:r>
        <w:rPr>
          <w:rFonts w:ascii="Times New Roman" w:hAnsi="Times New Roman" w:eastAsia="Times New Roman"/>
          <w:b w:val="0"/>
          <w:i w:val="0"/>
          <w:sz w:val="28"/>
        </w:rPr>
        <w:t>Разликата между тези проявления има съдържателен, а не само терминологичен характер. Един и същ неблагоприятен процес може едновременно да бъде разглеждан през риска, причинената щета, въздействието върху определен обект и настъпилите последствия. Общият фактически източник може да породи различни резултати за анализа. При неясни граници между понятията едно изменение лесно се описва чрез няколко категории като тъждествено, а различни изменения се събират под общото обозначение „загуба“.</w:t>
      </w:r>
    </w:p>
    <w:p>
      <w:pPr>
        <w:spacing w:line="240" w:lineRule="auto" w:before="0" w:after="0"/>
        <w:ind w:firstLine="454"/>
        <w:jc w:val="both"/>
      </w:pPr>
      <w:r>
        <w:rPr>
          <w:rFonts w:ascii="Times New Roman" w:hAnsi="Times New Roman" w:eastAsia="Times New Roman"/>
          <w:b w:val="0"/>
          <w:i w:val="0"/>
          <w:sz w:val="28"/>
        </w:rPr>
        <w:t>Този проблем е особено важен при изследването на системите за национална сигурност. В тях се съчетават материални и нематериални елементи, ресурси, информация, организационни структури, комуникации и управленски отношения, а неблагоприятните изменения се проявяват по различни начини. Свеждането на загубата само до физическо разрушаване или стойностна щета оставя част от тези проявления извън анализа. Обратната крайност — приравняването на всяко неблагоприятно състояние или последствие със загуба — разширява понятието до степен, при която разграничителната му функция отслабва.</w:t>
      </w:r>
    </w:p>
    <w:p>
      <w:pPr>
        <w:spacing w:line="240" w:lineRule="auto" w:before="0" w:after="0"/>
        <w:ind w:firstLine="454"/>
        <w:jc w:val="both"/>
      </w:pPr>
      <w:r>
        <w:rPr>
          <w:rFonts w:ascii="Times New Roman" w:hAnsi="Times New Roman" w:eastAsia="Times New Roman"/>
          <w:b w:val="0"/>
          <w:i w:val="0"/>
          <w:sz w:val="28"/>
        </w:rPr>
        <w:t>Целта на доклада е да се изясни съдържанието на загубата като аналитична категория в изследванията на националната сигурност чрез съпоставянето ѝ с риска, щетата, въздействието и последствието и на тази основа да се очертае понятийна основа за идентифициране на реализирана загуба.</w:t>
      </w:r>
    </w:p>
    <w:p>
      <w:pPr>
        <w:keepNext/>
        <w:spacing w:line="240" w:lineRule="auto" w:before="160" w:after="0"/>
        <w:jc w:val="left"/>
      </w:pPr>
      <w:r>
        <w:rPr>
          <w:rFonts w:ascii="Times New Roman" w:hAnsi="Times New Roman" w:eastAsia="Times New Roman"/>
          <w:b/>
          <w:i w:val="0"/>
          <w:sz w:val="28"/>
        </w:rPr>
        <w:t>1. ПОНЯТИЙНА НЕЕДНОЗНАЧНОСТ НА КАТЕГОРИЯТА „ЗАГУБА“</w:t>
      </w:r>
    </w:p>
    <w:p>
      <w:pPr>
        <w:spacing w:line="240" w:lineRule="auto" w:before="0" w:after="0"/>
        <w:ind w:firstLine="454"/>
        <w:jc w:val="both"/>
      </w:pPr>
      <w:r>
        <w:rPr>
          <w:rFonts w:ascii="Times New Roman" w:hAnsi="Times New Roman" w:eastAsia="Times New Roman"/>
          <w:b w:val="0"/>
          <w:i w:val="0"/>
          <w:sz w:val="28"/>
        </w:rPr>
        <w:t>Употребата на „загуба“ обхваща изменения, които се различават както по предмета си, така и по начина, по който се проявяват и могат да бъдат установени. В най-непосредствен смисъл тя може да е свързана с унищожаване или отпадане на материален обект. В други случаи се изразява в намаляване на количество или ресурс, отпадане на достъп, загубване на информация или намаляване на определена характеристика, без непременно да е налице физическо унищожаване.</w:t>
      </w:r>
    </w:p>
    <w:p>
      <w:pPr>
        <w:spacing w:line="240" w:lineRule="auto" w:before="0" w:after="0"/>
        <w:ind w:firstLine="454"/>
        <w:jc w:val="both"/>
      </w:pPr>
      <w:r>
        <w:rPr>
          <w:rFonts w:ascii="Times New Roman" w:hAnsi="Times New Roman" w:eastAsia="Times New Roman"/>
          <w:b w:val="0"/>
          <w:i w:val="0"/>
          <w:sz w:val="28"/>
        </w:rPr>
        <w:t>Това многообразие налага да се различават обектът, спрямо който се установява загубата, и формата, в която тя се проявява. Физическото унищожаване е една възможна форма, наред с отпадане на достъп, загубване на информация или намаляване на релевантна характеристика при запазен материален носител. NIST например разглежда поверителността, целостта и наличността като отделни свойства и допуска различна степен на неблагоприятно въздействие върху организационни операции, активи и лица [1].</w:t>
      </w:r>
    </w:p>
    <w:p>
      <w:pPr>
        <w:spacing w:line="240" w:lineRule="auto" w:before="0" w:after="0"/>
        <w:ind w:firstLine="454"/>
        <w:jc w:val="both"/>
      </w:pPr>
      <w:r>
        <w:rPr>
          <w:rFonts w:ascii="Times New Roman" w:hAnsi="Times New Roman" w:eastAsia="Times New Roman"/>
          <w:b w:val="0"/>
          <w:i w:val="0"/>
          <w:sz w:val="28"/>
        </w:rPr>
        <w:t>Неблагоприятното състояние и реализираната загуба също следва да се разграничават. Недостигът, дефицитът или неудовлетворителното състояние могат да произтичат от първоначална липса, докато реализираната загуба предполага настъпило отпадане или намаляване. Когато даден ресурс отсъства още в релевантното сравнително състояние, случаят се характеризира като първоначална липса или дефицит; квалификацията „реализирана загуба“ изисква установимо отпадане или намаляване.</w:t>
      </w:r>
    </w:p>
    <w:p>
      <w:pPr>
        <w:spacing w:line="240" w:lineRule="auto" w:before="0" w:after="0"/>
        <w:ind w:firstLine="454"/>
        <w:jc w:val="both"/>
      </w:pPr>
      <w:r>
        <w:rPr>
          <w:rFonts w:ascii="Times New Roman" w:hAnsi="Times New Roman" w:eastAsia="Times New Roman"/>
          <w:b w:val="0"/>
          <w:i w:val="0"/>
          <w:sz w:val="28"/>
        </w:rPr>
        <w:t>Тук решаваща е връзката между настъпилото изменение и сравнителното основание. Несъответствието с желано, нормативно или планирано състояние може да е съществено, но само установимото отпадане на наличен референт или намаляване на негова характеристика дава основание да се говори за реализирана загуба.</w:t>
      </w:r>
    </w:p>
    <w:p>
      <w:pPr>
        <w:spacing w:line="240" w:lineRule="auto" w:before="0" w:after="0"/>
        <w:ind w:firstLine="454"/>
        <w:jc w:val="both"/>
      </w:pPr>
      <w:r>
        <w:rPr>
          <w:rFonts w:ascii="Times New Roman" w:hAnsi="Times New Roman" w:eastAsia="Times New Roman"/>
          <w:b w:val="0"/>
          <w:i w:val="0"/>
          <w:sz w:val="28"/>
        </w:rPr>
        <w:t>Има и противоположен риск: различни проявления на един фактически процес да бъдат събрани под едно и също наименование. Унищожаването на актив, паричната му оценка, прекъсването на дейност и по-късните икономически последствия могат да са причинно свързани, но да представляват различни позиции в анализа. Ако това различие се изгуби, едно първоначално изменение може да бъде смесено с неговите изражения или отчетено повече от веднъж.</w:t>
      </w:r>
    </w:p>
    <w:p>
      <w:pPr>
        <w:spacing w:line="240" w:lineRule="auto" w:before="0" w:after="0"/>
        <w:ind w:firstLine="454"/>
        <w:jc w:val="both"/>
      </w:pPr>
      <w:r>
        <w:rPr>
          <w:rFonts w:ascii="Times New Roman" w:hAnsi="Times New Roman" w:eastAsia="Times New Roman"/>
          <w:b w:val="0"/>
          <w:i w:val="0"/>
          <w:sz w:val="28"/>
        </w:rPr>
        <w:t>Затова понятието „загуба“ трябва да съчетава достатъчно широк обхват — за различните форми на фактически настъпило отпадане или намаляване — с ясни граници спрямо останалите нежелани състояния и резултати.</w:t>
      </w:r>
    </w:p>
    <w:p>
      <w:pPr>
        <w:keepNext/>
        <w:spacing w:line="240" w:lineRule="auto" w:before="160" w:after="0"/>
        <w:jc w:val="left"/>
      </w:pPr>
      <w:r>
        <w:rPr>
          <w:rFonts w:ascii="Times New Roman" w:hAnsi="Times New Roman" w:eastAsia="Times New Roman"/>
          <w:b/>
          <w:i w:val="0"/>
          <w:sz w:val="28"/>
        </w:rPr>
        <w:t>2. ЗАГУБА И РИСК</w:t>
      </w:r>
    </w:p>
    <w:p>
      <w:pPr>
        <w:spacing w:line="240" w:lineRule="auto" w:before="0" w:after="0"/>
        <w:ind w:firstLine="454"/>
        <w:jc w:val="both"/>
      </w:pPr>
      <w:r>
        <w:rPr>
          <w:rFonts w:ascii="Times New Roman" w:hAnsi="Times New Roman" w:eastAsia="Times New Roman"/>
          <w:b w:val="0"/>
          <w:i w:val="0"/>
          <w:sz w:val="28"/>
        </w:rPr>
        <w:t>Рискът и реализираната загуба са свързани с неблагоприятни развития, но заемат различни положения в анализа. ISO 31000 определя риска чрез ефекта на неопределеността върху целите [2]. В научните изследвания на риска неопределеността и възможните последствия също се разглеждат като съществени елементи на неговото описание [3, 4].</w:t>
      </w:r>
    </w:p>
    <w:p>
      <w:pPr>
        <w:spacing w:line="240" w:lineRule="auto" w:before="0" w:after="0"/>
        <w:ind w:firstLine="454"/>
        <w:jc w:val="both"/>
      </w:pPr>
      <w:r>
        <w:rPr>
          <w:rFonts w:ascii="Times New Roman" w:hAnsi="Times New Roman" w:eastAsia="Times New Roman"/>
          <w:b w:val="0"/>
          <w:i w:val="0"/>
          <w:sz w:val="28"/>
        </w:rPr>
        <w:t>Рискът описва неопределеността относно събития, обстоятелства и възможни резултати. При реализираната загуба вниманието е насочено към вече настъпило изменение, чието наличие се установява с доказателства. Така двете категории се отнасят към различни състояния на разглеждания процес.</w:t>
      </w:r>
    </w:p>
    <w:p>
      <w:pPr>
        <w:spacing w:line="240" w:lineRule="auto" w:before="0" w:after="0"/>
        <w:ind w:firstLine="454"/>
        <w:jc w:val="both"/>
      </w:pPr>
      <w:r>
        <w:rPr>
          <w:rFonts w:ascii="Times New Roman" w:hAnsi="Times New Roman" w:eastAsia="Times New Roman"/>
          <w:b w:val="0"/>
          <w:i w:val="0"/>
          <w:sz w:val="28"/>
        </w:rPr>
        <w:t>Високата вероятност за неблагоприятен резултат остава оценка на възможност. Същото важи за математическото очакване на загуби и за сценарните оценки на възможни човешки, материални или икономически последствия. Те имат прогностичен или условен характер до момента, в който съответното отпадане или намаляване бъде фактически установено.</w:t>
      </w:r>
    </w:p>
    <w:p>
      <w:pPr>
        <w:spacing w:line="240" w:lineRule="auto" w:before="0" w:after="0"/>
        <w:ind w:firstLine="454"/>
        <w:jc w:val="both"/>
      </w:pPr>
      <w:r>
        <w:rPr>
          <w:rFonts w:ascii="Times New Roman" w:hAnsi="Times New Roman" w:eastAsia="Times New Roman"/>
          <w:b w:val="0"/>
          <w:i w:val="0"/>
          <w:sz w:val="28"/>
        </w:rPr>
        <w:t>Двете категории, разбира се, могат да бъдат свързани. Реализирана загуба може да съответства на резултат, разглеждан предварително в анализ на риска, а данните за вече настъпили загуби могат да се използват при последващи оценки на рискове, уязвимости и сценарии. Тази връзка запазва различието между предварителната оценка и настъпилия резултат.</w:t>
      </w:r>
    </w:p>
    <w:p>
      <w:pPr>
        <w:spacing w:line="240" w:lineRule="auto" w:before="0" w:after="0"/>
        <w:ind w:firstLine="454"/>
        <w:jc w:val="both"/>
      </w:pPr>
      <w:r>
        <w:rPr>
          <w:rFonts w:ascii="Times New Roman" w:hAnsi="Times New Roman" w:eastAsia="Times New Roman"/>
          <w:b w:val="0"/>
          <w:i w:val="0"/>
          <w:sz w:val="28"/>
        </w:rPr>
        <w:t>Линейната последователност „риск → събитие → загуба“ има ограничена приложимост. Част от рисковете остават нереализирани; настъпили събития могат да протекат без загуба спрямо конкретно разглеждания предмет; едно събитие може да породи и няколко различни изменения. За всяко от тях е необходима отделна преценка дали представлява реализирана загуба.</w:t>
      </w:r>
    </w:p>
    <w:p>
      <w:pPr>
        <w:spacing w:line="240" w:lineRule="auto" w:before="0" w:after="0"/>
        <w:ind w:firstLine="454"/>
        <w:jc w:val="both"/>
      </w:pPr>
      <w:r>
        <w:rPr>
          <w:rFonts w:ascii="Times New Roman" w:hAnsi="Times New Roman" w:eastAsia="Times New Roman"/>
          <w:b w:val="0"/>
          <w:i w:val="0"/>
          <w:sz w:val="28"/>
        </w:rPr>
        <w:t>Това разграничение е особено важно за националната сигурност, където прогнозните оценки и фактическите данни често участват в един и същ процес на планиране, управление и последващ анализ. Смесването им би поставило възможния и доказано настъпилия резултат на една и съща основа.</w:t>
      </w:r>
    </w:p>
    <w:p>
      <w:pPr>
        <w:keepNext/>
        <w:spacing w:line="240" w:lineRule="auto" w:before="160" w:after="0"/>
        <w:jc w:val="left"/>
      </w:pPr>
      <w:r>
        <w:rPr>
          <w:rFonts w:ascii="Times New Roman" w:hAnsi="Times New Roman" w:eastAsia="Times New Roman"/>
          <w:b/>
          <w:i w:val="0"/>
          <w:sz w:val="28"/>
        </w:rPr>
        <w:t>3. ЗАГУБА И ЩЕТА</w:t>
      </w:r>
    </w:p>
    <w:p>
      <w:pPr>
        <w:spacing w:line="240" w:lineRule="auto" w:before="0" w:after="0"/>
        <w:ind w:firstLine="454"/>
        <w:jc w:val="both"/>
      </w:pPr>
      <w:r>
        <w:rPr>
          <w:rFonts w:ascii="Times New Roman" w:hAnsi="Times New Roman" w:eastAsia="Times New Roman"/>
          <w:b w:val="0"/>
          <w:i w:val="0"/>
          <w:sz w:val="28"/>
        </w:rPr>
        <w:t>Отношението между „загуба“ и „щета“ зависи от предметната област. Различните методики влагат в термините специфично съдържание, поради което превръщането на една конкретна употреба в универсална дефиниция би заличило съществени предметни различия.</w:t>
      </w:r>
    </w:p>
    <w:p>
      <w:pPr>
        <w:spacing w:line="240" w:lineRule="auto" w:before="0" w:after="0"/>
        <w:ind w:firstLine="454"/>
        <w:jc w:val="both"/>
      </w:pPr>
      <w:r>
        <w:rPr>
          <w:rFonts w:ascii="Times New Roman" w:hAnsi="Times New Roman" w:eastAsia="Times New Roman"/>
          <w:b w:val="0"/>
          <w:i w:val="0"/>
          <w:sz w:val="28"/>
        </w:rPr>
        <w:t>Добър пример са методиките за оценяване на бедствия. ECLAC различава въздействието върху активите, разглеждано като щета, от измененията в икономическите потоци, които се отчитат като загуби и допълнителни разходи [5]. При UNDRR пряката икономическа загуба е свързана с паричната стойност на пълното или частичното разрушаване на физически активи, а непряката — с намаляване на икономическата добавена стойност вследствие на преки загуби и други въздействия [6].</w:t>
      </w:r>
    </w:p>
    <w:p>
      <w:pPr>
        <w:spacing w:line="240" w:lineRule="auto" w:before="0" w:after="0"/>
        <w:ind w:firstLine="454"/>
        <w:jc w:val="both"/>
      </w:pPr>
      <w:r>
        <w:rPr>
          <w:rFonts w:ascii="Times New Roman" w:hAnsi="Times New Roman" w:eastAsia="Times New Roman"/>
          <w:b w:val="0"/>
          <w:i w:val="0"/>
          <w:sz w:val="28"/>
        </w:rPr>
        <w:t>От тези примери се вижда, че физическата щета и икономическата загуба могат да бъдат разглеждани отделно дори в рамките на една обща оценка. Едно физическо изменение може да има стойностно изражение и да бъде последвано от промени в икономическите потоци, без трите позиции да са тъждествени.</w:t>
      </w:r>
    </w:p>
    <w:p>
      <w:pPr>
        <w:spacing w:line="240" w:lineRule="auto" w:before="0" w:after="0"/>
        <w:ind w:firstLine="454"/>
        <w:jc w:val="both"/>
      </w:pPr>
      <w:r>
        <w:rPr>
          <w:rFonts w:ascii="Times New Roman" w:hAnsi="Times New Roman" w:eastAsia="Times New Roman"/>
          <w:b w:val="0"/>
          <w:i w:val="0"/>
          <w:sz w:val="28"/>
        </w:rPr>
        <w:t>Същият въпрос възниква и извън оценяването на бедствия. При системите за национална сигурност физическото повреждане на обект може да е релевантен факт, а загуба може да възникне и при запазен материален носител — например при отпадане на достъп, загубване на информация или намаляване на релевантна характеристика.</w:t>
      </w:r>
    </w:p>
    <w:p>
      <w:pPr>
        <w:spacing w:line="240" w:lineRule="auto" w:before="0" w:after="0"/>
        <w:ind w:firstLine="454"/>
        <w:jc w:val="both"/>
      </w:pPr>
      <w:r>
        <w:rPr>
          <w:rFonts w:ascii="Times New Roman" w:hAnsi="Times New Roman" w:eastAsia="Times New Roman"/>
          <w:b w:val="0"/>
          <w:i w:val="0"/>
          <w:sz w:val="28"/>
        </w:rPr>
        <w:t>Поради това щетата не може да се използва като универсален синоним на загубата. В конкретна методика тя може да бъде компонент, конкретна форма или близка категория на оценяваното неблагоприятно изменение; точният ѝ статут зависи от предмета и целта на анализа.</w:t>
      </w:r>
    </w:p>
    <w:p>
      <w:pPr>
        <w:spacing w:line="240" w:lineRule="auto" w:before="0" w:after="0"/>
        <w:ind w:firstLine="454"/>
        <w:jc w:val="both"/>
      </w:pPr>
      <w:r>
        <w:rPr>
          <w:rFonts w:ascii="Times New Roman" w:hAnsi="Times New Roman" w:eastAsia="Times New Roman"/>
          <w:b w:val="0"/>
          <w:i w:val="0"/>
          <w:sz w:val="28"/>
        </w:rPr>
        <w:t>Важно е да се различава и настъпилото изменение от начина, по който то се оценява. Паричната стойност на разрушен или повреден актив представлява оценъчно изражение на физическия факт. Смесването на двете позиции може да превърне стойностната оценка в привидно самостоятелен обект на загубата.</w:t>
      </w:r>
    </w:p>
    <w:p>
      <w:pPr>
        <w:spacing w:line="240" w:lineRule="auto" w:before="0" w:after="0"/>
        <w:ind w:firstLine="454"/>
        <w:jc w:val="both"/>
      </w:pPr>
      <w:r>
        <w:rPr>
          <w:rFonts w:ascii="Times New Roman" w:hAnsi="Times New Roman" w:eastAsia="Times New Roman"/>
          <w:b w:val="0"/>
          <w:i w:val="0"/>
          <w:sz w:val="28"/>
        </w:rPr>
        <w:t>Вместо да се изгражда универсална йерархия между загуба и щета, по-съществено е да се установи какво обозначава всяко от понятията в конкретната методика и какво действително е настъпило.</w:t>
      </w:r>
    </w:p>
    <w:p>
      <w:pPr>
        <w:keepNext/>
        <w:spacing w:line="240" w:lineRule="auto" w:before="160" w:after="0"/>
        <w:jc w:val="left"/>
      </w:pPr>
      <w:r>
        <w:rPr>
          <w:rFonts w:ascii="Times New Roman" w:hAnsi="Times New Roman" w:eastAsia="Times New Roman"/>
          <w:b/>
          <w:i w:val="0"/>
          <w:sz w:val="28"/>
        </w:rPr>
        <w:t>4. ЗАГУБА, ВЪЗДЕЙСТВИЕ И ПОСЛЕДСТВИЕ</w:t>
      </w:r>
    </w:p>
    <w:p>
      <w:pPr>
        <w:spacing w:line="240" w:lineRule="auto" w:before="0" w:after="0"/>
        <w:ind w:firstLine="454"/>
        <w:jc w:val="both"/>
      </w:pPr>
      <w:r>
        <w:rPr>
          <w:rFonts w:ascii="Times New Roman" w:hAnsi="Times New Roman" w:eastAsia="Times New Roman"/>
          <w:b w:val="0"/>
          <w:i w:val="0"/>
          <w:sz w:val="28"/>
        </w:rPr>
        <w:t>Обхватът на „въздействие“ и „последствие“ също се различава между отделните дисциплини. В зависимост от методиката „въздействие“ може да означава действие, промяна, ефект или резултат. Отношението му към загубата следва да се определя според конкретната рамка.</w:t>
      </w:r>
    </w:p>
    <w:p>
      <w:pPr>
        <w:spacing w:line="240" w:lineRule="auto" w:before="0" w:after="0"/>
        <w:ind w:firstLine="454"/>
        <w:jc w:val="both"/>
      </w:pPr>
      <w:r>
        <w:rPr>
          <w:rFonts w:ascii="Times New Roman" w:hAnsi="Times New Roman" w:eastAsia="Times New Roman"/>
          <w:b w:val="0"/>
          <w:i w:val="0"/>
          <w:sz w:val="28"/>
        </w:rPr>
        <w:t>В информационната сигурност например NIST използва „potential impact“ за степента на неблагоприятния ефект върху организационните операции, активите и лицата при нарушаване на поверителността, целостта или наличността [7]. При изследването на кибервредите се разглеждат физически или цифрови, икономически, психологически, репутационни и обществени проявления, както и начините, по които те могат да се разпространяват извън непосредствената цифрова среда [8]. Самите примери показват колко силно съдържанието на „въздействие“ зависи от използваната рамка.</w:t>
      </w:r>
    </w:p>
    <w:p>
      <w:pPr>
        <w:spacing w:line="240" w:lineRule="auto" w:before="0" w:after="0"/>
        <w:ind w:firstLine="454"/>
        <w:jc w:val="both"/>
      </w:pPr>
      <w:r>
        <w:rPr>
          <w:rFonts w:ascii="Times New Roman" w:hAnsi="Times New Roman" w:eastAsia="Times New Roman"/>
          <w:b w:val="0"/>
          <w:i w:val="0"/>
          <w:sz w:val="28"/>
        </w:rPr>
        <w:t>Наличието на въздействие е важна информация за случая, докато квалификацията „реализирана загуба“ изисква да се установи какво точно е отпаднало или намаляло и спрямо какво сравнително състояние се прави изводът.</w:t>
      </w:r>
    </w:p>
    <w:p>
      <w:pPr>
        <w:spacing w:line="240" w:lineRule="auto" w:before="0" w:after="0"/>
        <w:ind w:firstLine="454"/>
        <w:jc w:val="both"/>
      </w:pPr>
      <w:r>
        <w:rPr>
          <w:rFonts w:ascii="Times New Roman" w:hAnsi="Times New Roman" w:eastAsia="Times New Roman"/>
          <w:b w:val="0"/>
          <w:i w:val="0"/>
          <w:sz w:val="28"/>
        </w:rPr>
        <w:t>При последствието границата е сходна. То обозначава резултат във връзка с предходно събитие, фактор или изменение. Тази връзка има значение за причинния анализ, а статутът на резултата като нова самостоятелна реализирана загуба изисква отделна преценка.</w:t>
      </w:r>
    </w:p>
    <w:p>
      <w:pPr>
        <w:spacing w:line="240" w:lineRule="auto" w:before="0" w:after="0"/>
        <w:ind w:firstLine="454"/>
        <w:jc w:val="both"/>
      </w:pPr>
      <w:r>
        <w:rPr>
          <w:rFonts w:ascii="Times New Roman" w:hAnsi="Times New Roman" w:eastAsia="Times New Roman"/>
          <w:b w:val="0"/>
          <w:i w:val="0"/>
          <w:sz w:val="28"/>
        </w:rPr>
        <w:t>Физическото повреждане на инфраструктурен елемент например може да бъде последвано от прекъсване на услуга, икономически затруднения или други неблагоприятни проявления. Принадлежността им към една причинна последователност оставя отворен въпроса дали се разглеждат като една загуба, като няколко самостоятелни загуби или като последствия с различен статут.</w:t>
      </w:r>
    </w:p>
    <w:p>
      <w:pPr>
        <w:spacing w:line="240" w:lineRule="auto" w:before="0" w:after="0"/>
        <w:ind w:firstLine="454"/>
        <w:jc w:val="both"/>
      </w:pPr>
      <w:r>
        <w:rPr>
          <w:rFonts w:ascii="Times New Roman" w:hAnsi="Times New Roman" w:eastAsia="Times New Roman"/>
          <w:b w:val="0"/>
          <w:i w:val="0"/>
          <w:sz w:val="28"/>
        </w:rPr>
        <w:t>Точно тук възниква и рискът от двойно отчитане. Ако първоначалното отпадане, стойностното му изражение и всички по-късни последствия се представят като независими загуби без разграничаване на предмета им, една и съща фактическа основа може да бъде отчетена многократно.</w:t>
      </w:r>
    </w:p>
    <w:p>
      <w:pPr>
        <w:spacing w:line="240" w:lineRule="auto" w:before="0" w:after="0"/>
        <w:ind w:firstLine="454"/>
        <w:jc w:val="both"/>
      </w:pPr>
      <w:r>
        <w:rPr>
          <w:rFonts w:ascii="Times New Roman" w:hAnsi="Times New Roman" w:eastAsia="Times New Roman"/>
          <w:b w:val="0"/>
          <w:i w:val="0"/>
          <w:sz w:val="28"/>
        </w:rPr>
        <w:t>„Загуба“, „въздействие“ и „последствие“ могат да се отнасят до една и съща фактическа ситуация, като всяко понятие запазва собствено съдържание. Значението му се извежда от конкретното установено изменение и от мястото му в разглеждания процес.</w:t>
      </w:r>
    </w:p>
    <w:p>
      <w:pPr>
        <w:keepNext/>
        <w:spacing w:line="240" w:lineRule="auto" w:before="160" w:after="0"/>
        <w:jc w:val="left"/>
      </w:pPr>
      <w:r>
        <w:rPr>
          <w:rFonts w:ascii="Times New Roman" w:hAnsi="Times New Roman" w:eastAsia="Times New Roman"/>
          <w:b/>
          <w:i w:val="0"/>
          <w:sz w:val="28"/>
        </w:rPr>
        <w:t>5. АНАЛИТИЧНО СЪДЪРЖАНИЕ НА КАТЕГОРИЯТА „ЗАГУБА“</w:t>
      </w:r>
    </w:p>
    <w:p>
      <w:pPr>
        <w:spacing w:line="240" w:lineRule="auto" w:before="0" w:after="0"/>
        <w:ind w:firstLine="454"/>
        <w:jc w:val="both"/>
      </w:pPr>
      <w:r>
        <w:rPr>
          <w:rFonts w:ascii="Times New Roman" w:hAnsi="Times New Roman" w:eastAsia="Times New Roman"/>
          <w:b w:val="0"/>
          <w:i w:val="0"/>
          <w:sz w:val="28"/>
        </w:rPr>
        <w:t>Направените разграничения позволяват да се очертае понятийното ядро на реализираната загуба. В центъра стои фактът на настъпило отпадане или намаляване, отнесено към ясно индивидуализиран предмет. Видът на събитието, предварително оцененият риск и мащабът на по-късните последствия имат значение за други страни на анализа.</w:t>
      </w:r>
    </w:p>
    <w:p>
      <w:pPr>
        <w:spacing w:line="240" w:lineRule="auto" w:before="0" w:after="0"/>
        <w:ind w:firstLine="454"/>
        <w:jc w:val="both"/>
      </w:pPr>
      <w:r>
        <w:rPr>
          <w:rFonts w:ascii="Times New Roman" w:hAnsi="Times New Roman" w:eastAsia="Times New Roman"/>
          <w:b w:val="0"/>
          <w:i w:val="0"/>
          <w:sz w:val="28"/>
        </w:rPr>
        <w:t>В този смисъл реализираната загуба представлява фактически настъпило и доказателствено установимо отпадане на определим референт или намаляване на релевантна негова характеристика спрямо релевантно сравнително състояние.</w:t>
      </w:r>
    </w:p>
    <w:p>
      <w:pPr>
        <w:spacing w:line="240" w:lineRule="auto" w:before="0" w:after="0"/>
        <w:ind w:firstLine="454"/>
        <w:jc w:val="both"/>
      </w:pPr>
      <w:r>
        <w:rPr>
          <w:rFonts w:ascii="Times New Roman" w:hAnsi="Times New Roman" w:eastAsia="Times New Roman"/>
          <w:b w:val="0"/>
          <w:i w:val="0"/>
          <w:sz w:val="28"/>
        </w:rPr>
        <w:t>От това определение произтичат няколко уточнения. Реализираната загуба предполага настъпил факт и възможност той да бъде доказателствено установен; именно това я отличава от риска, потенциалната и сценарно разглежданата загуба. Следва да бъде ясно и към какво се отнася отпадането или намаляването — т.е. да се индивидуализира засегнатият референт или релевантната негова характеристика. Сравнителното състояние позволява на свой ред реализираната загуба да се различи от първоначален недостиг, структурен дефицит или отсъствие на нещо в релевантната сравнителна позиция.</w:t>
      </w:r>
    </w:p>
    <w:p>
      <w:pPr>
        <w:spacing w:line="240" w:lineRule="auto" w:before="0" w:after="0"/>
        <w:ind w:firstLine="454"/>
        <w:jc w:val="both"/>
      </w:pPr>
      <w:r>
        <w:rPr>
          <w:rFonts w:ascii="Times New Roman" w:hAnsi="Times New Roman" w:eastAsia="Times New Roman"/>
          <w:b w:val="0"/>
          <w:i w:val="0"/>
          <w:sz w:val="28"/>
        </w:rPr>
        <w:t>Това очертава и границата между самата реализирана загуба и въпросите за нейното по-нататъшно отражение. Установеното отпадане на референт или намаляване на негова характеристика е достатъчно за констатация на конкретна загуба. Характерът и мащабът на следващите резултати се определят чрез отделен анализ.</w:t>
      </w:r>
    </w:p>
    <w:p>
      <w:pPr>
        <w:spacing w:line="240" w:lineRule="auto" w:before="0" w:after="0"/>
        <w:ind w:firstLine="454"/>
        <w:jc w:val="both"/>
      </w:pPr>
      <w:r>
        <w:rPr>
          <w:rFonts w:ascii="Times New Roman" w:hAnsi="Times New Roman" w:eastAsia="Times New Roman"/>
          <w:b w:val="0"/>
          <w:i w:val="0"/>
          <w:sz w:val="28"/>
        </w:rPr>
        <w:t>Ограничаването на последиците впоследствие запазва статута на първоначално установената загуба. При значими последствия съдържанието на тази загуба продължава да се определя от фактически установеното отпадане или намаляване.</w:t>
      </w:r>
    </w:p>
    <w:p>
      <w:pPr>
        <w:spacing w:line="240" w:lineRule="auto" w:before="0" w:after="0"/>
        <w:ind w:firstLine="454"/>
        <w:jc w:val="both"/>
      </w:pPr>
      <w:r>
        <w:rPr>
          <w:rFonts w:ascii="Times New Roman" w:hAnsi="Times New Roman" w:eastAsia="Times New Roman"/>
          <w:b w:val="0"/>
          <w:i w:val="0"/>
          <w:sz w:val="28"/>
        </w:rPr>
        <w:t>По този начин „загуба“ запазва собствено място в анализа и обозначава конкретното фактически настъпило отпадане или намаляване. Рискът, щетата, въздействието и последствието описват други, свързани страни на същата или на последваща фактическа ситуация.</w:t>
      </w:r>
    </w:p>
    <w:p>
      <w:pPr>
        <w:keepNext/>
        <w:spacing w:line="240" w:lineRule="auto" w:before="160" w:after="0"/>
        <w:jc w:val="left"/>
      </w:pPr>
      <w:r>
        <w:rPr>
          <w:rFonts w:ascii="Times New Roman" w:hAnsi="Times New Roman" w:eastAsia="Times New Roman"/>
          <w:b/>
          <w:i w:val="0"/>
          <w:sz w:val="28"/>
        </w:rPr>
        <w:t>6. ЗНАЧЕНИЕ ЗА АНАЛИЗА НА НАЦИОНАЛНАТА СИГУРНОСТ</w:t>
      </w:r>
    </w:p>
    <w:p>
      <w:pPr>
        <w:spacing w:line="240" w:lineRule="auto" w:before="0" w:after="0"/>
        <w:ind w:firstLine="454"/>
        <w:jc w:val="both"/>
      </w:pPr>
      <w:r>
        <w:rPr>
          <w:rFonts w:ascii="Times New Roman" w:hAnsi="Times New Roman" w:eastAsia="Times New Roman"/>
          <w:b w:val="0"/>
          <w:i w:val="0"/>
          <w:sz w:val="28"/>
        </w:rPr>
        <w:t>Понятийната яснота има пряко значение при изследването на системите за национална сигурност, защото неблагоприятните процеси често засягат едновременно материални обекти, ресурси, информация, организационни отношения и други характеристики.</w:t>
      </w:r>
    </w:p>
    <w:p>
      <w:pPr>
        <w:spacing w:line="240" w:lineRule="auto" w:before="0" w:after="0"/>
        <w:ind w:firstLine="454"/>
        <w:jc w:val="both"/>
      </w:pPr>
      <w:r>
        <w:rPr>
          <w:rFonts w:ascii="Times New Roman" w:hAnsi="Times New Roman" w:eastAsia="Times New Roman"/>
          <w:b w:val="0"/>
          <w:i w:val="0"/>
          <w:sz w:val="28"/>
        </w:rPr>
        <w:t>Най-напред трябва да е ясно какво точно е отпаднало или намаляло. Едва тогава има смисъл да се пристъпва към измерване или оценяване. Иначе може да се получи прецизно изчисление, което всъщност се отнася до неясно определен предмет.</w:t>
      </w:r>
    </w:p>
    <w:p>
      <w:pPr>
        <w:spacing w:line="240" w:lineRule="auto" w:before="0" w:after="0"/>
        <w:ind w:firstLine="454"/>
        <w:jc w:val="both"/>
      </w:pPr>
      <w:r>
        <w:rPr>
          <w:rFonts w:ascii="Times New Roman" w:hAnsi="Times New Roman" w:eastAsia="Times New Roman"/>
          <w:b w:val="0"/>
          <w:i w:val="0"/>
          <w:sz w:val="28"/>
        </w:rPr>
        <w:t>Също толкова важно е да се различават свързаните неблагоприятни резултати. Общият фактор или събитие може да породи няколко изменения с различен статут. Унищожаването на материален актив, неговото стойностно изражение и последващите ограничения например могат да изискват различно третиране.</w:t>
      </w:r>
    </w:p>
    <w:p>
      <w:pPr>
        <w:spacing w:line="240" w:lineRule="auto" w:before="0" w:after="0"/>
        <w:ind w:firstLine="454"/>
        <w:jc w:val="both"/>
      </w:pPr>
      <w:r>
        <w:rPr>
          <w:rFonts w:ascii="Times New Roman" w:hAnsi="Times New Roman" w:eastAsia="Times New Roman"/>
          <w:b w:val="0"/>
          <w:i w:val="0"/>
          <w:sz w:val="28"/>
        </w:rPr>
        <w:t>Тази яснота намалява и риска от двойно отчитане. Когато едно отпадане е представено чрез различни изражения или последствия, всяка позиция трябва да се разглежда според това какво действително обозначава. Така се избягва механичното сумиране на величини, които частично или изцяло стъпват върху една и съща фактическа основа.</w:t>
      </w:r>
    </w:p>
    <w:p>
      <w:pPr>
        <w:spacing w:line="240" w:lineRule="auto" w:before="0" w:after="0"/>
        <w:ind w:firstLine="454"/>
        <w:jc w:val="both"/>
      </w:pPr>
      <w:r>
        <w:rPr>
          <w:rFonts w:ascii="Times New Roman" w:hAnsi="Times New Roman" w:eastAsia="Times New Roman"/>
          <w:b w:val="0"/>
          <w:i w:val="0"/>
          <w:sz w:val="28"/>
        </w:rPr>
        <w:t>Друг съществен аспект е обхващането на нефизически загуби. Националната сигурност включва освен материални активи и информация, достъп, комуникационни отношения и други релевантни характеристики. Те могат да отпаднат или да бъдат намалени при запазено физическо състояние на материалния носител. Подобна проблематика се разглежда и в изследванията на киберсигурността и устойчивото функциониране на публичната администрация [9].</w:t>
      </w:r>
    </w:p>
    <w:p>
      <w:pPr>
        <w:spacing w:line="240" w:lineRule="auto" w:before="0" w:after="0"/>
        <w:ind w:firstLine="454"/>
        <w:jc w:val="both"/>
      </w:pPr>
      <w:r>
        <w:rPr>
          <w:rFonts w:ascii="Times New Roman" w:hAnsi="Times New Roman" w:eastAsia="Times New Roman"/>
          <w:b w:val="0"/>
          <w:i w:val="0"/>
          <w:sz w:val="28"/>
        </w:rPr>
        <w:t>Общото изискване е ясно: квалификацията „загуба“ се основава на конкретно установено отпадане или намаляване, разглеждано отделно от неблагоприятността на събитието, предварително оценения риск и последващите последствия.</w:t>
      </w:r>
    </w:p>
    <w:p>
      <w:pPr>
        <w:spacing w:line="240" w:lineRule="auto" w:before="0" w:after="0"/>
        <w:ind w:firstLine="454"/>
        <w:jc w:val="both"/>
      </w:pPr>
      <w:r>
        <w:rPr>
          <w:rFonts w:ascii="Times New Roman" w:hAnsi="Times New Roman" w:eastAsia="Times New Roman"/>
          <w:b w:val="0"/>
          <w:i w:val="0"/>
          <w:sz w:val="28"/>
        </w:rPr>
        <w:t>В този смисъл понятието изпълнява две основни функции. От една страна, индивидуализира конкретното фактически настъпило отпадане или намаляване. От друга, позволява този факт да се отдели от свързаните с него риск, щета, въздействие и последствие.</w:t>
      </w:r>
    </w:p>
    <w:p>
      <w:pPr>
        <w:spacing w:line="240" w:lineRule="auto" w:before="0" w:after="0"/>
        <w:ind w:firstLine="454"/>
        <w:jc w:val="both"/>
      </w:pPr>
      <w:r>
        <w:rPr>
          <w:rFonts w:ascii="Times New Roman" w:hAnsi="Times New Roman" w:eastAsia="Times New Roman"/>
          <w:b w:val="0"/>
          <w:i w:val="0"/>
          <w:sz w:val="28"/>
        </w:rPr>
        <w:t>Тези граници дават по-надеждна основа за изследване на неблагоприятните изменения в системите за национална сигурност и ограничават пренасянето на изводи от една позиция към друга без достатъчно основание.</w:t>
      </w:r>
    </w:p>
    <w:p>
      <w:pPr>
        <w:keepNext/>
        <w:spacing w:line="240" w:lineRule="auto" w:before="160" w:after="0"/>
        <w:jc w:val="left"/>
      </w:pPr>
      <w:r>
        <w:rPr>
          <w:rFonts w:ascii="Times New Roman" w:hAnsi="Times New Roman" w:eastAsia="Times New Roman"/>
          <w:b/>
          <w:i w:val="0"/>
          <w:sz w:val="28"/>
        </w:rPr>
        <w:t>ЗАКЛЮЧЕНИЕ</w:t>
      </w:r>
    </w:p>
    <w:p>
      <w:pPr>
        <w:spacing w:line="240" w:lineRule="auto" w:before="0" w:after="0"/>
        <w:ind w:firstLine="454"/>
        <w:jc w:val="both"/>
      </w:pPr>
      <w:r>
        <w:rPr>
          <w:rFonts w:ascii="Times New Roman" w:hAnsi="Times New Roman" w:eastAsia="Times New Roman"/>
          <w:b w:val="0"/>
          <w:i w:val="0"/>
          <w:sz w:val="28"/>
        </w:rPr>
        <w:t>Широката употреба на думата „загуба“ обхваща различни по характер неблагоприятни изменения. Рискът, щетата, въздействието и последствието могат да бъдат свързани с реализирана загуба, като всяко понятие обозначава различна страна на разглежданата фактическа ситуация.</w:t>
      </w:r>
    </w:p>
    <w:p>
      <w:pPr>
        <w:spacing w:line="240" w:lineRule="auto" w:before="0" w:after="0"/>
        <w:ind w:firstLine="454"/>
        <w:jc w:val="both"/>
      </w:pPr>
      <w:r>
        <w:rPr>
          <w:rFonts w:ascii="Times New Roman" w:hAnsi="Times New Roman" w:eastAsia="Times New Roman"/>
          <w:b w:val="0"/>
          <w:i w:val="0"/>
          <w:sz w:val="28"/>
        </w:rPr>
        <w:t>От анализа се открояват три основни извода.</w:t>
      </w:r>
    </w:p>
    <w:p>
      <w:pPr>
        <w:spacing w:line="240" w:lineRule="auto" w:before="0" w:after="0"/>
        <w:ind w:firstLine="454"/>
        <w:jc w:val="both"/>
      </w:pPr>
      <w:r>
        <w:rPr>
          <w:rFonts w:ascii="Times New Roman" w:hAnsi="Times New Roman" w:eastAsia="Times New Roman"/>
          <w:b w:val="0"/>
          <w:i w:val="0"/>
          <w:sz w:val="28"/>
        </w:rPr>
        <w:t>Първо, реализираната загуба се отличава от възможните и прогнозните неблагоприятни резултати по факта на настъпването си и по необходимостта да бъде доказателствено установена. Рискът остава в полето на неопределеността и възможните последствия, докато реализираната загуба се свързва с вече настъпило отпадане или намаляване.</w:t>
      </w:r>
    </w:p>
    <w:p>
      <w:pPr>
        <w:spacing w:line="240" w:lineRule="auto" w:before="0" w:after="0"/>
        <w:ind w:firstLine="454"/>
        <w:jc w:val="both"/>
      </w:pPr>
      <w:r>
        <w:rPr>
          <w:rFonts w:ascii="Times New Roman" w:hAnsi="Times New Roman" w:eastAsia="Times New Roman"/>
          <w:b w:val="0"/>
          <w:i w:val="0"/>
          <w:sz w:val="28"/>
        </w:rPr>
        <w:t>Второ, щетата, въздействието и последствието описват свързани, но различни страни на неблагоприятното развитие. Предметът и границите на конкретната реализирана загуба се определят чрез установяване на отпадналия референт или на релевантната характеристика, която е намаляла спрямо сравнителното състояние.</w:t>
      </w:r>
    </w:p>
    <w:p>
      <w:pPr>
        <w:spacing w:line="240" w:lineRule="auto" w:before="0" w:after="0"/>
        <w:ind w:firstLine="454"/>
        <w:jc w:val="both"/>
      </w:pPr>
      <w:r>
        <w:rPr>
          <w:rFonts w:ascii="Times New Roman" w:hAnsi="Times New Roman" w:eastAsia="Times New Roman"/>
          <w:b w:val="0"/>
          <w:i w:val="0"/>
          <w:sz w:val="28"/>
        </w:rPr>
        <w:t>Трето, установяването на реализирана загуба и определянето на нейното по-нататъшно значение са отделни задачи. Самостоятелното им разглеждане позволява първо да се фиксира фактът на отпадането или намаляването, а след това да се изследват характерът и мащабът на свързаните с него резултати.</w:t>
      </w:r>
    </w:p>
    <w:p>
      <w:pPr>
        <w:spacing w:line="240" w:lineRule="auto" w:before="0" w:after="0"/>
        <w:ind w:firstLine="454"/>
        <w:jc w:val="both"/>
      </w:pPr>
      <w:r>
        <w:rPr>
          <w:rFonts w:ascii="Times New Roman" w:hAnsi="Times New Roman" w:eastAsia="Times New Roman"/>
          <w:b w:val="0"/>
          <w:i w:val="0"/>
          <w:sz w:val="28"/>
        </w:rPr>
        <w:t>Загубата може да се използва като самостоятелна аналитична категория, когато обозначава конкретно, фактически настъпило и доказателствено установимо отпадане или намаляване и е ясно разграничена от риска, щетата, въздействието и последствието. Така предметът на анализа се определя по-точно и се намалява възможността различни неблагоприятни резултати да бъдат необосновано приравнявани.</w:t>
      </w:r>
    </w:p>
    <w:p>
      <w:pPr>
        <w:spacing w:line="240" w:lineRule="auto" w:before="0" w:after="0"/>
        <w:ind w:firstLine="454"/>
        <w:jc w:val="both"/>
      </w:pPr>
      <w:r>
        <w:rPr>
          <w:rFonts w:ascii="Times New Roman" w:hAnsi="Times New Roman" w:eastAsia="Times New Roman"/>
          <w:b w:val="0"/>
          <w:i w:val="0"/>
          <w:sz w:val="28"/>
        </w:rPr>
        <w:t>Понятийната яснота относно загубата е необходимо условие за нейното обосновано идентифициране и анализиране в системите за национална сигурност.</w:t>
      </w:r>
    </w:p>
    <w:p>
      <w:pPr>
        <w:spacing w:line="240" w:lineRule="auto" w:before="0" w:after="0"/>
      </w:pPr>
      <w:r>
        <w:rPr>
          <w:rFonts w:ascii="Times New Roman" w:hAnsi="Times New Roman" w:eastAsia="Times New Roman"/>
          <w:sz w:val="28"/>
        </w:rPr>
      </w:r>
    </w:p>
    <w:p>
      <w:pPr>
        <w:keepNext/>
        <w:spacing w:line="240" w:lineRule="auto" w:before="160" w:after="0"/>
        <w:jc w:val="left"/>
      </w:pPr>
      <w:r>
        <w:rPr>
          <w:rFonts w:ascii="Times New Roman" w:hAnsi="Times New Roman" w:eastAsia="Times New Roman"/>
          <w:b/>
          <w:i w:val="0"/>
          <w:sz w:val="28"/>
        </w:rPr>
        <w:t>БЕЛЕЖКИ:</w:t>
      </w:r>
    </w:p>
    <w:p>
      <w:pPr>
        <w:spacing w:line="240" w:lineRule="auto" w:before="0" w:after="0"/>
        <w:jc w:val="both"/>
      </w:pPr>
      <w:r>
        <w:rPr>
          <w:rFonts w:ascii="Times New Roman" w:hAnsi="Times New Roman" w:eastAsia="Times New Roman"/>
          <w:b w:val="0"/>
          <w:i w:val="0"/>
          <w:sz w:val="28"/>
        </w:rPr>
        <w:t>[1] NATIONAL INSTITUTE OF STANDARDS AND TECHNOLOGY (NIST). Standards for Security Categorization of Federal Information and Information Systems. FIPS PUB 199. Gaithersburg, MD: NIST, 2004. Available from: https://doi.org/10.6028/NIST.FIPS.199. [viewed 2026-05-23].</w:t>
      </w:r>
    </w:p>
    <w:p>
      <w:pPr>
        <w:spacing w:line="240" w:lineRule="auto" w:before="0" w:after="0"/>
        <w:jc w:val="both"/>
      </w:pPr>
      <w:r>
        <w:rPr>
          <w:rFonts w:ascii="Times New Roman" w:hAnsi="Times New Roman" w:eastAsia="Times New Roman"/>
          <w:b w:val="0"/>
          <w:i w:val="0"/>
          <w:sz w:val="28"/>
        </w:rPr>
        <w:t>[2] INTERNATIONAL ORGANIZATION FOR STANDARDIZATION. ISO 31000:2018, Risk management — Guidelines. 2nd ed. Geneva: ISO, 2018.</w:t>
      </w:r>
    </w:p>
    <w:p>
      <w:pPr>
        <w:spacing w:line="240" w:lineRule="auto" w:before="0" w:after="0"/>
        <w:jc w:val="both"/>
      </w:pPr>
      <w:r>
        <w:rPr>
          <w:rFonts w:ascii="Times New Roman" w:hAnsi="Times New Roman" w:eastAsia="Times New Roman"/>
          <w:b w:val="0"/>
          <w:i w:val="0"/>
          <w:sz w:val="28"/>
        </w:rPr>
        <w:t>[3] AVEN, Terje. On how to define, understand and describe risk. Online. Reliability Engineering &amp; System Safety, vol. 95 (2010), no. 6, pp. 623–631. Available from: https://doi.org/10.1016/j.ress.2010.01.011. [viewed 2026-06-17].</w:t>
      </w:r>
    </w:p>
    <w:p>
      <w:pPr>
        <w:spacing w:line="240" w:lineRule="auto" w:before="0" w:after="0"/>
        <w:jc w:val="both"/>
      </w:pPr>
      <w:r>
        <w:rPr>
          <w:rFonts w:ascii="Times New Roman" w:hAnsi="Times New Roman" w:eastAsia="Times New Roman"/>
          <w:b w:val="0"/>
          <w:i w:val="0"/>
          <w:sz w:val="28"/>
        </w:rPr>
        <w:t>[4] СЛАТИНСКИ, Николай. За риска. София: Сиела, 2025. ISBN 978-954-28-5300-8.</w:t>
      </w:r>
    </w:p>
    <w:p>
      <w:pPr>
        <w:spacing w:line="240" w:lineRule="auto" w:before="0" w:after="0"/>
        <w:jc w:val="both"/>
      </w:pPr>
      <w:r>
        <w:rPr>
          <w:rFonts w:ascii="Times New Roman" w:hAnsi="Times New Roman" w:eastAsia="Times New Roman"/>
          <w:b w:val="0"/>
          <w:i w:val="0"/>
          <w:sz w:val="28"/>
        </w:rPr>
        <w:t>[5] ECONOMIC COMMISSION FOR LATIN AMERICA AND THE CARIBBEAN (ECLAC). Handbook for Disaster Assessment. Santiago: United Nations, ECLAC, 2014. LC/L.3691. Available from: https://www.cepal.org/en/publications/36823-handbook-disaster-assessment. [viewed 2026-07-09].</w:t>
      </w:r>
    </w:p>
    <w:p>
      <w:pPr>
        <w:spacing w:line="240" w:lineRule="auto" w:before="0" w:after="0"/>
        <w:jc w:val="both"/>
      </w:pPr>
      <w:r>
        <w:rPr>
          <w:rFonts w:ascii="Times New Roman" w:hAnsi="Times New Roman" w:eastAsia="Times New Roman"/>
          <w:b w:val="0"/>
          <w:i w:val="0"/>
          <w:sz w:val="28"/>
        </w:rPr>
        <w:t>[6] UNITED NATIONS OFFICE FOR DISASTER RISK REDUCTION (UNDRR). Economic loss. In: Sendai Framework Terminology on Disaster Risk Reduction. Online. 2017. Available from: https://www.undrr.org/terminology/economic-loss. [viewed 2026-07-28].</w:t>
      </w:r>
    </w:p>
    <w:p>
      <w:pPr>
        <w:spacing w:line="240" w:lineRule="auto" w:before="0" w:after="0"/>
        <w:jc w:val="both"/>
      </w:pPr>
      <w:r>
        <w:rPr>
          <w:rFonts w:ascii="Times New Roman" w:hAnsi="Times New Roman" w:eastAsia="Times New Roman"/>
          <w:b w:val="0"/>
          <w:i w:val="0"/>
          <w:sz w:val="28"/>
        </w:rPr>
        <w:t>[7] NIST, бел. 1.</w:t>
      </w:r>
    </w:p>
    <w:p>
      <w:pPr>
        <w:spacing w:line="240" w:lineRule="auto" w:before="0" w:after="0"/>
        <w:jc w:val="both"/>
      </w:pPr>
      <w:r>
        <w:rPr>
          <w:rFonts w:ascii="Times New Roman" w:hAnsi="Times New Roman" w:eastAsia="Times New Roman"/>
          <w:b w:val="0"/>
          <w:i w:val="0"/>
          <w:sz w:val="28"/>
        </w:rPr>
        <w:t>[8] AGRAFIOTIS, Ioannis, Jason R. C. NURSE, Michael GOLDSMITH, Sadie CREESE and David UPTON. A taxonomy of cyber-harms: Defining the impacts of cyber-attacks and understanding how they propagate. Online. Journal of Cybersecurity, vol. 4 (2018), no. 1, tyy006. Available from: https://doi.org/10.1093/cybsec/tyy006. [viewed 2026-08-12].</w:t>
      </w:r>
    </w:p>
    <w:p>
      <w:pPr>
        <w:spacing w:line="240" w:lineRule="auto" w:before="0" w:after="0"/>
        <w:jc w:val="both"/>
      </w:pPr>
      <w:r>
        <w:rPr>
          <w:rFonts w:ascii="Times New Roman" w:hAnsi="Times New Roman" w:eastAsia="Times New Roman"/>
          <w:b w:val="0"/>
          <w:i w:val="0"/>
          <w:sz w:val="28"/>
        </w:rPr>
        <w:t>[9] ПОЛИМИРОВА, Димитрина, и др. Киберсигурност и възможности за приложение на иновативни технологии в работата на държавната администрация в България. Електронен ресурс: монография. София: Институт по публична администрация, 2018. ISBN 978-619-7262-14-8. Available from: https://www.ipa.government.bg/bg/kibersigurnost-i-vzmozhnosti-za-prilozhenie-na-inovativni-tehnologii-v-rabotata-na-drzhavnata. [viewed 2026-08-24].</w:t>
      </w:r>
    </w:p>
    <w:p>
      <w:pPr>
        <w:spacing w:line="240" w:lineRule="auto" w:before="0" w:after="0"/>
      </w:pPr>
      <w:r>
        <w:rPr>
          <w:rFonts w:ascii="Times New Roman" w:hAnsi="Times New Roman" w:eastAsia="Times New Roman"/>
          <w:sz w:val="28"/>
        </w:rPr>
      </w:r>
    </w:p>
    <w:p>
      <w:pPr>
        <w:keepNext/>
        <w:spacing w:line="240" w:lineRule="auto" w:before="160" w:after="0"/>
        <w:jc w:val="left"/>
      </w:pPr>
      <w:r>
        <w:rPr>
          <w:rFonts w:ascii="Times New Roman" w:hAnsi="Times New Roman" w:eastAsia="Times New Roman"/>
          <w:b/>
          <w:i w:val="0"/>
          <w:sz w:val="28"/>
        </w:rPr>
        <w:t>ЛИТЕРАТУРА:</w:t>
      </w:r>
    </w:p>
    <w:p>
      <w:pPr>
        <w:spacing w:line="240" w:lineRule="auto" w:before="0" w:after="0"/>
        <w:jc w:val="both"/>
      </w:pPr>
      <w:r>
        <w:rPr>
          <w:rFonts w:ascii="Times New Roman" w:hAnsi="Times New Roman" w:eastAsia="Times New Roman"/>
          <w:b w:val="0"/>
          <w:i w:val="0"/>
          <w:sz w:val="28"/>
        </w:rPr>
        <w:t>1. ПОЛИМИРОВА, Димитрина, и др. Киберсигурност и възможности за приложение на иновативни технологии в работата на държавната администрация в България. Електронен ресурс: монография. София: Институт по публична администрация, 2018. ISBN 978-619-7262-14-8. Available from: https://www.ipa.government.bg/bg/kibersigurnost-i-vzmozhnosti-za-prilozhenie-na-inovativni-tehnologii-v-rabotata-na-drzhavnata. [viewed 2026-08-24].</w:t>
      </w:r>
    </w:p>
    <w:p>
      <w:pPr>
        <w:spacing w:line="240" w:lineRule="auto" w:before="0" w:after="0"/>
        <w:jc w:val="both"/>
      </w:pPr>
      <w:r>
        <w:rPr>
          <w:rFonts w:ascii="Times New Roman" w:hAnsi="Times New Roman" w:eastAsia="Times New Roman"/>
          <w:b w:val="0"/>
          <w:i w:val="0"/>
          <w:sz w:val="28"/>
        </w:rPr>
        <w:t>2. СЛАТИНСКИ, Николай. За риска. София: Сиела, 2025. ISBN 978-954-28-5300-8.</w:t>
      </w:r>
    </w:p>
    <w:p>
      <w:pPr>
        <w:spacing w:line="240" w:lineRule="auto" w:before="0" w:after="0"/>
        <w:jc w:val="both"/>
      </w:pPr>
      <w:r>
        <w:rPr>
          <w:rFonts w:ascii="Times New Roman" w:hAnsi="Times New Roman" w:eastAsia="Times New Roman"/>
          <w:b w:val="0"/>
          <w:i w:val="0"/>
          <w:sz w:val="28"/>
        </w:rPr>
        <w:t>3. AGRAFIOTIS, Ioannis, Jason R. C. NURSE, Michael GOLDSMITH, Sadie CREESE and David UPTON. A taxonomy of cyber-harms: Defining the impacts of cyber-attacks and understanding how they propagate. Online. Journal of Cybersecurity, vol. 4 (2018), no. 1, tyy006. Available from: https://doi.org/10.1093/cybsec/tyy006. [viewed 2026-08-12].</w:t>
      </w:r>
    </w:p>
    <w:p>
      <w:pPr>
        <w:spacing w:line="240" w:lineRule="auto" w:before="0" w:after="0"/>
        <w:jc w:val="both"/>
      </w:pPr>
      <w:r>
        <w:rPr>
          <w:rFonts w:ascii="Times New Roman" w:hAnsi="Times New Roman" w:eastAsia="Times New Roman"/>
          <w:b w:val="0"/>
          <w:i w:val="0"/>
          <w:sz w:val="28"/>
        </w:rPr>
        <w:t>4. AVEN, Terje. On how to define, understand and describe risk. Online. Reliability Engineering &amp; System Safety, vol. 95 (2010), no. 6, pp. 623–631. Available from: https://doi.org/10.1016/j.ress.2010.01.011. [viewed 2026-06-17].</w:t>
      </w:r>
    </w:p>
    <w:p>
      <w:pPr>
        <w:spacing w:line="240" w:lineRule="auto" w:before="0" w:after="0"/>
        <w:jc w:val="both"/>
      </w:pPr>
      <w:r>
        <w:rPr>
          <w:rFonts w:ascii="Times New Roman" w:hAnsi="Times New Roman" w:eastAsia="Times New Roman"/>
          <w:b w:val="0"/>
          <w:i w:val="0"/>
          <w:sz w:val="28"/>
        </w:rPr>
        <w:t>5. ECONOMIC COMMISSION FOR LATIN AMERICA AND THE CARIBBEAN (ECLAC). Handbook for Disaster Assessment. Santiago: United Nations, ECLAC, 2014. LC/L.3691. Available from: https://www.cepal.org/en/publications/36823-handbook-disaster-assessment. [viewed 2026-07-09].</w:t>
      </w:r>
    </w:p>
    <w:p>
      <w:pPr>
        <w:spacing w:line="240" w:lineRule="auto" w:before="0" w:after="0"/>
        <w:jc w:val="both"/>
      </w:pPr>
      <w:r>
        <w:rPr>
          <w:rFonts w:ascii="Times New Roman" w:hAnsi="Times New Roman" w:eastAsia="Times New Roman"/>
          <w:b w:val="0"/>
          <w:i w:val="0"/>
          <w:sz w:val="28"/>
        </w:rPr>
        <w:t>6. INTERNATIONAL ORGANIZATION FOR STANDARDIZATION. ISO 31000:2018, Risk management — Guidelines. 2nd ed. Geneva: ISO, 2018.</w:t>
      </w:r>
    </w:p>
    <w:p>
      <w:pPr>
        <w:spacing w:line="240" w:lineRule="auto" w:before="0" w:after="0"/>
        <w:jc w:val="both"/>
      </w:pPr>
      <w:r>
        <w:rPr>
          <w:rFonts w:ascii="Times New Roman" w:hAnsi="Times New Roman" w:eastAsia="Times New Roman"/>
          <w:b w:val="0"/>
          <w:i w:val="0"/>
          <w:sz w:val="28"/>
        </w:rPr>
        <w:t>7. NATIONAL INSTITUTE OF STANDARDS AND TECHNOLOGY (NIST). Standards for Security Categorization of Federal Information and Information Systems. FIPS PUB 199. Gaithersburg, MD: NIST, 2004. Available from: https://doi.org/10.6028/NIST.FIPS.199. [viewed 2026-05-23].</w:t>
      </w:r>
    </w:p>
    <w:p>
      <w:pPr>
        <w:spacing w:line="240" w:lineRule="auto" w:before="0" w:after="0"/>
        <w:jc w:val="both"/>
      </w:pPr>
      <w:r>
        <w:rPr>
          <w:rFonts w:ascii="Times New Roman" w:hAnsi="Times New Roman" w:eastAsia="Times New Roman"/>
          <w:b w:val="0"/>
          <w:i w:val="0"/>
          <w:sz w:val="28"/>
        </w:rPr>
        <w:t>8. UNITED NATIONS OFFICE FOR DISASTER RISK REDUCTION (UNDRR). Economic loss. In: Sendai Framework Terminology on Disaster Risk Reduction. Online. 2017. Available from: https://www.undrr.org/terminology/economic-loss. [viewed 2026-07-28].</w:t>
      </w:r>
    </w:p>
    <w:p>
      <w:pPr>
        <w:spacing w:line="240" w:lineRule="auto" w:before="0" w:after="0"/>
      </w:pPr>
      <w:r>
        <w:rPr>
          <w:rFonts w:ascii="Times New Roman" w:hAnsi="Times New Roman" w:eastAsia="Times New Roman"/>
          <w:sz w:val="28"/>
        </w:rPr>
      </w:r>
    </w:p>
    <w:p>
      <w:pPr>
        <w:spacing w:line="240" w:lineRule="auto"/>
        <w:jc w:val="left"/>
      </w:pPr>
      <w:r>
        <w:rPr>
          <w:rFonts w:ascii="Times New Roman" w:hAnsi="Times New Roman" w:eastAsia="Times New Roman"/>
          <w:b w:val="0"/>
          <w:i/>
          <w:sz w:val="24"/>
        </w:rPr>
        <w:t>доц. д-р Николай Тодоров Илиев; Национален военен университет „Васил Левски“, факултет „Сигурност и отбрана“, катедра „Военни науки“; 5000 Велико Търново, бул. „България“ № 76; тел.: 0888312231; e-mail: ntiliev@nvu.bg</w:t>
      </w:r>
    </w:p>
    <w:sectPr w:rsidR="00D1767C" w:rsidRPr="00D1767C" w:rsidSect="009605D7">
      <w:headerReference w:type="default" r:id="rId17"/>
      <w:footerReference w:type="default" r:id="rId18"/>
      <w:footnotePr>
        <w:numRestart w:val="eachSect"/>
      </w:footnotePr>
      <w:pgSz w:w="11906" w:h="16838"/>
      <w:pgMar w:top="1134" w:right="1134" w:bottom="850"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6713" w14:textId="77777777" w:rsidR="00FE5AEA" w:rsidRDefault="00FE5AEA" w:rsidP="00A0193A">
      <w:r>
        <w:separator/>
      </w:r>
    </w:p>
  </w:endnote>
  <w:endnote w:type="continuationSeparator" w:id="0">
    <w:p w14:paraId="150C862D" w14:textId="77777777" w:rsidR="00FE5AEA" w:rsidRDefault="00FE5AEA"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A05C" w14:textId="77777777" w:rsidR="00FE5AEA" w:rsidRDefault="00FE5AEA" w:rsidP="00A0193A">
      <w:r>
        <w:separator/>
      </w:r>
    </w:p>
  </w:footnote>
  <w:footnote w:type="continuationSeparator" w:id="0">
    <w:p w14:paraId="376459CF" w14:textId="77777777" w:rsidR="00FE5AEA" w:rsidRDefault="00FE5AEA" w:rsidP="00A0193A">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1919363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3004BD"/>
    <w:rsid w:val="00371186"/>
    <w:rsid w:val="00386A6A"/>
    <w:rsid w:val="003B1F44"/>
    <w:rsid w:val="003E4E40"/>
    <w:rsid w:val="00415DF1"/>
    <w:rsid w:val="004F589D"/>
    <w:rsid w:val="00503623"/>
    <w:rsid w:val="00534842"/>
    <w:rsid w:val="005C35F1"/>
    <w:rsid w:val="0068049F"/>
    <w:rsid w:val="0068074F"/>
    <w:rsid w:val="00686EAC"/>
    <w:rsid w:val="00694543"/>
    <w:rsid w:val="006A7C1E"/>
    <w:rsid w:val="006D7048"/>
    <w:rsid w:val="006F2052"/>
    <w:rsid w:val="007041A3"/>
    <w:rsid w:val="00710DE2"/>
    <w:rsid w:val="00763C2E"/>
    <w:rsid w:val="0077663F"/>
    <w:rsid w:val="007973BD"/>
    <w:rsid w:val="007B5909"/>
    <w:rsid w:val="007B686C"/>
    <w:rsid w:val="007E2105"/>
    <w:rsid w:val="008129C2"/>
    <w:rsid w:val="008652CB"/>
    <w:rsid w:val="00877F5E"/>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86955"/>
    <w:rsid w:val="00A8717A"/>
    <w:rsid w:val="00B245AD"/>
    <w:rsid w:val="00B3091F"/>
    <w:rsid w:val="00B41AF1"/>
    <w:rsid w:val="00B601CF"/>
    <w:rsid w:val="00B9433C"/>
    <w:rsid w:val="00B97CDE"/>
    <w:rsid w:val="00BC2FB1"/>
    <w:rsid w:val="00BD084C"/>
    <w:rsid w:val="00C46C28"/>
    <w:rsid w:val="00CA7C37"/>
    <w:rsid w:val="00CB7B8B"/>
    <w:rsid w:val="00CF19F3"/>
    <w:rsid w:val="00D1767C"/>
    <w:rsid w:val="00D940F8"/>
    <w:rsid w:val="00DF315E"/>
    <w:rsid w:val="00E019C5"/>
    <w:rsid w:val="00E0218D"/>
    <w:rsid w:val="00E0714D"/>
    <w:rsid w:val="00E16576"/>
    <w:rsid w:val="00E26ABF"/>
    <w:rsid w:val="00E746D1"/>
    <w:rsid w:val="00E766EE"/>
    <w:rsid w:val="00E8797D"/>
    <w:rsid w:val="00EA28F3"/>
    <w:rsid w:val="00EA48CD"/>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before="0"/>
    </w:pPr>
    <w:rPr>
      <w:rFonts w:ascii="Times New Roman" w:hAnsi="Times New Roman" w:cs="Times New Roman" w:eastAsia="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ajet.org.au/index.php/AJET/issue/view/67"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ajet.org.au/index.php/AJET/issue/view/67" TargetMode="External"/><Relationship Id="rId17" Type="http://schemas.openxmlformats.org/officeDocument/2006/relationships/header" Target="header1.xml"/><Relationship Id="rId18"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04C1CB-04C6-4EA3-B926-9ADCFFB89AEA}" type="doc">
      <dgm:prSet loTypeId="urn:microsoft.com/office/officeart/2005/8/layout/matrix3" loCatId="matrix" qsTypeId="urn:microsoft.com/office/officeart/2005/8/quickstyle/simple1" qsCatId="simple" csTypeId="urn:microsoft.com/office/officeart/2005/8/colors/accent1_2" csCatId="accent1" phldr="0"/>
      <dgm:spPr/>
      <dgm:t>
        <a:bodyPr/>
        <a:lstStyle/>
        <a:p>
          <a:endParaRPr lang="bg-BG"/>
        </a:p>
      </dgm:t>
    </dgm:pt>
    <dgm:pt modelId="{FC805B6B-3BCF-43FC-9CAD-1130515FC1B4}">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DE0AF3DB-A00E-4B08-AA3E-A8AE5D7BB364}" type="parTrans" cxnId="{C5E1FC3F-2189-46DE-87B5-674693D657BA}">
      <dgm:prSet/>
      <dgm:spPr/>
      <dgm:t>
        <a:bodyPr/>
        <a:lstStyle/>
        <a:p>
          <a:pPr algn="ctr"/>
          <a:endParaRPr lang="bg-BG">
            <a:latin typeface="Times New Roman" panose="02020603050405020304" pitchFamily="18" charset="0"/>
            <a:cs typeface="Times New Roman" panose="02020603050405020304" pitchFamily="18" charset="0"/>
          </a:endParaRPr>
        </a:p>
      </dgm:t>
    </dgm:pt>
    <dgm:pt modelId="{0B0AEC14-50CB-4A09-82C1-1418A5BFC699}" type="sibTrans" cxnId="{C5E1FC3F-2189-46DE-87B5-674693D657BA}">
      <dgm:prSet/>
      <dgm:spPr/>
      <dgm:t>
        <a:bodyPr/>
        <a:lstStyle/>
        <a:p>
          <a:pPr algn="ctr"/>
          <a:endParaRPr lang="bg-BG">
            <a:latin typeface="Times New Roman" panose="02020603050405020304" pitchFamily="18" charset="0"/>
            <a:cs typeface="Times New Roman" panose="02020603050405020304" pitchFamily="18" charset="0"/>
          </a:endParaRPr>
        </a:p>
      </dgm:t>
    </dgm:pt>
    <dgm:pt modelId="{FBB327E9-B5B9-4F5D-B533-D60DA3700433}">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6CE9C4B9-6235-4A88-8F4F-46833DFC0857}" type="parTrans" cxnId="{487B0A0B-59A3-418E-9DFF-E6C6D4B4A7E2}">
      <dgm:prSet/>
      <dgm:spPr/>
      <dgm:t>
        <a:bodyPr/>
        <a:lstStyle/>
        <a:p>
          <a:pPr algn="ctr"/>
          <a:endParaRPr lang="bg-BG">
            <a:latin typeface="Times New Roman" panose="02020603050405020304" pitchFamily="18" charset="0"/>
            <a:cs typeface="Times New Roman" panose="02020603050405020304" pitchFamily="18" charset="0"/>
          </a:endParaRPr>
        </a:p>
      </dgm:t>
    </dgm:pt>
    <dgm:pt modelId="{15F5724B-72DA-4C55-984A-A096056E0E09}" type="sibTrans" cxnId="{487B0A0B-59A3-418E-9DFF-E6C6D4B4A7E2}">
      <dgm:prSet/>
      <dgm:spPr/>
      <dgm:t>
        <a:bodyPr/>
        <a:lstStyle/>
        <a:p>
          <a:pPr algn="ctr"/>
          <a:endParaRPr lang="bg-BG">
            <a:latin typeface="Times New Roman" panose="02020603050405020304" pitchFamily="18" charset="0"/>
            <a:cs typeface="Times New Roman" panose="02020603050405020304" pitchFamily="18" charset="0"/>
          </a:endParaRPr>
        </a:p>
      </dgm:t>
    </dgm:pt>
    <dgm:pt modelId="{B6CB7B54-2CA0-403A-9F33-1DABD689B38F}">
      <dgm:prSet phldrT="[Текст]" phldr="1"/>
      <dgm:spPr/>
      <dgm:t>
        <a:bodyPr/>
        <a:lstStyle/>
        <a:p>
          <a:pPr algn="ctr"/>
          <a:endParaRPr lang="bg-BG">
            <a:latin typeface="Times New Roman" panose="02020603050405020304" pitchFamily="18" charset="0"/>
            <a:cs typeface="Times New Roman" panose="02020603050405020304" pitchFamily="18" charset="0"/>
          </a:endParaRPr>
        </a:p>
      </dgm:t>
    </dgm:pt>
    <dgm:pt modelId="{824135DB-C69D-45C8-AE8C-BB3504C804D7}" type="parTrans" cxnId="{648AAD36-698B-43E4-8DD3-DC427020C64E}">
      <dgm:prSet/>
      <dgm:spPr/>
      <dgm:t>
        <a:bodyPr/>
        <a:lstStyle/>
        <a:p>
          <a:pPr algn="ctr"/>
          <a:endParaRPr lang="bg-BG">
            <a:latin typeface="Times New Roman" panose="02020603050405020304" pitchFamily="18" charset="0"/>
            <a:cs typeface="Times New Roman" panose="02020603050405020304" pitchFamily="18" charset="0"/>
          </a:endParaRPr>
        </a:p>
      </dgm:t>
    </dgm:pt>
    <dgm:pt modelId="{D74D4315-6447-4D86-9762-34A4B105F5EE}" type="sibTrans" cxnId="{648AAD36-698B-43E4-8DD3-DC427020C64E}">
      <dgm:prSet/>
      <dgm:spPr/>
      <dgm:t>
        <a:bodyPr/>
        <a:lstStyle/>
        <a:p>
          <a:pPr algn="ctr"/>
          <a:endParaRPr lang="bg-BG">
            <a:latin typeface="Times New Roman" panose="02020603050405020304" pitchFamily="18" charset="0"/>
            <a:cs typeface="Times New Roman" panose="02020603050405020304" pitchFamily="18" charset="0"/>
          </a:endParaRPr>
        </a:p>
      </dgm:t>
    </dgm:pt>
    <dgm:pt modelId="{C0AA841C-F9F7-4EAC-A686-F810DD97E112}">
      <dgm:prSet phldrT="[Текст]" phldr="1"/>
      <dgm:spPr/>
      <dgm:t>
        <a:bodyPr/>
        <a:lstStyle/>
        <a:p>
          <a:pPr algn="just"/>
          <a:endParaRPr lang="bg-BG">
            <a:latin typeface="Times New Roman" panose="02020603050405020304" pitchFamily="18" charset="0"/>
            <a:cs typeface="Times New Roman" panose="02020603050405020304" pitchFamily="18" charset="0"/>
          </a:endParaRPr>
        </a:p>
      </dgm:t>
    </dgm:pt>
    <dgm:pt modelId="{5380A2F4-27B7-4BE7-AD81-ED8D975BAD6F}" type="parTrans" cxnId="{61E205EB-2FE4-45A6-9DB8-F62B8D47AB59}">
      <dgm:prSet/>
      <dgm:spPr/>
      <dgm:t>
        <a:bodyPr/>
        <a:lstStyle/>
        <a:p>
          <a:pPr algn="ctr"/>
          <a:endParaRPr lang="bg-BG">
            <a:latin typeface="Times New Roman" panose="02020603050405020304" pitchFamily="18" charset="0"/>
            <a:cs typeface="Times New Roman" panose="02020603050405020304" pitchFamily="18" charset="0"/>
          </a:endParaRPr>
        </a:p>
      </dgm:t>
    </dgm:pt>
    <dgm:pt modelId="{9256A629-E6A0-4210-9F0E-F369790E2C77}" type="sibTrans" cxnId="{61E205EB-2FE4-45A6-9DB8-F62B8D47AB59}">
      <dgm:prSet/>
      <dgm:spPr/>
      <dgm:t>
        <a:bodyPr/>
        <a:lstStyle/>
        <a:p>
          <a:pPr algn="ctr"/>
          <a:endParaRPr lang="bg-BG">
            <a:latin typeface="Times New Roman" panose="02020603050405020304" pitchFamily="18" charset="0"/>
            <a:cs typeface="Times New Roman" panose="02020603050405020304" pitchFamily="18" charset="0"/>
          </a:endParaRPr>
        </a:p>
      </dgm:t>
    </dgm:pt>
    <dgm:pt modelId="{A610B83C-7835-45CD-9E0E-85A75E6BFAB4}" type="pres">
      <dgm:prSet presAssocID="{D304C1CB-04C6-4EA3-B926-9ADCFFB89AEA}" presName="matrix" presStyleCnt="0">
        <dgm:presLayoutVars>
          <dgm:chMax val="1"/>
          <dgm:dir/>
          <dgm:resizeHandles val="exact"/>
        </dgm:presLayoutVars>
      </dgm:prSet>
      <dgm:spPr/>
    </dgm:pt>
    <dgm:pt modelId="{6075BAAD-A4EE-4781-9275-01983512BC7F}" type="pres">
      <dgm:prSet presAssocID="{D304C1CB-04C6-4EA3-B926-9ADCFFB89AEA}" presName="diamond" presStyleLbl="bgShp" presStyleIdx="0" presStyleCnt="1"/>
      <dgm:spPr/>
    </dgm:pt>
    <dgm:pt modelId="{0485A9E5-77C2-4F89-8953-4EB232801A88}" type="pres">
      <dgm:prSet presAssocID="{D304C1CB-04C6-4EA3-B926-9ADCFFB89AEA}" presName="quad1" presStyleLbl="node1" presStyleIdx="0" presStyleCnt="4">
        <dgm:presLayoutVars>
          <dgm:chMax val="0"/>
          <dgm:chPref val="0"/>
          <dgm:bulletEnabled val="1"/>
        </dgm:presLayoutVars>
      </dgm:prSet>
      <dgm:spPr/>
    </dgm:pt>
    <dgm:pt modelId="{499539D9-097D-4EC8-9D90-993AB8F4EE57}" type="pres">
      <dgm:prSet presAssocID="{D304C1CB-04C6-4EA3-B926-9ADCFFB89AEA}" presName="quad2" presStyleLbl="node1" presStyleIdx="1" presStyleCnt="4" custLinFactNeighborY="-2851">
        <dgm:presLayoutVars>
          <dgm:chMax val="0"/>
          <dgm:chPref val="0"/>
          <dgm:bulletEnabled val="1"/>
        </dgm:presLayoutVars>
      </dgm:prSet>
      <dgm:spPr/>
    </dgm:pt>
    <dgm:pt modelId="{0A225D92-4202-4D7D-9492-875584054325}" type="pres">
      <dgm:prSet presAssocID="{D304C1CB-04C6-4EA3-B926-9ADCFFB89AEA}" presName="quad3" presStyleLbl="node1" presStyleIdx="2" presStyleCnt="4">
        <dgm:presLayoutVars>
          <dgm:chMax val="0"/>
          <dgm:chPref val="0"/>
          <dgm:bulletEnabled val="1"/>
        </dgm:presLayoutVars>
      </dgm:prSet>
      <dgm:spPr/>
    </dgm:pt>
    <dgm:pt modelId="{476B5C7E-F897-41EE-AC1F-1573DDCE0699}" type="pres">
      <dgm:prSet presAssocID="{D304C1CB-04C6-4EA3-B926-9ADCFFB89AEA}" presName="quad4" presStyleLbl="node1" presStyleIdx="3" presStyleCnt="4" custLinFactNeighborX="-3945" custLinFactNeighborY="3945">
        <dgm:presLayoutVars>
          <dgm:chMax val="0"/>
          <dgm:chPref val="0"/>
          <dgm:bulletEnabled val="1"/>
        </dgm:presLayoutVars>
      </dgm:prSet>
      <dgm:spPr/>
    </dgm:pt>
  </dgm:ptLst>
  <dgm:cxnLst>
    <dgm:cxn modelId="{487B0A0B-59A3-418E-9DFF-E6C6D4B4A7E2}" srcId="{D304C1CB-04C6-4EA3-B926-9ADCFFB89AEA}" destId="{FBB327E9-B5B9-4F5D-B533-D60DA3700433}" srcOrd="1" destOrd="0" parTransId="{6CE9C4B9-6235-4A88-8F4F-46833DFC0857}" sibTransId="{15F5724B-72DA-4C55-984A-A096056E0E09}"/>
    <dgm:cxn modelId="{648AAD36-698B-43E4-8DD3-DC427020C64E}" srcId="{D304C1CB-04C6-4EA3-B926-9ADCFFB89AEA}" destId="{B6CB7B54-2CA0-403A-9F33-1DABD689B38F}" srcOrd="2" destOrd="0" parTransId="{824135DB-C69D-45C8-AE8C-BB3504C804D7}" sibTransId="{D74D4315-6447-4D86-9762-34A4B105F5EE}"/>
    <dgm:cxn modelId="{090A6A38-EE3E-4F4C-8917-ACCE05B6A1FD}" type="presOf" srcId="{C0AA841C-F9F7-4EAC-A686-F810DD97E112}" destId="{476B5C7E-F897-41EE-AC1F-1573DDCE0699}" srcOrd="0" destOrd="0" presId="urn:microsoft.com/office/officeart/2005/8/layout/matrix3"/>
    <dgm:cxn modelId="{C5E1FC3F-2189-46DE-87B5-674693D657BA}" srcId="{D304C1CB-04C6-4EA3-B926-9ADCFFB89AEA}" destId="{FC805B6B-3BCF-43FC-9CAD-1130515FC1B4}" srcOrd="0" destOrd="0" parTransId="{DE0AF3DB-A00E-4B08-AA3E-A8AE5D7BB364}" sibTransId="{0B0AEC14-50CB-4A09-82C1-1418A5BFC699}"/>
    <dgm:cxn modelId="{F4D5175B-2A4C-4F17-B78E-6FC1CEDD9C3B}" type="presOf" srcId="{B6CB7B54-2CA0-403A-9F33-1DABD689B38F}" destId="{0A225D92-4202-4D7D-9492-875584054325}" srcOrd="0" destOrd="0" presId="urn:microsoft.com/office/officeart/2005/8/layout/matrix3"/>
    <dgm:cxn modelId="{F9B91246-19DD-4029-B9BA-7572AFF2B675}" type="presOf" srcId="{D304C1CB-04C6-4EA3-B926-9ADCFFB89AEA}" destId="{A610B83C-7835-45CD-9E0E-85A75E6BFAB4}" srcOrd="0" destOrd="0" presId="urn:microsoft.com/office/officeart/2005/8/layout/matrix3"/>
    <dgm:cxn modelId="{96AB56A7-81D1-4752-8644-BA53BA07F15F}" type="presOf" srcId="{FC805B6B-3BCF-43FC-9CAD-1130515FC1B4}" destId="{0485A9E5-77C2-4F89-8953-4EB232801A88}" srcOrd="0" destOrd="0" presId="urn:microsoft.com/office/officeart/2005/8/layout/matrix3"/>
    <dgm:cxn modelId="{61E205EB-2FE4-45A6-9DB8-F62B8D47AB59}" srcId="{D304C1CB-04C6-4EA3-B926-9ADCFFB89AEA}" destId="{C0AA841C-F9F7-4EAC-A686-F810DD97E112}" srcOrd="3" destOrd="0" parTransId="{5380A2F4-27B7-4BE7-AD81-ED8D975BAD6F}" sibTransId="{9256A629-E6A0-4210-9F0E-F369790E2C77}"/>
    <dgm:cxn modelId="{7C353EFA-0F81-4939-BFCA-AA85B773C8F9}" type="presOf" srcId="{FBB327E9-B5B9-4F5D-B533-D60DA3700433}" destId="{499539D9-097D-4EC8-9D90-993AB8F4EE57}" srcOrd="0" destOrd="0" presId="urn:microsoft.com/office/officeart/2005/8/layout/matrix3"/>
    <dgm:cxn modelId="{CD7681E3-DB97-44B0-938F-0ACAE7323C91}" type="presParOf" srcId="{A610B83C-7835-45CD-9E0E-85A75E6BFAB4}" destId="{6075BAAD-A4EE-4781-9275-01983512BC7F}" srcOrd="0" destOrd="0" presId="urn:microsoft.com/office/officeart/2005/8/layout/matrix3"/>
    <dgm:cxn modelId="{39430D89-9E49-4A4A-ADE8-2F3A63C6C587}" type="presParOf" srcId="{A610B83C-7835-45CD-9E0E-85A75E6BFAB4}" destId="{0485A9E5-77C2-4F89-8953-4EB232801A88}" srcOrd="1" destOrd="0" presId="urn:microsoft.com/office/officeart/2005/8/layout/matrix3"/>
    <dgm:cxn modelId="{43C64C40-9E40-4395-9DA1-C1D1CEC94192}" type="presParOf" srcId="{A610B83C-7835-45CD-9E0E-85A75E6BFAB4}" destId="{499539D9-097D-4EC8-9D90-993AB8F4EE57}" srcOrd="2" destOrd="0" presId="urn:microsoft.com/office/officeart/2005/8/layout/matrix3"/>
    <dgm:cxn modelId="{7941198C-8EE4-4DBF-BA04-558E924B5994}" type="presParOf" srcId="{A610B83C-7835-45CD-9E0E-85A75E6BFAB4}" destId="{0A225D92-4202-4D7D-9492-875584054325}" srcOrd="3" destOrd="0" presId="urn:microsoft.com/office/officeart/2005/8/layout/matrix3"/>
    <dgm:cxn modelId="{5C7B9E2E-9ECA-4ECE-953E-E413F9811E16}" type="presParOf" srcId="{A610B83C-7835-45CD-9E0E-85A75E6BFAB4}" destId="{476B5C7E-F897-41EE-AC1F-1573DDCE0699}" srcOrd="4" destOrd="0" presId="urn:microsoft.com/office/officeart/2005/8/layout/matrix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75BAAD-A4EE-4781-9275-01983512BC7F}">
      <dsp:nvSpPr>
        <dsp:cNvPr id="0" name=""/>
        <dsp:cNvSpPr/>
      </dsp:nvSpPr>
      <dsp:spPr>
        <a:xfrm>
          <a:off x="0" y="47942"/>
          <a:ext cx="856615" cy="856615"/>
        </a:xfrm>
        <a:prstGeom prst="diamond">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485A9E5-77C2-4F89-8953-4EB232801A88}">
      <dsp:nvSpPr>
        <dsp:cNvPr id="0" name=""/>
        <dsp:cNvSpPr/>
      </dsp:nvSpPr>
      <dsp:spPr>
        <a:xfrm>
          <a:off x="81378" y="129320"/>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145628"/>
        <a:ext cx="301463" cy="301463"/>
      </dsp:txXfrm>
    </dsp:sp>
    <dsp:sp modelId="{499539D9-097D-4EC8-9D90-993AB8F4EE57}">
      <dsp:nvSpPr>
        <dsp:cNvPr id="0" name=""/>
        <dsp:cNvSpPr/>
      </dsp:nvSpPr>
      <dsp:spPr>
        <a:xfrm>
          <a:off x="441156" y="119796"/>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57464" y="136104"/>
        <a:ext cx="301463" cy="301463"/>
      </dsp:txXfrm>
    </dsp:sp>
    <dsp:sp modelId="{0A225D92-4202-4D7D-9492-875584054325}">
      <dsp:nvSpPr>
        <dsp:cNvPr id="0" name=""/>
        <dsp:cNvSpPr/>
      </dsp:nvSpPr>
      <dsp:spPr>
        <a:xfrm>
          <a:off x="81378" y="489099"/>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97686" y="505407"/>
        <a:ext cx="301463" cy="301463"/>
      </dsp:txXfrm>
    </dsp:sp>
    <dsp:sp modelId="{476B5C7E-F897-41EE-AC1F-1573DDCE0699}">
      <dsp:nvSpPr>
        <dsp:cNvPr id="0" name=""/>
        <dsp:cNvSpPr/>
      </dsp:nvSpPr>
      <dsp:spPr>
        <a:xfrm>
          <a:off x="427977" y="502278"/>
          <a:ext cx="334079" cy="334079"/>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just" defTabSz="266700">
            <a:lnSpc>
              <a:spcPct val="90000"/>
            </a:lnSpc>
            <a:spcBef>
              <a:spcPct val="0"/>
            </a:spcBef>
            <a:spcAft>
              <a:spcPct val="35000"/>
            </a:spcAft>
            <a:buNone/>
          </a:pPr>
          <a:endParaRPr lang="bg-BG" sz="600" kern="1200">
            <a:latin typeface="Times New Roman" panose="02020603050405020304" pitchFamily="18" charset="0"/>
            <a:cs typeface="Times New Roman" panose="02020603050405020304" pitchFamily="18" charset="0"/>
          </a:endParaRPr>
        </a:p>
      </dsp:txBody>
      <dsp:txXfrm>
        <a:off x="444285" y="518586"/>
        <a:ext cx="301463" cy="301463"/>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703</Words>
  <Characters>4009</Characters>
  <DocSecurity>0</DocSecurity>
  <Lines>33</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2022-08-11T05:55:00Z</dcterms:created>
  <dcterms:modified xsi:type="dcterms:W3CDTF">2026-06-23T07:19:00Z</dcterms:modified>
</cp:coreProperties>
</file>