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096D" w:rsidRDefault="00590CAE">
      <w:pPr>
        <w:jc w:val="center"/>
      </w:pPr>
      <w:r>
        <w:rPr>
          <w:rFonts w:eastAsia="Times New Roman" w:cs="Times New Roman"/>
          <w:b/>
          <w:sz w:val="32"/>
        </w:rPr>
        <w:t>ГЕОПОЛИТИЧЕСКО ЗНАЧЕНИЕ НА ЧЕРНОМОРСКИЯ РЕГИОН В СЪВРЕМЕННАТА СРЕДА ЗА СИГУРНОСТ</w:t>
      </w:r>
    </w:p>
    <w:p w:rsidR="00B1096D" w:rsidRDefault="00B1096D"/>
    <w:p w:rsidR="00B1096D" w:rsidRDefault="00B1096D"/>
    <w:p w:rsidR="00B1096D" w:rsidRDefault="00590CAE">
      <w:pPr>
        <w:jc w:val="center"/>
      </w:pPr>
      <w:r>
        <w:rPr>
          <w:rFonts w:eastAsia="Times New Roman" w:cs="Times New Roman"/>
          <w:b/>
          <w:sz w:val="32"/>
        </w:rPr>
        <w:t>Анелия Симеонова</w:t>
      </w:r>
    </w:p>
    <w:p w:rsidR="00B1096D" w:rsidRDefault="00B1096D"/>
    <w:p w:rsidR="00B1096D" w:rsidRDefault="00590CAE">
      <w:pPr>
        <w:jc w:val="center"/>
      </w:pPr>
      <w:r>
        <w:rPr>
          <w:rFonts w:eastAsia="Times New Roman" w:cs="Times New Roman"/>
          <w:b/>
          <w:sz w:val="32"/>
        </w:rPr>
        <w:t>GEOPOLITICAL SIGNIFICANCE OF THE BLACK SEA REGION IN THE CONTEMPORARY SECURITY ENVIRONMENT</w:t>
      </w:r>
    </w:p>
    <w:p w:rsidR="00B1096D" w:rsidRDefault="00B1096D"/>
    <w:p w:rsidR="00B1096D" w:rsidRDefault="00590CAE">
      <w:pPr>
        <w:jc w:val="center"/>
      </w:pPr>
      <w:r>
        <w:rPr>
          <w:rFonts w:eastAsia="Times New Roman" w:cs="Times New Roman"/>
          <w:b/>
          <w:sz w:val="32"/>
        </w:rPr>
        <w:t>Anelia Simeonova</w:t>
      </w:r>
    </w:p>
    <w:p w:rsidR="00B1096D" w:rsidRDefault="00B1096D"/>
    <w:p w:rsidR="00B1096D" w:rsidRDefault="00B1096D"/>
    <w:p w:rsidR="00B1096D" w:rsidRDefault="00590CAE">
      <w:pPr>
        <w:jc w:val="both"/>
      </w:pPr>
      <w:r>
        <w:rPr>
          <w:rFonts w:eastAsia="Times New Roman" w:cs="Times New Roman"/>
          <w:b/>
          <w:i/>
          <w:sz w:val="24"/>
        </w:rPr>
        <w:t xml:space="preserve">Резюме: </w:t>
      </w:r>
      <w:r>
        <w:rPr>
          <w:rFonts w:eastAsia="Times New Roman" w:cs="Times New Roman"/>
          <w:i/>
          <w:sz w:val="24"/>
        </w:rPr>
        <w:t>Докладът анализира геополитическото значение на Черноморския регион в променената среда за сигурност. Разгледани са геостратегическото му положение, интересите на основните актьори, военните и хибридните заплахи, морската сигурност, критичната инфраструктура и транспортно-енергийната свързаност. Акцент е поставен върху ролята на България, НАТО и Европейския съюз и върху необходимостта от по-висока национална и регионална устойчивост.</w:t>
      </w:r>
    </w:p>
    <w:p w:rsidR="00B1096D" w:rsidRDefault="00B1096D"/>
    <w:p w:rsidR="00B1096D" w:rsidRDefault="00590CAE">
      <w:pPr>
        <w:jc w:val="both"/>
      </w:pPr>
      <w:r>
        <w:rPr>
          <w:rFonts w:eastAsia="Times New Roman" w:cs="Times New Roman"/>
          <w:b/>
          <w:i/>
          <w:sz w:val="24"/>
        </w:rPr>
        <w:t xml:space="preserve">Ключови думи: </w:t>
      </w:r>
      <w:r>
        <w:rPr>
          <w:rFonts w:eastAsia="Times New Roman" w:cs="Times New Roman"/>
          <w:i/>
          <w:sz w:val="24"/>
        </w:rPr>
        <w:t>Черноморски регион, геополитика, сигурност, отбрана, морска сигурност</w:t>
      </w:r>
    </w:p>
    <w:p w:rsidR="00B1096D" w:rsidRDefault="00B1096D"/>
    <w:p w:rsidR="00B1096D" w:rsidRDefault="00590CAE">
      <w:pPr>
        <w:jc w:val="both"/>
      </w:pPr>
      <w:r>
        <w:rPr>
          <w:rFonts w:eastAsia="Times New Roman" w:cs="Times New Roman"/>
          <w:b/>
          <w:i/>
          <w:sz w:val="24"/>
        </w:rPr>
        <w:t xml:space="preserve">Abstract: </w:t>
      </w:r>
      <w:r>
        <w:rPr>
          <w:rFonts w:eastAsia="Times New Roman" w:cs="Times New Roman"/>
          <w:i/>
          <w:sz w:val="24"/>
        </w:rPr>
        <w:t>The report analyses the geopolitical significance of the Black Sea region in the changing security environment. It examines its geostrategic position, the interests of key actors, military and hybrid threats, maritime security, critical infrastructure, and transport and energy connectivity. Special attention is paid to Bulgaria, NATO and the European Union, and to the need for stronger national and regional resilience.</w:t>
      </w:r>
    </w:p>
    <w:p w:rsidR="00B1096D" w:rsidRDefault="00B1096D"/>
    <w:p w:rsidR="00B1096D" w:rsidRDefault="00590CAE">
      <w:pPr>
        <w:jc w:val="both"/>
      </w:pPr>
      <w:r>
        <w:rPr>
          <w:rFonts w:eastAsia="Times New Roman" w:cs="Times New Roman"/>
          <w:b/>
          <w:i/>
          <w:sz w:val="24"/>
        </w:rPr>
        <w:t xml:space="preserve">Keywords: </w:t>
      </w:r>
      <w:r>
        <w:rPr>
          <w:rFonts w:eastAsia="Times New Roman" w:cs="Times New Roman"/>
          <w:i/>
          <w:sz w:val="24"/>
        </w:rPr>
        <w:t>Black Sea region, geopolitics, security, defense, maritime security</w:t>
      </w:r>
    </w:p>
    <w:p w:rsidR="00B1096D" w:rsidRDefault="00B1096D"/>
    <w:p w:rsidR="00B1096D" w:rsidRDefault="00B1096D"/>
    <w:p w:rsidR="00B1096D" w:rsidRDefault="00590CAE">
      <w:r>
        <w:rPr>
          <w:rFonts w:eastAsia="Times New Roman" w:cs="Times New Roman"/>
          <w:b/>
        </w:rPr>
        <w:t>УВОД</w:t>
      </w:r>
    </w:p>
    <w:p w:rsidR="00B1096D" w:rsidRDefault="00590CAE">
      <w:pPr>
        <w:ind w:firstLine="567"/>
        <w:jc w:val="both"/>
      </w:pPr>
      <w:r>
        <w:rPr>
          <w:rFonts w:eastAsia="Times New Roman" w:cs="Times New Roman"/>
        </w:rPr>
        <w:t xml:space="preserve">Черноморският регион заема все по-значимо място в европейската и евроатлантическата среда за сигурност. Географското му положение между Европа, Кавказ, Централна Азия и Близкия изток определя неговата роля за военностратегическите отношения, международната търговия, енергийните и транспортните коридори. След пълномащабното нахлуване на Русия в Украйна през 2022 г. военната активност, рисковете за корабоплаването, минната опасност, уязвимостта на критичната инфраструктура и хибридните въздействия превърнаха Черно море от периферно пространство в непосредствен фактор за европейската сигурност. Новият стратегически подход на Европейския съюз от 2025 г. определя сигурността, устойчивостта и свързаността на региона като взаимно зависими направления и предлага създаването на Черноморски център за морска сигурност. [1] НАТО също определя Черноморския </w:t>
      </w:r>
      <w:r>
        <w:rPr>
          <w:rFonts w:eastAsia="Times New Roman" w:cs="Times New Roman"/>
        </w:rPr>
        <w:lastRenderedPageBreak/>
        <w:t>регион като стратегически важен и подкрепя регионалните усилия за сигурност, свобода на корабоплаването и противодействие на минната заплаха. [2]</w:t>
      </w:r>
    </w:p>
    <w:p w:rsidR="00B1096D" w:rsidRDefault="00590CAE">
      <w:pPr>
        <w:ind w:firstLine="567"/>
        <w:jc w:val="both"/>
      </w:pPr>
      <w:r>
        <w:rPr>
          <w:rFonts w:eastAsia="Times New Roman" w:cs="Times New Roman"/>
        </w:rPr>
        <w:t>Актуалността на темата произтича от това, че процесите в Черно море вече имат пряко отражение върху отбраната, енергетиката, транспорта, търговията и устойчивостта на държавите в региона. За България това е особено важно, тъй като страната е едновременно черноморска държава, член на НАТО и член на Европейския съюз. Целта на изследването е да се анализира геополитическото значение на Черноморския регион в съвременната среда за сигурност и да се откроят основните фактори, които влияят върху националната сигурност на Република България. Обект на изследването е Черноморският регион като геополитическо пространство, а предмет са военностратегическите, политическите, икономическите и инфраструктурните фактори, които формират неговата динамика. Работната хипотеза е, че съчетаването на конвенционални, хибридни и инфраструктурни рискове превръща Черно море в ключов елемент на европейската сигурност и увеличава значението на националните способности и съюзническото взаимодействие.</w:t>
      </w:r>
    </w:p>
    <w:p w:rsidR="00B1096D" w:rsidRDefault="00590CAE">
      <w:r>
        <w:rPr>
          <w:rFonts w:eastAsia="Times New Roman" w:cs="Times New Roman"/>
          <w:b/>
        </w:rPr>
        <w:t>1. ГЕОПОЛИТИЧЕСКА РАМКА И ЗНАЧЕНИЕ НА РЕГИОНА</w:t>
      </w:r>
    </w:p>
    <w:p w:rsidR="00B1096D" w:rsidRDefault="00590CAE">
      <w:r>
        <w:rPr>
          <w:rFonts w:eastAsia="Times New Roman" w:cs="Times New Roman"/>
          <w:b/>
        </w:rPr>
        <w:t>1.1. Геостратегическо положение и пространствен обхват</w:t>
      </w:r>
    </w:p>
    <w:p w:rsidR="00B1096D" w:rsidRDefault="00590CAE">
      <w:pPr>
        <w:ind w:firstLine="567"/>
        <w:jc w:val="both"/>
      </w:pPr>
      <w:r>
        <w:rPr>
          <w:rFonts w:eastAsia="Times New Roman" w:cs="Times New Roman"/>
        </w:rPr>
        <w:t>В географски смисъл Черноморският регион обхваща шестте крайбрежни държави – България, Румъния, Украйна, Русия, Грузия и Турция. Геополитическото му значение обаче надхвърля морската акватория. Черно море е свързващо пространство между Балканите, Южен Кавказ, Каспийския басейн, Централна Азия и Източното Средиземноморие. Поради това промени в сигурността на един от тези райони често оказват влияние върху останалите. Анализите на Chatham House разглеждат Черно море именно като част от по-широко пространство, в което руската политика, войната в Украйна, ролята на Турция и отношенията със Запада се пресичат. [3]</w:t>
      </w:r>
    </w:p>
    <w:p w:rsidR="00B1096D" w:rsidRDefault="00590CAE">
      <w:pPr>
        <w:ind w:firstLine="567"/>
        <w:jc w:val="both"/>
      </w:pPr>
      <w:r>
        <w:rPr>
          <w:rFonts w:eastAsia="Times New Roman" w:cs="Times New Roman"/>
        </w:rPr>
        <w:t>Особено значение имат Босфорът и Дарданелите, които осигуряват морския достъп между Черно и Средиземно море. Режимът на проливите по Конвенцията от Монтрьо от 1936 г. ограничава условията за преминаване и присъствие на военни кораби и дава на Турция особена роля в регионалния баланс. Значението на този режим е потвърдено и в Декларацията от срещата на върха на НАТО във Вашингтон през 2024 г. [4] Черноморските пристанища, железопътните и автомобилните направления, Дунав, енергийните съоръжения и цифровите комуникации допълват геостратегическата стойност на региона, защото осигуряват както икономически потоци, така и логистика и военна мобилност.</w:t>
      </w:r>
    </w:p>
    <w:p w:rsidR="00B1096D" w:rsidRDefault="00590CAE">
      <w:r>
        <w:rPr>
          <w:rFonts w:eastAsia="Times New Roman" w:cs="Times New Roman"/>
          <w:b/>
        </w:rPr>
        <w:t>1.2. Основни актьори и предистория на съперничеството</w:t>
      </w:r>
    </w:p>
    <w:p w:rsidR="00B1096D" w:rsidRDefault="00590CAE">
      <w:pPr>
        <w:ind w:firstLine="567"/>
        <w:jc w:val="both"/>
      </w:pPr>
      <w:r>
        <w:rPr>
          <w:rFonts w:eastAsia="Times New Roman" w:cs="Times New Roman"/>
        </w:rPr>
        <w:t xml:space="preserve">Съперничеството в Черноморския регион не започва през 2022 г. След войната между Русия и Грузия през 2008 г. и анексирането на Крим от Русия през 2014 г. военният баланс и достъпът до ключови крайбрежни позиции се превърнаха в траен елемент на противопоставянето между </w:t>
      </w:r>
      <w:r>
        <w:rPr>
          <w:rFonts w:eastAsia="Times New Roman" w:cs="Times New Roman"/>
        </w:rPr>
        <w:lastRenderedPageBreak/>
        <w:t>Русия и евроатлантическите структури. Пълномащабната война срещу Украйна от 2022 г. задълбочи тази тенденция и показа, че контролът върху пристанища, морски комуникации и крайбрежна инфраструктура има пряко значение за воденето и поддържането на военни действия. Според Sabanadze и Dalay руската политика в Черно море съдържа едновременно приемственост и адаптация, като стремежът за ограничаване на западното влияние предхожда настоящата война. [5]</w:t>
      </w:r>
    </w:p>
    <w:p w:rsidR="00B1096D" w:rsidRDefault="00590CAE">
      <w:pPr>
        <w:ind w:firstLine="567"/>
        <w:jc w:val="both"/>
      </w:pPr>
      <w:r>
        <w:rPr>
          <w:rFonts w:eastAsia="Times New Roman" w:cs="Times New Roman"/>
        </w:rPr>
        <w:t>Турция заема специфична позиция. Тя е черноморска държава и член на НАТО, но поддържа самостоятелна регионална политика и отношения с Русия, които съчетават конкуренция и сътрудничество. Aydin и Aydıntaşbaş определят Русия и Турция като доминиращи регионални сили, между които съществува деликатен баланс и взаимно ограничаване. [6] За НАТО регионът е важен за възпирането, отбраната и свободата на корабоплаването, докато Европейският съюз разглежда сигурността и през призмата на свързаността, критичната инфраструктура, енергийната диверсификация и устойчивостта. България и Румъния имат ключова роля по западното крайбрежие, тъй като техните пристанища, летища и сухопътни направления свързват Черно море с Централна и Югоизточна Европа.</w:t>
      </w:r>
    </w:p>
    <w:p w:rsidR="00B1096D" w:rsidRDefault="00590CAE">
      <w:r>
        <w:rPr>
          <w:rFonts w:eastAsia="Times New Roman" w:cs="Times New Roman"/>
          <w:b/>
        </w:rPr>
        <w:t>2. СЪВРЕМЕННА ДИНАМИКА НА СИГУРНОСТТА В ЧЕРНОМОРСКИЯ РЕГИОН</w:t>
      </w:r>
    </w:p>
    <w:p w:rsidR="00B1096D" w:rsidRDefault="00590CAE">
      <w:r>
        <w:rPr>
          <w:rFonts w:eastAsia="Times New Roman" w:cs="Times New Roman"/>
          <w:b/>
        </w:rPr>
        <w:t>2.1. Военностратегическо измерение и морска сигурност</w:t>
      </w:r>
    </w:p>
    <w:p w:rsidR="00B1096D" w:rsidRDefault="00590CAE">
      <w:pPr>
        <w:ind w:firstLine="567"/>
        <w:jc w:val="both"/>
      </w:pPr>
      <w:r>
        <w:rPr>
          <w:rFonts w:eastAsia="Times New Roman" w:cs="Times New Roman"/>
        </w:rPr>
        <w:t>Една от най-видимите промени е нарастващото значение на безпилотните летателни и морски системи, далекобойните оръжия, разузнаването и обмена на информация. Това променя начина, по който се защитават кораби, пристанища и крайбрежни обекти. Контролът върху морското пространство вече не зависи само от броя на бойните кораби, а и от ситуационната осведоменост, устойчивите комуникации, противовъздушната и противодроновата защита и способността за бързо реагиране. Морската стратегия на НАТО от 2025 г. поставя акцент върху свободата на корабоплаването, защитата на морските комуникационни линии и критичната морска и подводна инфраструктура, както и върху противодействието на хибридни и асиметрични заплахи. [7]</w:t>
      </w:r>
    </w:p>
    <w:p w:rsidR="00B1096D" w:rsidRDefault="00590CAE">
      <w:pPr>
        <w:ind w:firstLine="567"/>
        <w:jc w:val="both"/>
      </w:pPr>
      <w:r>
        <w:rPr>
          <w:rFonts w:eastAsia="Times New Roman" w:cs="Times New Roman"/>
        </w:rPr>
        <w:t>Минната опасност остава непосредствен риск за военните и търговските кораби. В отговор България, Румъния и Турция създадоха Противоминната военноморска група в Черно море – MCM Black Sea, чието първо оперативно развръщане беше през 2024 г. През юли 2026 г. България пое ротационното командване на групата. [8] Инициативата е пример за регионално сътрудничество между крайбрежни съюзници, което допринася за безопасността на корабоплаването и за по-добра оперативна съвместимост. През 2026 г. мисиите на формата бяха разширени и към защита на критичната подводна инфраструктура, което показва как морската сигурност постепенно обхваща все повече обекти и функции.</w:t>
      </w:r>
    </w:p>
    <w:p w:rsidR="00590CAE" w:rsidRDefault="00590CAE">
      <w:pPr>
        <w:rPr>
          <w:rFonts w:eastAsia="Times New Roman" w:cs="Times New Roman"/>
          <w:b/>
          <w:lang w:val="bg-BG"/>
        </w:rPr>
      </w:pPr>
    </w:p>
    <w:p w:rsidR="00590CAE" w:rsidRDefault="00590CAE">
      <w:pPr>
        <w:rPr>
          <w:rFonts w:eastAsia="Times New Roman" w:cs="Times New Roman"/>
          <w:b/>
          <w:lang w:val="bg-BG"/>
        </w:rPr>
      </w:pPr>
    </w:p>
    <w:p w:rsidR="00B1096D" w:rsidRDefault="00590CAE">
      <w:r>
        <w:rPr>
          <w:rFonts w:eastAsia="Times New Roman" w:cs="Times New Roman"/>
          <w:b/>
        </w:rPr>
        <w:lastRenderedPageBreak/>
        <w:t>2.2. Хибридни заплахи и критична инфраструктура</w:t>
      </w:r>
    </w:p>
    <w:p w:rsidR="00B1096D" w:rsidRDefault="00590CAE">
      <w:pPr>
        <w:ind w:firstLine="567"/>
        <w:jc w:val="both"/>
      </w:pPr>
      <w:r>
        <w:rPr>
          <w:rFonts w:eastAsia="Times New Roman" w:cs="Times New Roman"/>
        </w:rPr>
        <w:t>Пристанищата, подводните комуникационни кабели, тръбопроводите, морските енергийни съоръжения и цифровите системи имат двойно значение – за икономиката и за сигурността. Прекъсването на подобни обекти може да засегне едновременно комуникации, енергоснабдяване, транспорт и военна логистика. Mitrescu и Sokolov разглеждат Черно море като показателен пример за пресечната точка между хибридни заплахи и уязвима морска инфраструктура. [9] Кибератаки, саботаж, информационно въздействие, икономически натиск и действия, при които извършителят трудно се установява, усложняват реакцията на държавите и изискват координация между въоръжени сили, служби, администрация и частни оператори.</w:t>
      </w:r>
    </w:p>
    <w:p w:rsidR="00B1096D" w:rsidRDefault="00966967">
      <w:pPr>
        <w:ind w:firstLine="567"/>
        <w:jc w:val="both"/>
      </w:pPr>
      <w:proofErr w:type="spellStart"/>
      <w:proofErr w:type="gramStart"/>
      <w:r>
        <w:rPr>
          <w:rFonts w:eastAsia="Times New Roman" w:cs="Times New Roman"/>
        </w:rPr>
        <w:t>Този</w:t>
      </w:r>
      <w:proofErr w:type="spellEnd"/>
      <w:r>
        <w:rPr>
          <w:rFonts w:eastAsia="Times New Roman" w:cs="Times New Roman"/>
        </w:rPr>
        <w:t xml:space="preserve"> </w:t>
      </w:r>
      <w:proofErr w:type="spellStart"/>
      <w:r>
        <w:rPr>
          <w:rFonts w:eastAsia="Times New Roman" w:cs="Times New Roman"/>
        </w:rPr>
        <w:t>проблем</w:t>
      </w:r>
      <w:proofErr w:type="spellEnd"/>
      <w:r>
        <w:rPr>
          <w:rFonts w:eastAsia="Times New Roman" w:cs="Times New Roman"/>
        </w:rPr>
        <w:t xml:space="preserve"> е </w:t>
      </w:r>
      <w:r>
        <w:rPr>
          <w:rFonts w:eastAsia="Times New Roman" w:cs="Times New Roman"/>
          <w:lang w:val="bg-BG"/>
        </w:rPr>
        <w:t>забелязан</w:t>
      </w:r>
      <w:r w:rsidR="00590CAE">
        <w:rPr>
          <w:rFonts w:eastAsia="Times New Roman" w:cs="Times New Roman"/>
        </w:rPr>
        <w:t xml:space="preserve"> и в </w:t>
      </w:r>
      <w:proofErr w:type="spellStart"/>
      <w:r w:rsidR="00590CAE">
        <w:rPr>
          <w:rFonts w:eastAsia="Times New Roman" w:cs="Times New Roman"/>
        </w:rPr>
        <w:t>подхода</w:t>
      </w:r>
      <w:proofErr w:type="spellEnd"/>
      <w:r w:rsidR="00590CAE">
        <w:rPr>
          <w:rFonts w:eastAsia="Times New Roman" w:cs="Times New Roman"/>
        </w:rPr>
        <w:t xml:space="preserve"> </w:t>
      </w:r>
      <w:proofErr w:type="spellStart"/>
      <w:r w:rsidR="00590CAE">
        <w:rPr>
          <w:rFonts w:eastAsia="Times New Roman" w:cs="Times New Roman"/>
        </w:rPr>
        <w:t>на</w:t>
      </w:r>
      <w:proofErr w:type="spellEnd"/>
      <w:r w:rsidR="00590CAE">
        <w:rPr>
          <w:rFonts w:eastAsia="Times New Roman" w:cs="Times New Roman"/>
        </w:rPr>
        <w:t xml:space="preserve"> </w:t>
      </w:r>
      <w:proofErr w:type="spellStart"/>
      <w:r w:rsidR="00590CAE">
        <w:rPr>
          <w:rFonts w:eastAsia="Times New Roman" w:cs="Times New Roman"/>
        </w:rPr>
        <w:t>Европейския</w:t>
      </w:r>
      <w:proofErr w:type="spellEnd"/>
      <w:r w:rsidR="00590CAE">
        <w:rPr>
          <w:rFonts w:eastAsia="Times New Roman" w:cs="Times New Roman"/>
        </w:rPr>
        <w:t xml:space="preserve"> </w:t>
      </w:r>
      <w:proofErr w:type="spellStart"/>
      <w:r w:rsidR="00590CAE">
        <w:rPr>
          <w:rFonts w:eastAsia="Times New Roman" w:cs="Times New Roman"/>
        </w:rPr>
        <w:t>съюз</w:t>
      </w:r>
      <w:proofErr w:type="spellEnd"/>
      <w:r w:rsidR="00590CAE">
        <w:rPr>
          <w:rFonts w:eastAsia="Times New Roman" w:cs="Times New Roman"/>
        </w:rPr>
        <w:t>.</w:t>
      </w:r>
      <w:proofErr w:type="gramEnd"/>
      <w:r w:rsidR="00590CAE">
        <w:rPr>
          <w:rFonts w:eastAsia="Times New Roman" w:cs="Times New Roman"/>
        </w:rPr>
        <w:t xml:space="preserve"> Предложеният Черноморски център за морска сигурност е насочен към по-добра ситуационна осведоменост, обмен на информация, наблюдение от космоса до морското дъно, ранно предупреждение и защита на критична инфраструктура, включително подводни кабели и морски енергийни съоръжения край българското и румънското </w:t>
      </w:r>
      <w:r>
        <w:rPr>
          <w:rFonts w:eastAsia="Times New Roman" w:cs="Times New Roman"/>
        </w:rPr>
        <w:t xml:space="preserve">крайбрежие. [10] </w:t>
      </w:r>
      <w:proofErr w:type="spellStart"/>
      <w:r>
        <w:rPr>
          <w:rFonts w:eastAsia="Times New Roman" w:cs="Times New Roman"/>
        </w:rPr>
        <w:t>Това</w:t>
      </w:r>
      <w:proofErr w:type="spellEnd"/>
      <w:r>
        <w:rPr>
          <w:rFonts w:eastAsia="Times New Roman" w:cs="Times New Roman"/>
        </w:rPr>
        <w:t xml:space="preserve"> </w:t>
      </w:r>
      <w:r>
        <w:rPr>
          <w:rFonts w:eastAsia="Times New Roman" w:cs="Times New Roman"/>
          <w:lang w:val="bg-BG"/>
        </w:rPr>
        <w:t>ни дава извод че</w:t>
      </w:r>
      <w:r w:rsidR="00590CAE">
        <w:rPr>
          <w:rFonts w:eastAsia="Times New Roman" w:cs="Times New Roman"/>
        </w:rPr>
        <w:t xml:space="preserve">: </w:t>
      </w:r>
      <w:proofErr w:type="spellStart"/>
      <w:r w:rsidR="00590CAE">
        <w:rPr>
          <w:rFonts w:eastAsia="Times New Roman" w:cs="Times New Roman"/>
        </w:rPr>
        <w:t>устойчивостта</w:t>
      </w:r>
      <w:proofErr w:type="spellEnd"/>
      <w:r w:rsidR="00590CAE">
        <w:rPr>
          <w:rFonts w:eastAsia="Times New Roman" w:cs="Times New Roman"/>
        </w:rPr>
        <w:t xml:space="preserve"> </w:t>
      </w:r>
      <w:proofErr w:type="spellStart"/>
      <w:r w:rsidR="00590CAE">
        <w:rPr>
          <w:rFonts w:eastAsia="Times New Roman" w:cs="Times New Roman"/>
        </w:rPr>
        <w:t>не</w:t>
      </w:r>
      <w:proofErr w:type="spellEnd"/>
      <w:r w:rsidR="00590CAE">
        <w:rPr>
          <w:rFonts w:eastAsia="Times New Roman" w:cs="Times New Roman"/>
        </w:rPr>
        <w:t xml:space="preserve"> </w:t>
      </w:r>
      <w:proofErr w:type="spellStart"/>
      <w:r w:rsidR="00590CAE">
        <w:rPr>
          <w:rFonts w:eastAsia="Times New Roman" w:cs="Times New Roman"/>
        </w:rPr>
        <w:t>се</w:t>
      </w:r>
      <w:proofErr w:type="spellEnd"/>
      <w:r w:rsidR="00590CAE">
        <w:rPr>
          <w:rFonts w:eastAsia="Times New Roman" w:cs="Times New Roman"/>
        </w:rPr>
        <w:t xml:space="preserve"> </w:t>
      </w:r>
      <w:proofErr w:type="spellStart"/>
      <w:r w:rsidR="00590CAE">
        <w:rPr>
          <w:rFonts w:eastAsia="Times New Roman" w:cs="Times New Roman"/>
        </w:rPr>
        <w:t>свежда</w:t>
      </w:r>
      <w:proofErr w:type="spellEnd"/>
      <w:r w:rsidR="00590CAE">
        <w:rPr>
          <w:rFonts w:eastAsia="Times New Roman" w:cs="Times New Roman"/>
        </w:rPr>
        <w:t xml:space="preserve"> </w:t>
      </w:r>
      <w:proofErr w:type="spellStart"/>
      <w:r w:rsidR="00590CAE">
        <w:rPr>
          <w:rFonts w:eastAsia="Times New Roman" w:cs="Times New Roman"/>
        </w:rPr>
        <w:t>до</w:t>
      </w:r>
      <w:proofErr w:type="spellEnd"/>
      <w:r w:rsidR="00590CAE">
        <w:rPr>
          <w:rFonts w:eastAsia="Times New Roman" w:cs="Times New Roman"/>
        </w:rPr>
        <w:t xml:space="preserve"> </w:t>
      </w:r>
      <w:proofErr w:type="spellStart"/>
      <w:r w:rsidR="00590CAE">
        <w:rPr>
          <w:rFonts w:eastAsia="Times New Roman" w:cs="Times New Roman"/>
        </w:rPr>
        <w:t>военна</w:t>
      </w:r>
      <w:proofErr w:type="spellEnd"/>
      <w:r w:rsidR="00590CAE">
        <w:rPr>
          <w:rFonts w:eastAsia="Times New Roman" w:cs="Times New Roman"/>
        </w:rPr>
        <w:t xml:space="preserve"> </w:t>
      </w:r>
      <w:proofErr w:type="spellStart"/>
      <w:r w:rsidR="00590CAE">
        <w:rPr>
          <w:rFonts w:eastAsia="Times New Roman" w:cs="Times New Roman"/>
        </w:rPr>
        <w:t>защита</w:t>
      </w:r>
      <w:proofErr w:type="spellEnd"/>
      <w:r w:rsidR="00590CAE">
        <w:rPr>
          <w:rFonts w:eastAsia="Times New Roman" w:cs="Times New Roman"/>
        </w:rPr>
        <w:t xml:space="preserve">, а </w:t>
      </w:r>
      <w:proofErr w:type="spellStart"/>
      <w:r w:rsidR="00590CAE">
        <w:rPr>
          <w:rFonts w:eastAsia="Times New Roman" w:cs="Times New Roman"/>
        </w:rPr>
        <w:t>включва</w:t>
      </w:r>
      <w:proofErr w:type="spellEnd"/>
      <w:r w:rsidR="00590CAE">
        <w:rPr>
          <w:rFonts w:eastAsia="Times New Roman" w:cs="Times New Roman"/>
        </w:rPr>
        <w:t xml:space="preserve"> </w:t>
      </w:r>
      <w:proofErr w:type="spellStart"/>
      <w:r w:rsidR="00590CAE">
        <w:rPr>
          <w:rFonts w:eastAsia="Times New Roman" w:cs="Times New Roman"/>
        </w:rPr>
        <w:t>способността</w:t>
      </w:r>
      <w:proofErr w:type="spellEnd"/>
      <w:r w:rsidR="00590CAE">
        <w:rPr>
          <w:rFonts w:eastAsia="Times New Roman" w:cs="Times New Roman"/>
        </w:rPr>
        <w:t xml:space="preserve"> </w:t>
      </w:r>
      <w:proofErr w:type="spellStart"/>
      <w:r w:rsidR="00590CAE">
        <w:rPr>
          <w:rFonts w:eastAsia="Times New Roman" w:cs="Times New Roman"/>
        </w:rPr>
        <w:t>на</w:t>
      </w:r>
      <w:proofErr w:type="spellEnd"/>
      <w:r w:rsidR="00590CAE">
        <w:rPr>
          <w:rFonts w:eastAsia="Times New Roman" w:cs="Times New Roman"/>
        </w:rPr>
        <w:t xml:space="preserve"> </w:t>
      </w:r>
      <w:proofErr w:type="spellStart"/>
      <w:r w:rsidR="00590CAE">
        <w:rPr>
          <w:rFonts w:eastAsia="Times New Roman" w:cs="Times New Roman"/>
        </w:rPr>
        <w:t>държавата</w:t>
      </w:r>
      <w:proofErr w:type="spellEnd"/>
      <w:r w:rsidR="00590CAE">
        <w:rPr>
          <w:rFonts w:eastAsia="Times New Roman" w:cs="Times New Roman"/>
        </w:rPr>
        <w:t xml:space="preserve"> </w:t>
      </w:r>
      <w:proofErr w:type="spellStart"/>
      <w:r w:rsidR="00590CAE">
        <w:rPr>
          <w:rFonts w:eastAsia="Times New Roman" w:cs="Times New Roman"/>
        </w:rPr>
        <w:t>да</w:t>
      </w:r>
      <w:proofErr w:type="spellEnd"/>
      <w:r w:rsidR="00590CAE">
        <w:rPr>
          <w:rFonts w:eastAsia="Times New Roman" w:cs="Times New Roman"/>
        </w:rPr>
        <w:t xml:space="preserve"> </w:t>
      </w:r>
      <w:proofErr w:type="spellStart"/>
      <w:r w:rsidR="00590CAE">
        <w:rPr>
          <w:rFonts w:eastAsia="Times New Roman" w:cs="Times New Roman"/>
        </w:rPr>
        <w:t>поддържа</w:t>
      </w:r>
      <w:proofErr w:type="spellEnd"/>
      <w:r w:rsidR="00590CAE">
        <w:rPr>
          <w:rFonts w:eastAsia="Times New Roman" w:cs="Times New Roman"/>
        </w:rPr>
        <w:t xml:space="preserve"> </w:t>
      </w:r>
      <w:proofErr w:type="spellStart"/>
      <w:r w:rsidR="00590CAE">
        <w:rPr>
          <w:rFonts w:eastAsia="Times New Roman" w:cs="Times New Roman"/>
        </w:rPr>
        <w:t>основни</w:t>
      </w:r>
      <w:proofErr w:type="spellEnd"/>
      <w:r w:rsidR="00590CAE">
        <w:rPr>
          <w:rFonts w:eastAsia="Times New Roman" w:cs="Times New Roman"/>
        </w:rPr>
        <w:t xml:space="preserve"> </w:t>
      </w:r>
      <w:proofErr w:type="spellStart"/>
      <w:r w:rsidR="00590CAE">
        <w:rPr>
          <w:rFonts w:eastAsia="Times New Roman" w:cs="Times New Roman"/>
        </w:rPr>
        <w:t>функции</w:t>
      </w:r>
      <w:proofErr w:type="spellEnd"/>
      <w:r w:rsidR="00590CAE">
        <w:rPr>
          <w:rFonts w:eastAsia="Times New Roman" w:cs="Times New Roman"/>
        </w:rPr>
        <w:t xml:space="preserve"> и </w:t>
      </w:r>
      <w:proofErr w:type="spellStart"/>
      <w:r w:rsidR="00590CAE">
        <w:rPr>
          <w:rFonts w:eastAsia="Times New Roman" w:cs="Times New Roman"/>
        </w:rPr>
        <w:t>бързо</w:t>
      </w:r>
      <w:proofErr w:type="spellEnd"/>
      <w:r w:rsidR="00590CAE">
        <w:rPr>
          <w:rFonts w:eastAsia="Times New Roman" w:cs="Times New Roman"/>
        </w:rPr>
        <w:t xml:space="preserve"> </w:t>
      </w:r>
      <w:proofErr w:type="spellStart"/>
      <w:r w:rsidR="00590CAE">
        <w:rPr>
          <w:rFonts w:eastAsia="Times New Roman" w:cs="Times New Roman"/>
        </w:rPr>
        <w:t>да</w:t>
      </w:r>
      <w:proofErr w:type="spellEnd"/>
      <w:r w:rsidR="00590CAE">
        <w:rPr>
          <w:rFonts w:eastAsia="Times New Roman" w:cs="Times New Roman"/>
        </w:rPr>
        <w:t xml:space="preserve"> </w:t>
      </w:r>
      <w:proofErr w:type="spellStart"/>
      <w:r w:rsidR="00590CAE">
        <w:rPr>
          <w:rFonts w:eastAsia="Times New Roman" w:cs="Times New Roman"/>
        </w:rPr>
        <w:t>възстановява</w:t>
      </w:r>
      <w:proofErr w:type="spellEnd"/>
      <w:r w:rsidR="00590CAE">
        <w:rPr>
          <w:rFonts w:eastAsia="Times New Roman" w:cs="Times New Roman"/>
        </w:rPr>
        <w:t xml:space="preserve"> </w:t>
      </w:r>
      <w:proofErr w:type="spellStart"/>
      <w:r w:rsidR="00590CAE">
        <w:rPr>
          <w:rFonts w:eastAsia="Times New Roman" w:cs="Times New Roman"/>
        </w:rPr>
        <w:t>нарушени</w:t>
      </w:r>
      <w:proofErr w:type="spellEnd"/>
      <w:r w:rsidR="00590CAE">
        <w:rPr>
          <w:rFonts w:eastAsia="Times New Roman" w:cs="Times New Roman"/>
        </w:rPr>
        <w:t xml:space="preserve"> </w:t>
      </w:r>
      <w:proofErr w:type="spellStart"/>
      <w:r w:rsidR="00590CAE">
        <w:rPr>
          <w:rFonts w:eastAsia="Times New Roman" w:cs="Times New Roman"/>
        </w:rPr>
        <w:t>услуги</w:t>
      </w:r>
      <w:proofErr w:type="spellEnd"/>
      <w:r w:rsidR="00590CAE">
        <w:rPr>
          <w:rFonts w:eastAsia="Times New Roman" w:cs="Times New Roman"/>
        </w:rPr>
        <w:t>.</w:t>
      </w:r>
    </w:p>
    <w:p w:rsidR="00B1096D" w:rsidRDefault="00590CAE">
      <w:r>
        <w:rPr>
          <w:rFonts w:eastAsia="Times New Roman" w:cs="Times New Roman"/>
          <w:b/>
        </w:rPr>
        <w:t>2.3. Икономическа, енергийна и транспортна сигурност</w:t>
      </w:r>
    </w:p>
    <w:p w:rsidR="00B1096D" w:rsidRDefault="00590CAE">
      <w:pPr>
        <w:ind w:firstLine="567"/>
        <w:jc w:val="both"/>
      </w:pPr>
      <w:r>
        <w:rPr>
          <w:rFonts w:eastAsia="Times New Roman" w:cs="Times New Roman"/>
        </w:rPr>
        <w:t>Черно море има важно значение за международната търговия, енергийните доставки и движението на стоки между Европа, Кавказ и Централна Азия. Военното напрежение показа, че транспортните и енергийните мрежи могат да се превърнат в уязвими точки и че прекъсванията в корабоплаването или работата на пристанищата имат последици далеч извън региона. Европейският съюз поставя Черно море в по-широката система за транспортна, енергийна и цифрова свързаност и предлага развитие на връзките към Южен Кавказ и Централна Азия, включително чрез Транскаспийския транспортен коридор. [11] Така геополитическото значение на региона се определя не само от военния баланс, но и от способността му да осигурява надеждни и диверсифицирани потоци на стоки, енергия и информация.</w:t>
      </w:r>
    </w:p>
    <w:p w:rsidR="00B1096D" w:rsidRDefault="00590CAE">
      <w:r>
        <w:rPr>
          <w:rFonts w:eastAsia="Times New Roman" w:cs="Times New Roman"/>
          <w:b/>
        </w:rPr>
        <w:t>3. РЕПУБЛИКА БЪЛГАРИЯ В ПРОМЕНЕНАТА СРЕДА ЗА СИГУРНОСТ</w:t>
      </w:r>
    </w:p>
    <w:p w:rsidR="00B1096D" w:rsidRDefault="00590CAE">
      <w:r>
        <w:rPr>
          <w:rFonts w:eastAsia="Times New Roman" w:cs="Times New Roman"/>
          <w:b/>
        </w:rPr>
        <w:t>3.1. Значение на Черно море за националната сигурност</w:t>
      </w:r>
    </w:p>
    <w:p w:rsidR="00B1096D" w:rsidRDefault="00590CAE">
      <w:pPr>
        <w:ind w:firstLine="567"/>
        <w:jc w:val="both"/>
      </w:pPr>
      <w:r>
        <w:rPr>
          <w:rFonts w:eastAsia="Times New Roman" w:cs="Times New Roman"/>
        </w:rPr>
        <w:t xml:space="preserve">За България развитието на обстановката в Черно море има пряко отражение върху националната сигурност. Значение имат морската акватория и изключителната икономическа зона, пристанищата Варна и Бургас, морските транспортни направления, енергийните съоръжения и подводните комуникации. Нарушаването на нормалното функциониране на тези обекти може да засегне търговията, транспорта, енергийните доставки и държавните комуникации. Затова тяхната защита трябва да се </w:t>
      </w:r>
      <w:r>
        <w:rPr>
          <w:rFonts w:eastAsia="Times New Roman" w:cs="Times New Roman"/>
        </w:rPr>
        <w:lastRenderedPageBreak/>
        <w:t>разглежда като част от националната устойчивост, а не само като задача на военноморските сили.</w:t>
      </w:r>
    </w:p>
    <w:p w:rsidR="00B1096D" w:rsidRDefault="00590CAE">
      <w:pPr>
        <w:ind w:firstLine="567"/>
        <w:jc w:val="both"/>
      </w:pPr>
      <w:r>
        <w:rPr>
          <w:rFonts w:eastAsia="Times New Roman" w:cs="Times New Roman"/>
        </w:rPr>
        <w:t>Националната отбранителна стратегия на Република България, приета през 2025 г., определя необходимостта от адаптиране към усложнената среда за сигурност, развитие на отбранителните способности и укрепване на националната устойчивост. [12] За България това означава едновременно развитие на собствени способности и използване на механизмите на колективната отбрана. В практически план приоритетни са наблюдението и ранното предупреждение, противоминните способности, защитата на пристанища и критична инфраструктура, киберзащитата, логистиката и военната мобилност.</w:t>
      </w:r>
    </w:p>
    <w:p w:rsidR="00B1096D" w:rsidRDefault="00590CAE">
      <w:r>
        <w:rPr>
          <w:rFonts w:eastAsia="Times New Roman" w:cs="Times New Roman"/>
          <w:b/>
        </w:rPr>
        <w:t>3.2. България в регионалните и съюзническите механизми</w:t>
      </w:r>
    </w:p>
    <w:p w:rsidR="00B1096D" w:rsidRDefault="00590CAE">
      <w:pPr>
        <w:ind w:firstLine="567"/>
        <w:jc w:val="both"/>
      </w:pPr>
      <w:r>
        <w:rPr>
          <w:rFonts w:eastAsia="Times New Roman" w:cs="Times New Roman"/>
        </w:rPr>
        <w:t>След 2022 г. на територията на България беше изградена многонационална бойна група на НАТО с рамкова държава Италия. Към юни 2026 г. в нея участват съюзнически контингенти от няколко държави, а форматът е част от усиленото присъствие по Източния фланг. [13] Значението му е не само в постоянното присъствие, а и в способността при необходимост да бъде усилен до бригадно ниво. Това поставя изисквания към инфраструктурата, приемането и осигуряването на съюзнически сили, командването и управлението и оперативната съвместимост.</w:t>
      </w:r>
    </w:p>
    <w:p w:rsidR="00B1096D" w:rsidRDefault="00590CAE">
      <w:pPr>
        <w:ind w:firstLine="567"/>
        <w:jc w:val="both"/>
      </w:pPr>
      <w:r>
        <w:rPr>
          <w:rFonts w:eastAsia="Times New Roman" w:cs="Times New Roman"/>
        </w:rPr>
        <w:t>В морското направление участието на България в MCM Black Sea има непосредствена практическа стойност. Поемането на командването през юли 2026 г. показва активна роля на страната в регионалната морска сигурност. [14] Успоредно с това България и Румъния работят по развитието на Черноморския център за морска сигурност в рамките на европейската инициатива; през юни 2026 г. двете държави представиха развитието на проекта пред Съвета по външни работи на ЕС. [15] Тези механизми допълват националните способности с обща ситуационна картина, обмен на информация и координация при трансгранични рискове.</w:t>
      </w:r>
    </w:p>
    <w:p w:rsidR="00B1096D" w:rsidRDefault="00590CAE">
      <w:r>
        <w:rPr>
          <w:rFonts w:eastAsia="Times New Roman" w:cs="Times New Roman"/>
          <w:b/>
        </w:rPr>
        <w:t>3.3. Основни предизвикателства и направления за повишаване на устойчивостта</w:t>
      </w:r>
    </w:p>
    <w:p w:rsidR="00B1096D" w:rsidRDefault="00590CAE">
      <w:pPr>
        <w:ind w:firstLine="567"/>
        <w:jc w:val="both"/>
      </w:pPr>
      <w:proofErr w:type="gramStart"/>
      <w:r>
        <w:rPr>
          <w:rFonts w:eastAsia="Times New Roman" w:cs="Times New Roman"/>
        </w:rPr>
        <w:t>Основното предизвикателство е България да изгради устойчивост, която обхваща както въоръжените сили, така и важнит</w:t>
      </w:r>
      <w:r w:rsidR="00966967">
        <w:rPr>
          <w:rFonts w:eastAsia="Times New Roman" w:cs="Times New Roman"/>
        </w:rPr>
        <w:t>е граждански функции.</w:t>
      </w:r>
      <w:proofErr w:type="gramEnd"/>
      <w:r w:rsidR="00966967">
        <w:rPr>
          <w:rFonts w:eastAsia="Times New Roman" w:cs="Times New Roman"/>
        </w:rPr>
        <w:t xml:space="preserve"> </w:t>
      </w:r>
      <w:r w:rsidR="00966967">
        <w:rPr>
          <w:rFonts w:eastAsia="Times New Roman" w:cs="Times New Roman"/>
          <w:lang w:val="bg-BG"/>
        </w:rPr>
        <w:t xml:space="preserve">От изключителна важност </w:t>
      </w:r>
      <w:bookmarkStart w:id="0" w:name="_GoBack"/>
      <w:bookmarkEnd w:id="0"/>
      <w:r>
        <w:rPr>
          <w:rFonts w:eastAsia="Times New Roman" w:cs="Times New Roman"/>
        </w:rPr>
        <w:t xml:space="preserve"> е </w:t>
      </w:r>
      <w:proofErr w:type="spellStart"/>
      <w:r>
        <w:rPr>
          <w:rFonts w:eastAsia="Times New Roman" w:cs="Times New Roman"/>
        </w:rPr>
        <w:t>да</w:t>
      </w:r>
      <w:proofErr w:type="spellEnd"/>
      <w:r>
        <w:rPr>
          <w:rFonts w:eastAsia="Times New Roman" w:cs="Times New Roman"/>
        </w:rPr>
        <w:t xml:space="preserve"> </w:t>
      </w:r>
      <w:proofErr w:type="spellStart"/>
      <w:r>
        <w:rPr>
          <w:rFonts w:eastAsia="Times New Roman" w:cs="Times New Roman"/>
        </w:rPr>
        <w:t>има</w:t>
      </w:r>
      <w:proofErr w:type="spellEnd"/>
      <w:r>
        <w:rPr>
          <w:rFonts w:eastAsia="Times New Roman" w:cs="Times New Roman"/>
        </w:rPr>
        <w:t xml:space="preserve"> </w:t>
      </w:r>
      <w:proofErr w:type="spellStart"/>
      <w:r>
        <w:rPr>
          <w:rFonts w:eastAsia="Times New Roman" w:cs="Times New Roman"/>
        </w:rPr>
        <w:t>готовност</w:t>
      </w:r>
      <w:proofErr w:type="spellEnd"/>
      <w:r>
        <w:rPr>
          <w:rFonts w:eastAsia="Times New Roman" w:cs="Times New Roman"/>
        </w:rPr>
        <w:t xml:space="preserve"> </w:t>
      </w:r>
      <w:proofErr w:type="spellStart"/>
      <w:r>
        <w:rPr>
          <w:rFonts w:eastAsia="Times New Roman" w:cs="Times New Roman"/>
        </w:rPr>
        <w:t>за</w:t>
      </w:r>
      <w:proofErr w:type="spellEnd"/>
      <w:r>
        <w:rPr>
          <w:rFonts w:eastAsia="Times New Roman" w:cs="Times New Roman"/>
        </w:rPr>
        <w:t xml:space="preserve"> </w:t>
      </w:r>
      <w:proofErr w:type="spellStart"/>
      <w:r>
        <w:rPr>
          <w:rFonts w:eastAsia="Times New Roman" w:cs="Times New Roman"/>
        </w:rPr>
        <w:t>действие</w:t>
      </w:r>
      <w:proofErr w:type="spellEnd"/>
      <w:r>
        <w:rPr>
          <w:rFonts w:eastAsia="Times New Roman" w:cs="Times New Roman"/>
        </w:rPr>
        <w:t xml:space="preserve"> </w:t>
      </w:r>
      <w:proofErr w:type="spellStart"/>
      <w:r>
        <w:rPr>
          <w:rFonts w:eastAsia="Times New Roman" w:cs="Times New Roman"/>
        </w:rPr>
        <w:t>при</w:t>
      </w:r>
      <w:proofErr w:type="spellEnd"/>
      <w:r>
        <w:rPr>
          <w:rFonts w:eastAsia="Times New Roman" w:cs="Times New Roman"/>
        </w:rPr>
        <w:t xml:space="preserve"> </w:t>
      </w:r>
      <w:proofErr w:type="spellStart"/>
      <w:r>
        <w:rPr>
          <w:rFonts w:eastAsia="Times New Roman" w:cs="Times New Roman"/>
        </w:rPr>
        <w:t>прекъсване</w:t>
      </w:r>
      <w:proofErr w:type="spellEnd"/>
      <w:r>
        <w:rPr>
          <w:rFonts w:eastAsia="Times New Roman" w:cs="Times New Roman"/>
        </w:rPr>
        <w:t xml:space="preserve"> </w:t>
      </w:r>
      <w:proofErr w:type="spellStart"/>
      <w:r>
        <w:rPr>
          <w:rFonts w:eastAsia="Times New Roman" w:cs="Times New Roman"/>
        </w:rPr>
        <w:t>на</w:t>
      </w:r>
      <w:proofErr w:type="spellEnd"/>
      <w:r>
        <w:rPr>
          <w:rFonts w:eastAsia="Times New Roman" w:cs="Times New Roman"/>
        </w:rPr>
        <w:t xml:space="preserve"> </w:t>
      </w:r>
      <w:proofErr w:type="spellStart"/>
      <w:r>
        <w:rPr>
          <w:rFonts w:eastAsia="Times New Roman" w:cs="Times New Roman"/>
        </w:rPr>
        <w:t>комуникации</w:t>
      </w:r>
      <w:proofErr w:type="spellEnd"/>
      <w:r>
        <w:rPr>
          <w:rFonts w:eastAsia="Times New Roman" w:cs="Times New Roman"/>
        </w:rPr>
        <w:t xml:space="preserve">, </w:t>
      </w:r>
      <w:proofErr w:type="spellStart"/>
      <w:r>
        <w:rPr>
          <w:rFonts w:eastAsia="Times New Roman" w:cs="Times New Roman"/>
        </w:rPr>
        <w:t>кибератаки</w:t>
      </w:r>
      <w:proofErr w:type="spellEnd"/>
      <w:r>
        <w:rPr>
          <w:rFonts w:eastAsia="Times New Roman" w:cs="Times New Roman"/>
        </w:rPr>
        <w:t xml:space="preserve">, </w:t>
      </w:r>
      <w:proofErr w:type="spellStart"/>
      <w:r>
        <w:rPr>
          <w:rFonts w:eastAsia="Times New Roman" w:cs="Times New Roman"/>
        </w:rPr>
        <w:t>затрудняване</w:t>
      </w:r>
      <w:proofErr w:type="spellEnd"/>
      <w:r>
        <w:rPr>
          <w:rFonts w:eastAsia="Times New Roman" w:cs="Times New Roman"/>
        </w:rPr>
        <w:t xml:space="preserve"> </w:t>
      </w:r>
      <w:proofErr w:type="spellStart"/>
      <w:r>
        <w:rPr>
          <w:rFonts w:eastAsia="Times New Roman" w:cs="Times New Roman"/>
        </w:rPr>
        <w:t>на</w:t>
      </w:r>
      <w:proofErr w:type="spellEnd"/>
      <w:r>
        <w:rPr>
          <w:rFonts w:eastAsia="Times New Roman" w:cs="Times New Roman"/>
        </w:rPr>
        <w:t xml:space="preserve"> </w:t>
      </w:r>
      <w:proofErr w:type="spellStart"/>
      <w:r>
        <w:rPr>
          <w:rFonts w:eastAsia="Times New Roman" w:cs="Times New Roman"/>
        </w:rPr>
        <w:t>транспорта</w:t>
      </w:r>
      <w:proofErr w:type="spellEnd"/>
      <w:r>
        <w:rPr>
          <w:rFonts w:eastAsia="Times New Roman" w:cs="Times New Roman"/>
        </w:rPr>
        <w:t xml:space="preserve"> </w:t>
      </w:r>
      <w:proofErr w:type="spellStart"/>
      <w:r>
        <w:rPr>
          <w:rFonts w:eastAsia="Times New Roman" w:cs="Times New Roman"/>
        </w:rPr>
        <w:t>или</w:t>
      </w:r>
      <w:proofErr w:type="spellEnd"/>
      <w:r>
        <w:rPr>
          <w:rFonts w:eastAsia="Times New Roman" w:cs="Times New Roman"/>
        </w:rPr>
        <w:t xml:space="preserve"> </w:t>
      </w:r>
      <w:proofErr w:type="spellStart"/>
      <w:r>
        <w:rPr>
          <w:rFonts w:eastAsia="Times New Roman" w:cs="Times New Roman"/>
        </w:rPr>
        <w:t>въздействие</w:t>
      </w:r>
      <w:proofErr w:type="spellEnd"/>
      <w:r>
        <w:rPr>
          <w:rFonts w:eastAsia="Times New Roman" w:cs="Times New Roman"/>
        </w:rPr>
        <w:t xml:space="preserve"> </w:t>
      </w:r>
      <w:proofErr w:type="spellStart"/>
      <w:r>
        <w:rPr>
          <w:rFonts w:eastAsia="Times New Roman" w:cs="Times New Roman"/>
        </w:rPr>
        <w:t>върху</w:t>
      </w:r>
      <w:proofErr w:type="spellEnd"/>
      <w:r>
        <w:rPr>
          <w:rFonts w:eastAsia="Times New Roman" w:cs="Times New Roman"/>
        </w:rPr>
        <w:t xml:space="preserve"> </w:t>
      </w:r>
      <w:proofErr w:type="spellStart"/>
      <w:r>
        <w:rPr>
          <w:rFonts w:eastAsia="Times New Roman" w:cs="Times New Roman"/>
        </w:rPr>
        <w:t>енергийни</w:t>
      </w:r>
      <w:proofErr w:type="spellEnd"/>
      <w:r>
        <w:rPr>
          <w:rFonts w:eastAsia="Times New Roman" w:cs="Times New Roman"/>
        </w:rPr>
        <w:t xml:space="preserve"> и </w:t>
      </w:r>
      <w:proofErr w:type="spellStart"/>
      <w:r>
        <w:rPr>
          <w:rFonts w:eastAsia="Times New Roman" w:cs="Times New Roman"/>
        </w:rPr>
        <w:t>други</w:t>
      </w:r>
      <w:proofErr w:type="spellEnd"/>
      <w:r>
        <w:rPr>
          <w:rFonts w:eastAsia="Times New Roman" w:cs="Times New Roman"/>
        </w:rPr>
        <w:t xml:space="preserve"> </w:t>
      </w:r>
      <w:proofErr w:type="spellStart"/>
      <w:r>
        <w:rPr>
          <w:rFonts w:eastAsia="Times New Roman" w:cs="Times New Roman"/>
        </w:rPr>
        <w:t>критични</w:t>
      </w:r>
      <w:proofErr w:type="spellEnd"/>
      <w:r>
        <w:rPr>
          <w:rFonts w:eastAsia="Times New Roman" w:cs="Times New Roman"/>
        </w:rPr>
        <w:t xml:space="preserve"> </w:t>
      </w:r>
      <w:proofErr w:type="spellStart"/>
      <w:r>
        <w:rPr>
          <w:rFonts w:eastAsia="Times New Roman" w:cs="Times New Roman"/>
        </w:rPr>
        <w:t>обекти</w:t>
      </w:r>
      <w:proofErr w:type="spellEnd"/>
      <w:r>
        <w:rPr>
          <w:rFonts w:eastAsia="Times New Roman" w:cs="Times New Roman"/>
        </w:rPr>
        <w:t>. Националната отбранителна стратегия поставя устойчивостта сред важните условия за ефективна отбрана и подчертава взаимодействието между институциите. [16]</w:t>
      </w:r>
    </w:p>
    <w:p w:rsidR="00B1096D" w:rsidRDefault="00590CAE">
      <w:pPr>
        <w:ind w:firstLine="567"/>
        <w:jc w:val="both"/>
      </w:pPr>
      <w:r>
        <w:rPr>
          <w:rFonts w:eastAsia="Times New Roman" w:cs="Times New Roman"/>
        </w:rPr>
        <w:t xml:space="preserve">Особено значение имат надеждната морска и въздушна картина, обменът на разузнавателна информация, противоминните способности и защитата на подводната и пристанищната инфраструктура. В същото време способността на страната да приема, придвижва и снабдява съюзнически сили е част от общата система за възпиране и отбрана. НАТО посочва, че многонационалната група в България може при необходимост да се </w:t>
      </w:r>
      <w:r>
        <w:rPr>
          <w:rFonts w:eastAsia="Times New Roman" w:cs="Times New Roman"/>
        </w:rPr>
        <w:lastRenderedPageBreak/>
        <w:t>разшири до бригада, което прави военната мобилност и логистичната инфраструктура непосредствен елемент на националната сигурност. [17] По-високата устойчивост изисква и регулярни съвместни учения, ясни процедури за реагиране при хибридни инциденти и по-тясно взаимодействие между държавата и операторите на критична инфраструктура.</w:t>
      </w:r>
    </w:p>
    <w:p w:rsidR="00B1096D" w:rsidRDefault="00590CAE">
      <w:r>
        <w:rPr>
          <w:rFonts w:eastAsia="Times New Roman" w:cs="Times New Roman"/>
          <w:b/>
        </w:rPr>
        <w:t>ЗАКЛЮЧЕНИЕ</w:t>
      </w:r>
    </w:p>
    <w:p w:rsidR="00B1096D" w:rsidRDefault="00590CAE">
      <w:pPr>
        <w:ind w:firstLine="567"/>
        <w:jc w:val="both"/>
      </w:pPr>
      <w:r>
        <w:rPr>
          <w:rFonts w:eastAsia="Times New Roman" w:cs="Times New Roman"/>
        </w:rPr>
        <w:t>Проведеният анализ показва, че геополитическото значение на Черноморския регион се определя от съчетанието между неговото географско положение, ограничен морски достъп, важни транспортни и енергийни коридори и конкуриращи се стратегически интереси. Войната на Русия срещу Украйна изостри вече съществуващи противоречия и направи по-видими рисковете за корабоплаването, пристанищата, критичната инфраструктура и регионалната икономическа свързаност. Наред с конвенционалните военни рискове все по-голямо значение имат безпилотните системи, минната заплаха, кибератаките, саботажът и информационното въздействие.</w:t>
      </w:r>
    </w:p>
    <w:p w:rsidR="00B1096D" w:rsidRDefault="00590CAE">
      <w:pPr>
        <w:ind w:firstLine="567"/>
        <w:jc w:val="both"/>
        <w:rPr>
          <w:rFonts w:eastAsia="Times New Roman" w:cs="Times New Roman"/>
          <w:lang w:val="bg-BG"/>
        </w:rPr>
      </w:pPr>
      <w:r>
        <w:rPr>
          <w:rFonts w:eastAsia="Times New Roman" w:cs="Times New Roman"/>
        </w:rPr>
        <w:t xml:space="preserve">За България сигурността в Черно море е пряко свързана с националната отбрана, икономическата устойчивост и способността на държавата да изпълнява съюзническите си ангажименти. Участието в MCM Black Sea, присъствието на многонационалната бойна група и развитието на европейски механизми за морска ситуационна осведоменост показват, че ефективният отговор не може да бъде само национален. Най-важните направления остават развитието на собствени отбранителни способности, защитата на критичната инфраструктура, военната мобилност, обменът на информация и координацията в рамките на НАТО, Европейския съюз и регионалните формати. </w:t>
      </w:r>
      <w:proofErr w:type="gramStart"/>
      <w:r>
        <w:rPr>
          <w:rFonts w:eastAsia="Times New Roman" w:cs="Times New Roman"/>
        </w:rPr>
        <w:t xml:space="preserve">Така устойчивостта на България се превръща в част от по-широката устойчивост на Черноморския </w:t>
      </w:r>
      <w:proofErr w:type="spellStart"/>
      <w:r>
        <w:rPr>
          <w:rFonts w:eastAsia="Times New Roman" w:cs="Times New Roman"/>
        </w:rPr>
        <w:t>регион</w:t>
      </w:r>
      <w:proofErr w:type="spellEnd"/>
      <w:r>
        <w:rPr>
          <w:rFonts w:eastAsia="Times New Roman" w:cs="Times New Roman"/>
        </w:rPr>
        <w:t xml:space="preserve"> и </w:t>
      </w:r>
      <w:proofErr w:type="spellStart"/>
      <w:r>
        <w:rPr>
          <w:rFonts w:eastAsia="Times New Roman" w:cs="Times New Roman"/>
        </w:rPr>
        <w:t>на</w:t>
      </w:r>
      <w:proofErr w:type="spellEnd"/>
      <w:r>
        <w:rPr>
          <w:rFonts w:eastAsia="Times New Roman" w:cs="Times New Roman"/>
        </w:rPr>
        <w:t xml:space="preserve"> </w:t>
      </w:r>
      <w:proofErr w:type="spellStart"/>
      <w:r>
        <w:rPr>
          <w:rFonts w:eastAsia="Times New Roman" w:cs="Times New Roman"/>
        </w:rPr>
        <w:t>европейската</w:t>
      </w:r>
      <w:proofErr w:type="spellEnd"/>
      <w:r>
        <w:rPr>
          <w:rFonts w:eastAsia="Times New Roman" w:cs="Times New Roman"/>
        </w:rPr>
        <w:t xml:space="preserve"> </w:t>
      </w:r>
      <w:proofErr w:type="spellStart"/>
      <w:r>
        <w:rPr>
          <w:rFonts w:eastAsia="Times New Roman" w:cs="Times New Roman"/>
        </w:rPr>
        <w:t>система</w:t>
      </w:r>
      <w:proofErr w:type="spellEnd"/>
      <w:r>
        <w:rPr>
          <w:rFonts w:eastAsia="Times New Roman" w:cs="Times New Roman"/>
        </w:rPr>
        <w:t xml:space="preserve"> </w:t>
      </w:r>
      <w:proofErr w:type="spellStart"/>
      <w:r>
        <w:rPr>
          <w:rFonts w:eastAsia="Times New Roman" w:cs="Times New Roman"/>
        </w:rPr>
        <w:t>за</w:t>
      </w:r>
      <w:proofErr w:type="spellEnd"/>
      <w:r>
        <w:rPr>
          <w:rFonts w:eastAsia="Times New Roman" w:cs="Times New Roman"/>
        </w:rPr>
        <w:t xml:space="preserve"> </w:t>
      </w:r>
      <w:proofErr w:type="spellStart"/>
      <w:r>
        <w:rPr>
          <w:rFonts w:eastAsia="Times New Roman" w:cs="Times New Roman"/>
        </w:rPr>
        <w:t>сигурност</w:t>
      </w:r>
      <w:proofErr w:type="spellEnd"/>
      <w:r>
        <w:rPr>
          <w:rFonts w:eastAsia="Times New Roman" w:cs="Times New Roman"/>
        </w:rPr>
        <w:t>.</w:t>
      </w:r>
      <w:proofErr w:type="gramEnd"/>
    </w:p>
    <w:p w:rsidR="00B1096D" w:rsidRDefault="00B1096D">
      <w:pPr>
        <w:rPr>
          <w:lang w:val="bg-BG"/>
        </w:rPr>
      </w:pPr>
    </w:p>
    <w:p w:rsidR="00590CAE" w:rsidRDefault="00590CAE" w:rsidP="00590CAE">
      <w:r>
        <w:t>БЛАГОДАРНОСТИ И ФИНАНСИРАНЕ</w:t>
      </w:r>
    </w:p>
    <w:p w:rsidR="00590CAE" w:rsidRDefault="00590CAE" w:rsidP="00590CAE">
      <w:proofErr w:type="spellStart"/>
      <w:proofErr w:type="gramStart"/>
      <w:r>
        <w:t>Не</w:t>
      </w:r>
      <w:proofErr w:type="spellEnd"/>
      <w:r>
        <w:t xml:space="preserve"> </w:t>
      </w:r>
      <w:proofErr w:type="spellStart"/>
      <w:r>
        <w:t>се</w:t>
      </w:r>
      <w:proofErr w:type="spellEnd"/>
      <w:r>
        <w:t xml:space="preserve"> </w:t>
      </w:r>
      <w:proofErr w:type="spellStart"/>
      <w:r>
        <w:t>прилагат</w:t>
      </w:r>
      <w:proofErr w:type="spellEnd"/>
      <w:r>
        <w:t>.</w:t>
      </w:r>
      <w:proofErr w:type="gramEnd"/>
    </w:p>
    <w:p w:rsidR="00590CAE" w:rsidRDefault="00590CAE" w:rsidP="00590CAE"/>
    <w:p w:rsidR="00590CAE" w:rsidRDefault="00590CAE" w:rsidP="00590CAE">
      <w:r>
        <w:t>БЕЛЕЖКИ</w:t>
      </w:r>
    </w:p>
    <w:p w:rsidR="00590CAE" w:rsidRDefault="00590CAE" w:rsidP="00590CAE">
      <w:r>
        <w:t xml:space="preserve">[1] EUROPEAN COMMISSION; HIGH REPRESENTATIVE OF THE UNION FOR FOREIGN AFFAIRS AND SECURITY POLICY. </w:t>
      </w:r>
      <w:proofErr w:type="gramStart"/>
      <w:r>
        <w:t>The European Union's strategic approach to the Black Sea region.</w:t>
      </w:r>
      <w:proofErr w:type="gramEnd"/>
      <w:r>
        <w:t xml:space="preserve"> Joint Communication </w:t>
      </w:r>
      <w:proofErr w:type="gramStart"/>
      <w:r>
        <w:t>JOIN(</w:t>
      </w:r>
      <w:proofErr w:type="gramEnd"/>
      <w:r>
        <w:t>2025) 135 final. Brussels, 28 May 2025.</w:t>
      </w:r>
    </w:p>
    <w:p w:rsidR="00590CAE" w:rsidRDefault="00590CAE" w:rsidP="00590CAE">
      <w:r>
        <w:t xml:space="preserve">[2] NATO. </w:t>
      </w:r>
      <w:proofErr w:type="gramStart"/>
      <w:r>
        <w:t>Washington Summit Declaration.</w:t>
      </w:r>
      <w:proofErr w:type="gramEnd"/>
      <w:r>
        <w:t xml:space="preserve"> Washington, 10 July 2024.</w:t>
      </w:r>
    </w:p>
    <w:p w:rsidR="00590CAE" w:rsidRDefault="00590CAE" w:rsidP="00590CAE">
      <w:r>
        <w:t xml:space="preserve">[3] SABANADZE, Natalie; DALAY, </w:t>
      </w:r>
      <w:proofErr w:type="spellStart"/>
      <w:r>
        <w:t>Galip</w:t>
      </w:r>
      <w:proofErr w:type="spellEnd"/>
      <w:r>
        <w:t xml:space="preserve">. </w:t>
      </w:r>
      <w:proofErr w:type="gramStart"/>
      <w:r>
        <w:t>Understanding Russia's Black Sea strategy: How to strengthen Europe and NATO's approach to the region.</w:t>
      </w:r>
      <w:proofErr w:type="gramEnd"/>
      <w:r>
        <w:t xml:space="preserve"> London: Chatham House, 28 July 2025.</w:t>
      </w:r>
    </w:p>
    <w:p w:rsidR="00590CAE" w:rsidRDefault="00590CAE" w:rsidP="00590CAE">
      <w:r>
        <w:t xml:space="preserve">[4] NATO. </w:t>
      </w:r>
      <w:proofErr w:type="gramStart"/>
      <w:r>
        <w:t>Washington Summit Declaration.</w:t>
      </w:r>
      <w:proofErr w:type="gramEnd"/>
      <w:r>
        <w:t xml:space="preserve"> Washington, 10 July 2024.</w:t>
      </w:r>
    </w:p>
    <w:p w:rsidR="00590CAE" w:rsidRDefault="00590CAE" w:rsidP="00590CAE">
      <w:r>
        <w:lastRenderedPageBreak/>
        <w:t xml:space="preserve">[5] SABANADZE, Natalie; DALAY, </w:t>
      </w:r>
      <w:proofErr w:type="spellStart"/>
      <w:r>
        <w:t>Galip</w:t>
      </w:r>
      <w:proofErr w:type="spellEnd"/>
      <w:r>
        <w:t xml:space="preserve">. </w:t>
      </w:r>
      <w:proofErr w:type="gramStart"/>
      <w:r>
        <w:t>Understanding Russia's Black Sea strategy: How to strengthen Europe and NATO's approach to the region.</w:t>
      </w:r>
      <w:proofErr w:type="gramEnd"/>
      <w:r>
        <w:t xml:space="preserve"> London: Chatham House, 28 July 2025.</w:t>
      </w:r>
    </w:p>
    <w:p w:rsidR="00590CAE" w:rsidRDefault="00590CAE" w:rsidP="00590CAE">
      <w:r>
        <w:t xml:space="preserve">[6] AYDIN, Mustafa; AYDINTAŞBAŞ, </w:t>
      </w:r>
      <w:proofErr w:type="spellStart"/>
      <w:r>
        <w:t>Aslı</w:t>
      </w:r>
      <w:proofErr w:type="spellEnd"/>
      <w:r>
        <w:t xml:space="preserve">. Bridging the </w:t>
      </w:r>
      <w:proofErr w:type="spellStart"/>
      <w:r>
        <w:t>Bosphorus</w:t>
      </w:r>
      <w:proofErr w:type="spellEnd"/>
      <w:r>
        <w:t>: How Europe and Turkey can turn tiffs into tactics in the Black Sea. European Council on Foreign Relations, 18 March 2025.</w:t>
      </w:r>
    </w:p>
    <w:p w:rsidR="00590CAE" w:rsidRDefault="00590CAE" w:rsidP="00590CAE">
      <w:r>
        <w:t xml:space="preserve">[7] NATO. </w:t>
      </w:r>
      <w:proofErr w:type="gramStart"/>
      <w:r>
        <w:t>Alliance Maritime Strategy.</w:t>
      </w:r>
      <w:proofErr w:type="gramEnd"/>
      <w:r>
        <w:t xml:space="preserve"> 29 October 2025.</w:t>
      </w:r>
    </w:p>
    <w:p w:rsidR="00590CAE" w:rsidRDefault="00590CAE" w:rsidP="00590CAE">
      <w:r>
        <w:t xml:space="preserve">[8] МИНИСТЕРСТВО НА ОТБРАНАТА НА РЕПУБЛИКА БЪЛГАРИЯ. </w:t>
      </w:r>
      <w:proofErr w:type="spellStart"/>
      <w:proofErr w:type="gramStart"/>
      <w:r>
        <w:t>България</w:t>
      </w:r>
      <w:proofErr w:type="spellEnd"/>
      <w:r>
        <w:t xml:space="preserve"> </w:t>
      </w:r>
      <w:proofErr w:type="spellStart"/>
      <w:r>
        <w:t>поема</w:t>
      </w:r>
      <w:proofErr w:type="spellEnd"/>
      <w:r>
        <w:t xml:space="preserve"> </w:t>
      </w:r>
      <w:proofErr w:type="spellStart"/>
      <w:r>
        <w:t>командването</w:t>
      </w:r>
      <w:proofErr w:type="spellEnd"/>
      <w:r>
        <w:t xml:space="preserve"> </w:t>
      </w:r>
      <w:proofErr w:type="spellStart"/>
      <w:r>
        <w:t>на</w:t>
      </w:r>
      <w:proofErr w:type="spellEnd"/>
      <w:r>
        <w:t xml:space="preserve"> </w:t>
      </w:r>
      <w:proofErr w:type="spellStart"/>
      <w:r>
        <w:t>Противоминната</w:t>
      </w:r>
      <w:proofErr w:type="spellEnd"/>
      <w:r>
        <w:t xml:space="preserve"> </w:t>
      </w:r>
      <w:proofErr w:type="spellStart"/>
      <w:r>
        <w:t>военноморска</w:t>
      </w:r>
      <w:proofErr w:type="spellEnd"/>
      <w:r>
        <w:t xml:space="preserve"> </w:t>
      </w:r>
      <w:proofErr w:type="spellStart"/>
      <w:r>
        <w:t>група</w:t>
      </w:r>
      <w:proofErr w:type="spellEnd"/>
      <w:r>
        <w:t xml:space="preserve"> в </w:t>
      </w:r>
      <w:proofErr w:type="spellStart"/>
      <w:r>
        <w:t>Черно</w:t>
      </w:r>
      <w:proofErr w:type="spellEnd"/>
      <w:r>
        <w:t xml:space="preserve"> </w:t>
      </w:r>
      <w:proofErr w:type="spellStart"/>
      <w:r>
        <w:t>море</w:t>
      </w:r>
      <w:proofErr w:type="spellEnd"/>
      <w:r>
        <w:t>.</w:t>
      </w:r>
      <w:proofErr w:type="gramEnd"/>
      <w:r>
        <w:t xml:space="preserve"> </w:t>
      </w:r>
      <w:proofErr w:type="gramStart"/>
      <w:r>
        <w:t>10.07.2026 г.</w:t>
      </w:r>
      <w:proofErr w:type="gramEnd"/>
    </w:p>
    <w:p w:rsidR="00590CAE" w:rsidRDefault="00590CAE" w:rsidP="00590CAE">
      <w:r>
        <w:t xml:space="preserve">[9] MITRESCU, </w:t>
      </w:r>
      <w:proofErr w:type="spellStart"/>
      <w:r>
        <w:t>Sergiu</w:t>
      </w:r>
      <w:proofErr w:type="spellEnd"/>
      <w:r>
        <w:t xml:space="preserve">; SOKOLOV, Martin. In the Crosshairs: Hybrid Threats and the Challenge to Maritime Infrastructure. In: SCUTARU, George; MARGVELASHVILI, </w:t>
      </w:r>
      <w:proofErr w:type="spellStart"/>
      <w:r>
        <w:t>Murman</w:t>
      </w:r>
      <w:proofErr w:type="spellEnd"/>
      <w:r>
        <w:t xml:space="preserve"> (</w:t>
      </w:r>
      <w:proofErr w:type="gramStart"/>
      <w:r>
        <w:t>eds</w:t>
      </w:r>
      <w:proofErr w:type="gramEnd"/>
      <w:r>
        <w:t xml:space="preserve">.). </w:t>
      </w:r>
      <w:proofErr w:type="gramStart"/>
      <w:r>
        <w:t>Defending Maritime Assets: Approaches to Critical Infrastructure Protection, pp. 65–90.</w:t>
      </w:r>
      <w:proofErr w:type="gramEnd"/>
      <w:r>
        <w:t xml:space="preserve"> </w:t>
      </w:r>
      <w:proofErr w:type="gramStart"/>
      <w:r>
        <w:t>Springer, 2025.</w:t>
      </w:r>
      <w:proofErr w:type="gramEnd"/>
      <w:r>
        <w:t xml:space="preserve"> </w:t>
      </w:r>
      <w:proofErr w:type="gramStart"/>
      <w:r>
        <w:t>DOI 10.1007/978-94-024-2300-6_6.</w:t>
      </w:r>
      <w:proofErr w:type="gramEnd"/>
    </w:p>
    <w:p w:rsidR="00590CAE" w:rsidRDefault="00590CAE" w:rsidP="00590CAE">
      <w:r>
        <w:t xml:space="preserve">[10] EUROPEAN COMMISSION; HIGH REPRESENTATIVE OF THE UNION FOR FOREIGN AFFAIRS AND SECURITY POLICY. </w:t>
      </w:r>
      <w:proofErr w:type="gramStart"/>
      <w:r>
        <w:t>The European Union's strategic approach to the Black Sea region.</w:t>
      </w:r>
      <w:proofErr w:type="gramEnd"/>
      <w:r>
        <w:t xml:space="preserve"> Joint Communication </w:t>
      </w:r>
      <w:proofErr w:type="gramStart"/>
      <w:r>
        <w:t>JOIN(</w:t>
      </w:r>
      <w:proofErr w:type="gramEnd"/>
      <w:r>
        <w:t>2025) 135 final. Brussels, 28 May 2025.</w:t>
      </w:r>
    </w:p>
    <w:p w:rsidR="00590CAE" w:rsidRDefault="00590CAE" w:rsidP="00590CAE">
      <w:r>
        <w:t xml:space="preserve">[11] EUROPEAN COMMISSION; HIGH REPRESENTATIVE OF THE UNION FOR FOREIGN AFFAIRS AND SECURITY POLICY. </w:t>
      </w:r>
      <w:proofErr w:type="gramStart"/>
      <w:r>
        <w:t>The European Union's strategic approach to the Black Sea region.</w:t>
      </w:r>
      <w:proofErr w:type="gramEnd"/>
      <w:r>
        <w:t xml:space="preserve"> Joint Communication </w:t>
      </w:r>
      <w:proofErr w:type="gramStart"/>
      <w:r>
        <w:t>JOIN(</w:t>
      </w:r>
      <w:proofErr w:type="gramEnd"/>
      <w:r>
        <w:t>2025) 135 final. Brussels, 28 May 2025.</w:t>
      </w:r>
    </w:p>
    <w:p w:rsidR="00590CAE" w:rsidRDefault="00590CAE" w:rsidP="00590CAE">
      <w:r>
        <w:t xml:space="preserve">[12] МИНИСТЕРСКИ СЪВЕТ; МИНИСТЕРСТВО НА ОТБРАНАТА НА РЕПУБЛИКА БЪЛГАРИЯ. </w:t>
      </w:r>
      <w:proofErr w:type="spellStart"/>
      <w:proofErr w:type="gramStart"/>
      <w:r>
        <w:t>Национална</w:t>
      </w:r>
      <w:proofErr w:type="spellEnd"/>
      <w:r>
        <w:t xml:space="preserve"> </w:t>
      </w:r>
      <w:proofErr w:type="spellStart"/>
      <w:r>
        <w:t>отбранителна</w:t>
      </w:r>
      <w:proofErr w:type="spellEnd"/>
      <w:r>
        <w:t xml:space="preserve"> </w:t>
      </w:r>
      <w:proofErr w:type="spellStart"/>
      <w:r>
        <w:t>стратегия</w:t>
      </w:r>
      <w:proofErr w:type="spellEnd"/>
      <w:r>
        <w:t>.</w:t>
      </w:r>
      <w:proofErr w:type="gramEnd"/>
      <w:r>
        <w:t xml:space="preserve"> </w:t>
      </w:r>
      <w:proofErr w:type="spellStart"/>
      <w:proofErr w:type="gramStart"/>
      <w:r>
        <w:t>София</w:t>
      </w:r>
      <w:proofErr w:type="spellEnd"/>
      <w:r>
        <w:t>, 2025.</w:t>
      </w:r>
      <w:proofErr w:type="gramEnd"/>
      <w:r>
        <w:t xml:space="preserve"> </w:t>
      </w:r>
      <w:proofErr w:type="spellStart"/>
      <w:proofErr w:type="gramStart"/>
      <w:r>
        <w:t>Приета</w:t>
      </w:r>
      <w:proofErr w:type="spellEnd"/>
      <w:r>
        <w:t xml:space="preserve"> с </w:t>
      </w:r>
      <w:proofErr w:type="spellStart"/>
      <w:r>
        <w:t>Решение</w:t>
      </w:r>
      <w:proofErr w:type="spellEnd"/>
      <w:r>
        <w:t xml:space="preserve"> № 131 </w:t>
      </w:r>
      <w:proofErr w:type="spellStart"/>
      <w:r>
        <w:t>на</w:t>
      </w:r>
      <w:proofErr w:type="spellEnd"/>
      <w:r>
        <w:t xml:space="preserve"> </w:t>
      </w:r>
      <w:proofErr w:type="spellStart"/>
      <w:r>
        <w:t>Министерския</w:t>
      </w:r>
      <w:proofErr w:type="spellEnd"/>
      <w:r>
        <w:t xml:space="preserve"> </w:t>
      </w:r>
      <w:proofErr w:type="spellStart"/>
      <w:r>
        <w:t>съвет</w:t>
      </w:r>
      <w:proofErr w:type="spellEnd"/>
      <w:r>
        <w:t xml:space="preserve"> </w:t>
      </w:r>
      <w:proofErr w:type="spellStart"/>
      <w:r>
        <w:t>от</w:t>
      </w:r>
      <w:proofErr w:type="spellEnd"/>
      <w:r>
        <w:t xml:space="preserve"> 06.03.2025 г.</w:t>
      </w:r>
      <w:proofErr w:type="gramEnd"/>
    </w:p>
    <w:p w:rsidR="00590CAE" w:rsidRDefault="00590CAE" w:rsidP="00590CAE">
      <w:r>
        <w:t xml:space="preserve">[13] NATO. </w:t>
      </w:r>
      <w:proofErr w:type="gramStart"/>
      <w:r>
        <w:t>Strengthening NATO's eastern flank.</w:t>
      </w:r>
      <w:proofErr w:type="gramEnd"/>
      <w:r>
        <w:t xml:space="preserve"> </w:t>
      </w:r>
      <w:proofErr w:type="spellStart"/>
      <w:proofErr w:type="gramStart"/>
      <w:r>
        <w:t>Данни</w:t>
      </w:r>
      <w:proofErr w:type="spellEnd"/>
      <w:r>
        <w:t xml:space="preserve"> </w:t>
      </w:r>
      <w:proofErr w:type="spellStart"/>
      <w:r>
        <w:t>за</w:t>
      </w:r>
      <w:proofErr w:type="spellEnd"/>
      <w:r>
        <w:t xml:space="preserve"> </w:t>
      </w:r>
      <w:proofErr w:type="spellStart"/>
      <w:r>
        <w:t>многонационалните</w:t>
      </w:r>
      <w:proofErr w:type="spellEnd"/>
      <w:r>
        <w:t xml:space="preserve"> </w:t>
      </w:r>
      <w:proofErr w:type="spellStart"/>
      <w:r>
        <w:t>бойни</w:t>
      </w:r>
      <w:proofErr w:type="spellEnd"/>
      <w:r>
        <w:t xml:space="preserve"> </w:t>
      </w:r>
      <w:proofErr w:type="spellStart"/>
      <w:r>
        <w:t>групи</w:t>
      </w:r>
      <w:proofErr w:type="spellEnd"/>
      <w:r>
        <w:t xml:space="preserve"> </w:t>
      </w:r>
      <w:proofErr w:type="spellStart"/>
      <w:r>
        <w:t>към</w:t>
      </w:r>
      <w:proofErr w:type="spellEnd"/>
      <w:r>
        <w:t xml:space="preserve"> </w:t>
      </w:r>
      <w:proofErr w:type="spellStart"/>
      <w:r>
        <w:t>юни</w:t>
      </w:r>
      <w:proofErr w:type="spellEnd"/>
      <w:r>
        <w:t xml:space="preserve"> 2026 г.</w:t>
      </w:r>
      <w:proofErr w:type="gramEnd"/>
    </w:p>
    <w:p w:rsidR="00590CAE" w:rsidRDefault="00590CAE" w:rsidP="00590CAE">
      <w:r>
        <w:t xml:space="preserve">[14] МИНИСТЕРСТВО НА ОТБРАНАТА НА РЕПУБЛИКА БЪЛГАРИЯ. </w:t>
      </w:r>
      <w:proofErr w:type="spellStart"/>
      <w:proofErr w:type="gramStart"/>
      <w:r>
        <w:t>България</w:t>
      </w:r>
      <w:proofErr w:type="spellEnd"/>
      <w:r>
        <w:t xml:space="preserve"> </w:t>
      </w:r>
      <w:proofErr w:type="spellStart"/>
      <w:r>
        <w:t>поема</w:t>
      </w:r>
      <w:proofErr w:type="spellEnd"/>
      <w:r>
        <w:t xml:space="preserve"> </w:t>
      </w:r>
      <w:proofErr w:type="spellStart"/>
      <w:r>
        <w:t>командването</w:t>
      </w:r>
      <w:proofErr w:type="spellEnd"/>
      <w:r>
        <w:t xml:space="preserve"> </w:t>
      </w:r>
      <w:proofErr w:type="spellStart"/>
      <w:r>
        <w:t>на</w:t>
      </w:r>
      <w:proofErr w:type="spellEnd"/>
      <w:r>
        <w:t xml:space="preserve"> </w:t>
      </w:r>
      <w:proofErr w:type="spellStart"/>
      <w:r>
        <w:t>Противоминната</w:t>
      </w:r>
      <w:proofErr w:type="spellEnd"/>
      <w:r>
        <w:t xml:space="preserve"> </w:t>
      </w:r>
      <w:proofErr w:type="spellStart"/>
      <w:r>
        <w:t>военноморска</w:t>
      </w:r>
      <w:proofErr w:type="spellEnd"/>
      <w:r>
        <w:t xml:space="preserve"> </w:t>
      </w:r>
      <w:proofErr w:type="spellStart"/>
      <w:r>
        <w:t>група</w:t>
      </w:r>
      <w:proofErr w:type="spellEnd"/>
      <w:r>
        <w:t xml:space="preserve"> в </w:t>
      </w:r>
      <w:proofErr w:type="spellStart"/>
      <w:r>
        <w:t>Черно</w:t>
      </w:r>
      <w:proofErr w:type="spellEnd"/>
      <w:r>
        <w:t xml:space="preserve"> </w:t>
      </w:r>
      <w:proofErr w:type="spellStart"/>
      <w:r>
        <w:t>море</w:t>
      </w:r>
      <w:proofErr w:type="spellEnd"/>
      <w:r>
        <w:t>.</w:t>
      </w:r>
      <w:proofErr w:type="gramEnd"/>
      <w:r>
        <w:t xml:space="preserve"> </w:t>
      </w:r>
      <w:proofErr w:type="gramStart"/>
      <w:r>
        <w:t>10.07.2026 г.</w:t>
      </w:r>
      <w:proofErr w:type="gramEnd"/>
    </w:p>
    <w:p w:rsidR="00590CAE" w:rsidRDefault="00590CAE" w:rsidP="00590CAE">
      <w:r>
        <w:t>[15] COUNCIL OF THE EUROPEAN UNION. Foreign Affairs Council, 15 June 2026. Romania and Bulgaria briefed Member States on the Black Sea Maritime Security Hub.</w:t>
      </w:r>
    </w:p>
    <w:p w:rsidR="00590CAE" w:rsidRDefault="00590CAE" w:rsidP="00590CAE">
      <w:r>
        <w:t xml:space="preserve">[16] МИНИСТЕРСКИ СЪВЕТ; МИНИСТЕРСТВО НА ОТБРАНАТА НА РЕПУБЛИКА БЪЛГАРИЯ. </w:t>
      </w:r>
      <w:proofErr w:type="spellStart"/>
      <w:proofErr w:type="gramStart"/>
      <w:r>
        <w:t>Национална</w:t>
      </w:r>
      <w:proofErr w:type="spellEnd"/>
      <w:r>
        <w:t xml:space="preserve"> </w:t>
      </w:r>
      <w:proofErr w:type="spellStart"/>
      <w:r>
        <w:t>отбранителна</w:t>
      </w:r>
      <w:proofErr w:type="spellEnd"/>
      <w:r>
        <w:t xml:space="preserve"> </w:t>
      </w:r>
      <w:proofErr w:type="spellStart"/>
      <w:r>
        <w:t>стратегия</w:t>
      </w:r>
      <w:proofErr w:type="spellEnd"/>
      <w:r>
        <w:t>.</w:t>
      </w:r>
      <w:proofErr w:type="gramEnd"/>
      <w:r>
        <w:t xml:space="preserve"> </w:t>
      </w:r>
      <w:proofErr w:type="spellStart"/>
      <w:proofErr w:type="gramStart"/>
      <w:r>
        <w:t>София</w:t>
      </w:r>
      <w:proofErr w:type="spellEnd"/>
      <w:r>
        <w:t>, 2025.</w:t>
      </w:r>
      <w:proofErr w:type="gramEnd"/>
      <w:r>
        <w:t xml:space="preserve"> </w:t>
      </w:r>
      <w:proofErr w:type="spellStart"/>
      <w:proofErr w:type="gramStart"/>
      <w:r>
        <w:t>Приета</w:t>
      </w:r>
      <w:proofErr w:type="spellEnd"/>
      <w:r>
        <w:t xml:space="preserve"> с </w:t>
      </w:r>
      <w:proofErr w:type="spellStart"/>
      <w:r>
        <w:t>Решение</w:t>
      </w:r>
      <w:proofErr w:type="spellEnd"/>
      <w:r>
        <w:t xml:space="preserve"> № 131 </w:t>
      </w:r>
      <w:proofErr w:type="spellStart"/>
      <w:r>
        <w:t>на</w:t>
      </w:r>
      <w:proofErr w:type="spellEnd"/>
      <w:r>
        <w:t xml:space="preserve"> </w:t>
      </w:r>
      <w:proofErr w:type="spellStart"/>
      <w:r>
        <w:t>Министерския</w:t>
      </w:r>
      <w:proofErr w:type="spellEnd"/>
      <w:r>
        <w:t xml:space="preserve"> </w:t>
      </w:r>
      <w:proofErr w:type="spellStart"/>
      <w:r>
        <w:t>съвет</w:t>
      </w:r>
      <w:proofErr w:type="spellEnd"/>
      <w:r>
        <w:t xml:space="preserve"> </w:t>
      </w:r>
      <w:proofErr w:type="spellStart"/>
      <w:r>
        <w:t>от</w:t>
      </w:r>
      <w:proofErr w:type="spellEnd"/>
      <w:r>
        <w:t xml:space="preserve"> 06.03.2025 г.</w:t>
      </w:r>
      <w:proofErr w:type="gramEnd"/>
    </w:p>
    <w:p w:rsidR="00590CAE" w:rsidRDefault="00590CAE" w:rsidP="00590CAE">
      <w:pPr>
        <w:rPr>
          <w:lang w:val="bg-BG"/>
        </w:rPr>
      </w:pPr>
      <w:r>
        <w:t xml:space="preserve">[17] NATO. </w:t>
      </w:r>
      <w:proofErr w:type="gramStart"/>
      <w:r>
        <w:t>NATO's presence in Bulgaria.</w:t>
      </w:r>
      <w:proofErr w:type="gramEnd"/>
      <w:r>
        <w:t xml:space="preserve"> 24 November 2025.</w:t>
      </w:r>
    </w:p>
    <w:p w:rsidR="00590CAE" w:rsidRPr="00590CAE" w:rsidRDefault="00590CAE" w:rsidP="00590CAE">
      <w:pPr>
        <w:rPr>
          <w:lang w:val="bg-BG"/>
        </w:rPr>
      </w:pPr>
    </w:p>
    <w:p w:rsidR="00B1096D" w:rsidRDefault="00590CAE">
      <w:r>
        <w:rPr>
          <w:rFonts w:eastAsia="Times New Roman" w:cs="Times New Roman"/>
          <w:b/>
        </w:rPr>
        <w:t>ИЗПОЛЗВАНИ ИЗТОЧНИЦИ</w:t>
      </w:r>
    </w:p>
    <w:p w:rsidR="00B1096D" w:rsidRPr="00590CAE" w:rsidRDefault="00590CAE">
      <w:pPr>
        <w:rPr>
          <w:lang w:val="bg-BG"/>
        </w:rPr>
      </w:pPr>
      <w:r>
        <w:rPr>
          <w:rFonts w:eastAsia="Times New Roman" w:cs="Times New Roman"/>
        </w:rPr>
        <w:t xml:space="preserve">1. МИНИСТЕРСКИ СЪВЕТ; МИНИСТЕРСТВО НА ОТБРАНАТА НА РЕПУБЛИКА БЪЛГАРИЯ. Национална отбранителна стратегия. Онлайн. София, 2025. Приета с Решение № 131 на Министерския съвет от 06.03.2025 г. Наличен на: </w:t>
      </w:r>
      <w:r>
        <w:rPr>
          <w:rFonts w:eastAsia="Times New Roman" w:cs="Times New Roman"/>
        </w:rPr>
        <w:lastRenderedPageBreak/>
        <w:t xml:space="preserve">https://www.mod.bg/doc/strategicheski/20250324_Natsioanalna_otbranitelna_strategia_RMS_131_06.03.2025.pdf. </w:t>
      </w:r>
    </w:p>
    <w:p w:rsidR="00B1096D" w:rsidRPr="00590CAE" w:rsidRDefault="00590CAE">
      <w:pPr>
        <w:rPr>
          <w:lang w:val="bg-BG"/>
        </w:rPr>
      </w:pPr>
      <w:r>
        <w:rPr>
          <w:rFonts w:eastAsia="Times New Roman" w:cs="Times New Roman"/>
        </w:rPr>
        <w:t xml:space="preserve">2. МИНИСТЕРСТВО НА ОТБРАНАТА НА РЕПУБЛИКА БЪЛГАРИЯ. България поема командването на Противоминната военноморска група в Черно море. Онлайн. 10.07.2026 г. Наличен на: https://www.mod.bg/news9438. </w:t>
      </w:r>
    </w:p>
    <w:p w:rsidR="00B1096D" w:rsidRPr="00590CAE" w:rsidRDefault="00590CAE">
      <w:pPr>
        <w:rPr>
          <w:lang w:val="bg-BG"/>
        </w:rPr>
      </w:pPr>
      <w:r>
        <w:rPr>
          <w:rFonts w:eastAsia="Times New Roman" w:cs="Times New Roman"/>
        </w:rPr>
        <w:t xml:space="preserve">3. AYDIN, Mustafa; AYDINTAŞBAŞ, Aslı. Bridging the Bosphorus: How Europe and Turkey can turn tiffs into tactics in the Black Sea. Online. European Council on Foreign Relations. 18 March 2025. Available from: https://ecfr.eu/publication/bridging-the-bosphorus-how-europe-and-turkey-can-turn-tiffs-into-tactics-in-the-black-sea/. </w:t>
      </w:r>
    </w:p>
    <w:p w:rsidR="00B1096D" w:rsidRPr="00590CAE" w:rsidRDefault="00590CAE">
      <w:pPr>
        <w:rPr>
          <w:lang w:val="bg-BG"/>
        </w:rPr>
      </w:pPr>
      <w:r>
        <w:rPr>
          <w:rFonts w:eastAsia="Times New Roman" w:cs="Times New Roman"/>
        </w:rPr>
        <w:t xml:space="preserve">4. COUNCIL OF THE EUROPEAN UNION. Foreign Affairs Council, 15 June 2026. Online. Available from: https://www.consilium.europa.eu/en/meetings/fac/2026/06/15/. </w:t>
      </w:r>
    </w:p>
    <w:p w:rsidR="00B1096D" w:rsidRPr="00590CAE" w:rsidRDefault="00590CAE">
      <w:pPr>
        <w:rPr>
          <w:lang w:val="bg-BG"/>
        </w:rPr>
      </w:pPr>
      <w:r>
        <w:rPr>
          <w:rFonts w:eastAsia="Times New Roman" w:cs="Times New Roman"/>
        </w:rPr>
        <w:t xml:space="preserve">5. EUROPEAN COMMISSION; HIGH REPRESENTATIVE OF THE UNION FOR FOREIGN AFFAIRS AND SECURITY POLICY. The European Union's strategic approach to the Black Sea region. Online. Joint Communication JOIN(2025) 135 final. Brussels, 28 May 2025. Available from: https://eur-lex.europa.eu/legal-content/EN/TXT/?uri=CELEX:52025JC0135. </w:t>
      </w:r>
    </w:p>
    <w:p w:rsidR="00B1096D" w:rsidRDefault="00590CAE">
      <w:r>
        <w:rPr>
          <w:rFonts w:eastAsia="Times New Roman" w:cs="Times New Roman"/>
        </w:rPr>
        <w:t>6. MITRESCU, Sergiu; SOKOLOV, Martin. In the Crosshairs: Hybrid Threats and the Challenge to Maritime Infrastructure. In: SCUTARU, George; MARGVELASHVILI, Murman (eds.). Defending Maritime Assets: Approaches to Critical Infrastructure Protection, pp. 65–90. Springer, 2025. DOI 10.1007/978-94-024-2300-6_6.</w:t>
      </w:r>
    </w:p>
    <w:p w:rsidR="00B1096D" w:rsidRPr="00590CAE" w:rsidRDefault="00590CAE">
      <w:pPr>
        <w:rPr>
          <w:lang w:val="bg-BG"/>
        </w:rPr>
      </w:pPr>
      <w:r>
        <w:rPr>
          <w:rFonts w:eastAsia="Times New Roman" w:cs="Times New Roman"/>
        </w:rPr>
        <w:t xml:space="preserve">7. NATO. Alliance Maritime Strategy. Online. 29 October 2025. Available from: https://www.nato.int/en/about-us/official-texts-and-resources/official-texts/2025/10/29/alliance-maritime-strategy. </w:t>
      </w:r>
    </w:p>
    <w:p w:rsidR="00B1096D" w:rsidRPr="00590CAE" w:rsidRDefault="00590CAE">
      <w:pPr>
        <w:rPr>
          <w:lang w:val="bg-BG"/>
        </w:rPr>
      </w:pPr>
      <w:r>
        <w:rPr>
          <w:rFonts w:eastAsia="Times New Roman" w:cs="Times New Roman"/>
        </w:rPr>
        <w:t xml:space="preserve">8. NATO. NATO's presence in Bulgaria. Online. 24 November 2025. Available from: https://www.nato.int/en/multimedia/multimedia/videos/2025/11/24/natos-presence-in-bulgaria. </w:t>
      </w:r>
    </w:p>
    <w:p w:rsidR="00B1096D" w:rsidRPr="00590CAE" w:rsidRDefault="00590CAE">
      <w:pPr>
        <w:rPr>
          <w:lang w:val="bg-BG"/>
        </w:rPr>
      </w:pPr>
      <w:r>
        <w:rPr>
          <w:rFonts w:eastAsia="Times New Roman" w:cs="Times New Roman"/>
        </w:rPr>
        <w:t xml:space="preserve">9. NATO. Strengthening NATO's eastern flank. Online. Updated 2026. Available from: https://www.nato.int/en/what-we-do/deterrence-and-defence/strengthening-natos-eastern-flank. </w:t>
      </w:r>
    </w:p>
    <w:p w:rsidR="00B1096D" w:rsidRPr="00590CAE" w:rsidRDefault="00590CAE">
      <w:pPr>
        <w:rPr>
          <w:lang w:val="bg-BG"/>
        </w:rPr>
      </w:pPr>
      <w:r>
        <w:rPr>
          <w:rFonts w:eastAsia="Times New Roman" w:cs="Times New Roman"/>
        </w:rPr>
        <w:t xml:space="preserve">10. NATO. Washington Summit Declaration. Online. Washington, 10 July 2024. Available from: https://www.nato.int/cps/en/natohq/official_texts_227678.htm. </w:t>
      </w:r>
    </w:p>
    <w:p w:rsidR="00B1096D" w:rsidRPr="00590CAE" w:rsidRDefault="00590CAE">
      <w:pPr>
        <w:rPr>
          <w:lang w:val="bg-BG"/>
        </w:rPr>
      </w:pPr>
      <w:r>
        <w:rPr>
          <w:rFonts w:eastAsia="Times New Roman" w:cs="Times New Roman"/>
        </w:rPr>
        <w:t xml:space="preserve">11. SABANADZE, Natalie; DALAY, Galip. Understanding Russia's Black Sea strategy: How to strengthen Europe and NATO's approach to the region. Online. London: Chatham House, 28 July 2025. ISBN 978-1-78413-654-3. Available from: https://www.chathamhouse.org/2025/07/understanding-russias-black-sea-strategy. </w:t>
      </w:r>
    </w:p>
    <w:p w:rsidR="00B1096D" w:rsidRDefault="00B1096D"/>
    <w:p w:rsidR="00B1096D" w:rsidRDefault="00590CAE">
      <w:pPr>
        <w:jc w:val="both"/>
      </w:pPr>
      <w:r>
        <w:rPr>
          <w:rFonts w:eastAsia="Times New Roman" w:cs="Times New Roman"/>
          <w:i/>
          <w:sz w:val="24"/>
        </w:rPr>
        <w:t>Адрес за кореспонденция: Анелия Илиева Симеонова, курсант, Национален военен университет „Васил Левски“, 5000 Велико Търново, бул. „България“ № 76; тел.: +359 62 618822 (централа); e-mail: nvu@nvu.bg.</w:t>
      </w:r>
    </w:p>
    <w:sectPr w:rsidR="00B1096D" w:rsidSect="00034616">
      <w:footerReference w:type="default" r:id="rId9"/>
      <w:pgSz w:w="11906" w:h="16838"/>
      <w:pgMar w:top="1134" w:right="1134" w:bottom="850" w:left="1701"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245C" w:rsidRDefault="00590CAE">
      <w:r>
        <w:separator/>
      </w:r>
    </w:p>
  </w:endnote>
  <w:endnote w:type="continuationSeparator" w:id="0">
    <w:p w:rsidR="0015245C" w:rsidRDefault="00590C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096D" w:rsidRDefault="00B109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245C" w:rsidRDefault="00590CAE">
      <w:r>
        <w:separator/>
      </w:r>
    </w:p>
  </w:footnote>
  <w:footnote w:type="continuationSeparator" w:id="0">
    <w:p w:rsidR="0015245C" w:rsidRDefault="00590CA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5245C"/>
    <w:rsid w:val="0029639D"/>
    <w:rsid w:val="00326F90"/>
    <w:rsid w:val="00590CAE"/>
    <w:rsid w:val="00966967"/>
    <w:rsid w:val="00AA1D8D"/>
    <w:rsid w:val="00B1096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sz w:val="28"/>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sz w:val="28"/>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4F6ABB-FCD8-42B8-92B0-DA4E2BA46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3047</Words>
  <Characters>17373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Геополитическо значение на Черноморския регион в съвременната среда за сигурност</vt:lpstr>
    </vt:vector>
  </TitlesOfParts>
  <Company>HP</Company>
  <LinksUpToDate>false</LinksUpToDate>
  <CharactersWithSpaces>20380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Геополитическо значение на Черноморския регион в съвременната среда за сигурност</dc:title>
  <dc:subject>Научен доклад</dc:subject>
  <dc:creator>Анелия Симеонова</dc:creator>
  <cp:keywords>Черноморски регион; геополитика; сигурност; отбрана; морска сигурност</cp:keywords>
  <dc:description>generated by python-docx</dc:description>
  <cp:lastModifiedBy>Aneliya Simeonowa</cp:lastModifiedBy>
  <cp:revision>3</cp:revision>
  <dcterms:created xsi:type="dcterms:W3CDTF">2026-09-06T09:32:00Z</dcterms:created>
  <dcterms:modified xsi:type="dcterms:W3CDTF">2026-09-06T09:42:00Z</dcterms:modified>
</cp:coreProperties>
</file>