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D82F09" w14:textId="77777777" w:rsidR="00124D2A" w:rsidRPr="00FB5EFA" w:rsidRDefault="00000000">
      <w:pPr>
        <w:jc w:val="center"/>
      </w:pPr>
      <w:r w:rsidRPr="00FB5EFA">
        <w:rPr>
          <w:b/>
          <w:bCs/>
          <w:sz w:val="32"/>
          <w:szCs w:val="32"/>
        </w:rPr>
        <w:t>ВОЕННОТО ПРИЛОЖЕНИЕ НА НИСКООРБИТАЛНИТЕ САТЕЛИТНИ СЪЗВЕЗДИЯ</w:t>
      </w:r>
    </w:p>
    <w:p w14:paraId="49914536" w14:textId="77777777" w:rsidR="00124D2A" w:rsidRPr="00FB5EFA" w:rsidRDefault="00124D2A"/>
    <w:p w14:paraId="6518F365" w14:textId="77777777" w:rsidR="00124D2A" w:rsidRPr="00FB5EFA" w:rsidRDefault="00124D2A"/>
    <w:p w14:paraId="093E4E2D" w14:textId="58A48745" w:rsidR="00124D2A" w:rsidRPr="000C3856" w:rsidRDefault="000C3856">
      <w:pPr>
        <w:jc w:val="center"/>
      </w:pPr>
      <w:r>
        <w:rPr>
          <w:b/>
          <w:bCs/>
          <w:sz w:val="32"/>
          <w:szCs w:val="32"/>
        </w:rPr>
        <w:t>Лука Ралчев</w:t>
      </w:r>
    </w:p>
    <w:p w14:paraId="3649B7B7" w14:textId="77777777" w:rsidR="00124D2A" w:rsidRPr="00FB5EFA" w:rsidRDefault="00124D2A"/>
    <w:p w14:paraId="4519B721" w14:textId="77777777" w:rsidR="00124D2A" w:rsidRPr="00FB5EFA" w:rsidRDefault="00000000">
      <w:pPr>
        <w:jc w:val="center"/>
      </w:pPr>
      <w:r w:rsidRPr="00FB5EFA">
        <w:rPr>
          <w:b/>
          <w:bCs/>
          <w:sz w:val="32"/>
          <w:szCs w:val="32"/>
        </w:rPr>
        <w:t>THE MILITARY APPLICATION OF LOW EARTH ORBIT SATELLITE CONSTELLATIONS</w:t>
      </w:r>
    </w:p>
    <w:p w14:paraId="06934A0E" w14:textId="77777777" w:rsidR="00124D2A" w:rsidRPr="00FB5EFA" w:rsidRDefault="00124D2A"/>
    <w:p w14:paraId="5B8C9F20" w14:textId="0BA178C8" w:rsidR="00124D2A" w:rsidRPr="000C3856" w:rsidRDefault="000C3856">
      <w:pPr>
        <w:jc w:val="center"/>
        <w:rPr>
          <w:lang w:val="en-US"/>
        </w:rPr>
      </w:pPr>
      <w:r>
        <w:rPr>
          <w:b/>
          <w:bCs/>
          <w:sz w:val="32"/>
          <w:szCs w:val="32"/>
          <w:lang w:val="en-US"/>
        </w:rPr>
        <w:t>Luka Ralchev</w:t>
      </w:r>
    </w:p>
    <w:p w14:paraId="3CC176A0" w14:textId="77777777" w:rsidR="00124D2A" w:rsidRPr="00FB5EFA" w:rsidRDefault="00124D2A"/>
    <w:p w14:paraId="64F0B675" w14:textId="77777777" w:rsidR="00124D2A" w:rsidRPr="00FB5EFA" w:rsidRDefault="00124D2A"/>
    <w:p w14:paraId="01949AA6" w14:textId="15440B7E" w:rsidR="00124D2A" w:rsidRPr="00FB5EFA" w:rsidRDefault="00000000">
      <w:pPr>
        <w:jc w:val="both"/>
      </w:pPr>
      <w:r w:rsidRPr="00FB5EFA">
        <w:rPr>
          <w:b/>
          <w:bCs/>
          <w:i/>
          <w:iCs/>
          <w:sz w:val="24"/>
          <w:szCs w:val="24"/>
        </w:rPr>
        <w:t xml:space="preserve">Резюме: </w:t>
      </w:r>
      <w:r w:rsidRPr="00FB5EFA">
        <w:rPr>
          <w:i/>
          <w:iCs/>
          <w:sz w:val="24"/>
          <w:szCs w:val="24"/>
        </w:rPr>
        <w:t xml:space="preserve">Развитието на нискоорбиталните (LEO) сателитни съзвездия бележи качествен скок във военното използване на космоса. Докладът анализира технологичните предимства на LEO пред GEO системите, основните военни приложения </w:t>
      </w:r>
      <w:r w:rsidR="00FB5EFA" w:rsidRPr="00FB5EFA">
        <w:rPr>
          <w:i/>
          <w:iCs/>
          <w:sz w:val="24"/>
          <w:szCs w:val="24"/>
        </w:rPr>
        <w:t>-</w:t>
      </w:r>
      <w:r w:rsidRPr="00FB5EFA">
        <w:rPr>
          <w:i/>
          <w:iCs/>
          <w:sz w:val="24"/>
          <w:szCs w:val="24"/>
        </w:rPr>
        <w:t xml:space="preserve"> комуникации, разузнаване, ранно предупреждение и навигация, стратегическата устойчивост на разпределените архитектури, както и рисковете от космически отпадъци и кибератаки.</w:t>
      </w:r>
    </w:p>
    <w:p w14:paraId="3CFD743F" w14:textId="77777777" w:rsidR="00124D2A" w:rsidRPr="00FB5EFA" w:rsidRDefault="00124D2A"/>
    <w:p w14:paraId="62617997" w14:textId="77777777" w:rsidR="00124D2A" w:rsidRPr="00FB5EFA" w:rsidRDefault="00000000">
      <w:pPr>
        <w:jc w:val="both"/>
      </w:pPr>
      <w:r w:rsidRPr="00FB5EFA">
        <w:rPr>
          <w:b/>
          <w:bCs/>
          <w:i/>
          <w:iCs/>
          <w:sz w:val="24"/>
          <w:szCs w:val="24"/>
        </w:rPr>
        <w:t xml:space="preserve">Ключови думи: </w:t>
      </w:r>
      <w:r w:rsidRPr="00FB5EFA">
        <w:rPr>
          <w:i/>
          <w:iCs/>
          <w:sz w:val="24"/>
          <w:szCs w:val="24"/>
        </w:rPr>
        <w:t>нискоорбитални сателитни съзвездия, военни комуникации, разузнаване и наблюдение, стратегическа устойчивост, противосателитни заплахи</w:t>
      </w:r>
    </w:p>
    <w:p w14:paraId="50827FF4" w14:textId="77777777" w:rsidR="00124D2A" w:rsidRPr="00FB5EFA" w:rsidRDefault="00124D2A"/>
    <w:p w14:paraId="39739546" w14:textId="77777777" w:rsidR="00124D2A" w:rsidRPr="00FB5EFA" w:rsidRDefault="00000000">
      <w:pPr>
        <w:jc w:val="both"/>
      </w:pPr>
      <w:r w:rsidRPr="00FB5EFA">
        <w:rPr>
          <w:b/>
          <w:bCs/>
          <w:i/>
          <w:iCs/>
          <w:sz w:val="24"/>
          <w:szCs w:val="24"/>
        </w:rPr>
        <w:t xml:space="preserve">Abstract: </w:t>
      </w:r>
      <w:r w:rsidRPr="00FB5EFA">
        <w:rPr>
          <w:i/>
          <w:iCs/>
          <w:sz w:val="24"/>
          <w:szCs w:val="24"/>
        </w:rPr>
        <w:t>The development of Low Earth Orbit (LEO) satellite constellations marks a qualitative shift in the military use of space. Distributed networks of small satellites provide resilient communications, persistent surveillance, early warning against hypersonic threats, and GPS-independent navigation. Low latency and global coverage make them central to network-centric operations, while debris, cyber, and jamming risks remain significant challenges.</w:t>
      </w:r>
    </w:p>
    <w:p w14:paraId="22326BE8" w14:textId="77777777" w:rsidR="00124D2A" w:rsidRPr="00FB5EFA" w:rsidRDefault="00124D2A"/>
    <w:p w14:paraId="03627615" w14:textId="77777777" w:rsidR="00124D2A" w:rsidRPr="00FB5EFA" w:rsidRDefault="00000000">
      <w:pPr>
        <w:jc w:val="both"/>
      </w:pPr>
      <w:r w:rsidRPr="00FB5EFA">
        <w:rPr>
          <w:b/>
          <w:bCs/>
          <w:i/>
          <w:iCs/>
          <w:sz w:val="24"/>
          <w:szCs w:val="24"/>
        </w:rPr>
        <w:t xml:space="preserve">Keywords: </w:t>
      </w:r>
      <w:r w:rsidRPr="00FB5EFA">
        <w:rPr>
          <w:i/>
          <w:iCs/>
          <w:sz w:val="24"/>
          <w:szCs w:val="24"/>
        </w:rPr>
        <w:t>LEO satellite constellations, military communications, ISR, strategic resilience, anti-satellite threats</w:t>
      </w:r>
    </w:p>
    <w:p w14:paraId="7358AC16" w14:textId="77777777" w:rsidR="00124D2A" w:rsidRPr="00FB5EFA" w:rsidRDefault="00124D2A"/>
    <w:p w14:paraId="2BCECB7E" w14:textId="77777777" w:rsidR="00124D2A" w:rsidRPr="00FB5EFA" w:rsidRDefault="00124D2A"/>
    <w:p w14:paraId="37617239" w14:textId="77777777" w:rsidR="00124D2A" w:rsidRPr="00FB5EFA" w:rsidRDefault="00000000">
      <w:pPr>
        <w:spacing w:before="120" w:after="60"/>
      </w:pPr>
      <w:r w:rsidRPr="00FB5EFA">
        <w:rPr>
          <w:b/>
          <w:bCs/>
          <w:sz w:val="28"/>
          <w:szCs w:val="28"/>
        </w:rPr>
        <w:t>1. Въведение</w:t>
      </w:r>
    </w:p>
    <w:p w14:paraId="76B31F64" w14:textId="77777777" w:rsidR="00FB5EFA" w:rsidRDefault="00000000">
      <w:pPr>
        <w:jc w:val="both"/>
        <w:rPr>
          <w:sz w:val="28"/>
          <w:szCs w:val="28"/>
          <w:lang w:val="en-US"/>
        </w:rPr>
      </w:pPr>
      <w:r w:rsidRPr="00FB5EFA">
        <w:rPr>
          <w:sz w:val="28"/>
          <w:szCs w:val="28"/>
        </w:rPr>
        <w:t>Космическото пространство традиционно се възприемаше като среда за стратегическо превъзходство на ограничен брой държави, а военните космически системи разчитаха на единични, скъпи спътници в геостационарна орбита (GEO). Тази парадигма се промени коренно през последното десетилетие. Комерсиализацията на космоса</w:t>
      </w:r>
      <w:r w:rsidR="00FB5EFA">
        <w:rPr>
          <w:sz w:val="28"/>
          <w:szCs w:val="28"/>
          <w:lang w:val="en-US"/>
        </w:rPr>
        <w:t>,</w:t>
      </w:r>
      <w:r w:rsidRPr="00FB5EFA">
        <w:rPr>
          <w:sz w:val="28"/>
          <w:szCs w:val="28"/>
        </w:rPr>
        <w:t xml:space="preserve"> водена от проекти като Starlink и OneWeb доказа, че масовото производство на малки сателити е икономически рентабилно, а към 2026 г. броят на активните спътници в ниска околоземна орбита (Low Earth Orbit </w:t>
      </w:r>
      <w:r w:rsidR="00FB5EFA">
        <w:rPr>
          <w:sz w:val="28"/>
          <w:szCs w:val="28"/>
          <w:lang w:val="en-US"/>
        </w:rPr>
        <w:t>-</w:t>
      </w:r>
      <w:r w:rsidRPr="00FB5EFA">
        <w:rPr>
          <w:sz w:val="28"/>
          <w:szCs w:val="28"/>
        </w:rPr>
        <w:t xml:space="preserve"> LEO) надхвърля десет хиляди</w:t>
      </w:r>
      <w:r w:rsidR="00FB5EFA" w:rsidRPr="00FB5EFA">
        <w:rPr>
          <w:sz w:val="28"/>
          <w:szCs w:val="28"/>
        </w:rPr>
        <w:t>.</w:t>
      </w:r>
      <w:r w:rsidRPr="00FB5EFA">
        <w:rPr>
          <w:sz w:val="28"/>
          <w:szCs w:val="28"/>
        </w:rPr>
        <w:t xml:space="preserve"> [1] </w:t>
      </w:r>
    </w:p>
    <w:p w14:paraId="16386764" w14:textId="50B233DD" w:rsidR="00124D2A" w:rsidRPr="00FB5EFA" w:rsidRDefault="00000000">
      <w:pPr>
        <w:jc w:val="both"/>
      </w:pPr>
      <w:r w:rsidRPr="00FB5EFA">
        <w:rPr>
          <w:sz w:val="28"/>
          <w:szCs w:val="28"/>
        </w:rPr>
        <w:t>Успоредно с това цената на изстрелване спадна благодарение на многократно използваемите ракети-носители, а влошената геополитическа обстановка</w:t>
      </w:r>
      <w:r w:rsidR="00FB5EFA">
        <w:rPr>
          <w:sz w:val="28"/>
          <w:szCs w:val="28"/>
          <w:lang w:val="en-US"/>
        </w:rPr>
        <w:t xml:space="preserve">, </w:t>
      </w:r>
      <w:r w:rsidR="00FB5EFA">
        <w:rPr>
          <w:sz w:val="28"/>
          <w:szCs w:val="28"/>
        </w:rPr>
        <w:t>като</w:t>
      </w:r>
      <w:r w:rsidRPr="00FB5EFA">
        <w:rPr>
          <w:sz w:val="28"/>
          <w:szCs w:val="28"/>
        </w:rPr>
        <w:t xml:space="preserve"> войната в Украйна и напрежението в Индо-Тихоокеанския регион</w:t>
      </w:r>
      <w:r w:rsidR="00FB5EFA">
        <w:rPr>
          <w:sz w:val="28"/>
          <w:szCs w:val="28"/>
        </w:rPr>
        <w:t>,</w:t>
      </w:r>
      <w:r w:rsidRPr="00FB5EFA">
        <w:rPr>
          <w:sz w:val="28"/>
          <w:szCs w:val="28"/>
        </w:rPr>
        <w:t xml:space="preserve"> постави устойчивостта на военните космически системи в центъра на стратегическото планиране.</w:t>
      </w:r>
      <w:r w:rsidR="00FB5EFA">
        <w:t xml:space="preserve"> </w:t>
      </w:r>
      <w:r w:rsidR="00FB5EFA">
        <w:rPr>
          <w:sz w:val="28"/>
          <w:szCs w:val="28"/>
        </w:rPr>
        <w:t>Докладът</w:t>
      </w:r>
      <w:r w:rsidRPr="00FB5EFA">
        <w:rPr>
          <w:sz w:val="28"/>
          <w:szCs w:val="28"/>
        </w:rPr>
        <w:t xml:space="preserve"> защитава тезата, че нискоорбиталните сателитни съзвездия трансформират военните комуникации, разузнаването и навигацията от нишова и уязвима технология </w:t>
      </w:r>
      <w:r w:rsidRPr="00FB5EFA">
        <w:rPr>
          <w:sz w:val="28"/>
          <w:szCs w:val="28"/>
        </w:rPr>
        <w:lastRenderedPageBreak/>
        <w:t xml:space="preserve">в масов и устойчив елемент от съвременното бойно поле. </w:t>
      </w:r>
      <w:r w:rsidR="00FB5EFA">
        <w:rPr>
          <w:sz w:val="28"/>
          <w:szCs w:val="28"/>
        </w:rPr>
        <w:t>Разглеждат се</w:t>
      </w:r>
      <w:r w:rsidRPr="00FB5EFA">
        <w:rPr>
          <w:sz w:val="28"/>
          <w:szCs w:val="28"/>
        </w:rPr>
        <w:t xml:space="preserve"> спътници в LEO, обхващащ височини между приблизително 200 и 2000 км</w:t>
      </w:r>
      <w:r w:rsidR="00FB5EFA">
        <w:rPr>
          <w:sz w:val="28"/>
          <w:szCs w:val="28"/>
        </w:rPr>
        <w:t>.</w:t>
      </w:r>
      <w:r w:rsidRPr="00FB5EFA">
        <w:rPr>
          <w:sz w:val="28"/>
          <w:szCs w:val="28"/>
        </w:rPr>
        <w:t xml:space="preserve"> </w:t>
      </w:r>
      <w:r w:rsidR="00FB5EFA">
        <w:rPr>
          <w:sz w:val="28"/>
          <w:szCs w:val="28"/>
        </w:rPr>
        <w:t>-</w:t>
      </w:r>
      <w:r w:rsidRPr="00FB5EFA">
        <w:rPr>
          <w:sz w:val="28"/>
          <w:szCs w:val="28"/>
        </w:rPr>
        <w:t xml:space="preserve"> диапазон, отличаващ се с ниска латентност, висока скорост на пренос на данни и възможност за глобално покритие, включително в полярните региони, за разлика от геостационарната (GEO) и средната земна орбита (MEO). Методологически докладът съчетава три подхода: преглед на отворени източници (официални документи на космически агенции, военни доклади и специализирани издания), сравнителен анализ между традиционните GEO архитектури и новите LEO системи, както и преглед на актуални военни доктрини, дефиниращи ролята на космическите системи в съвременните операции. Тази комбинация осигурява емпирична основа и концептуална рамка за анализа, без да претендира за изчерпателност поради присъщите ограничения на публично достъпната информация.</w:t>
      </w:r>
    </w:p>
    <w:p w14:paraId="0CE331F6" w14:textId="77777777" w:rsidR="00124D2A" w:rsidRPr="00FB5EFA" w:rsidRDefault="00000000">
      <w:pPr>
        <w:spacing w:before="120" w:after="60"/>
      </w:pPr>
      <w:r w:rsidRPr="00FB5EFA">
        <w:rPr>
          <w:b/>
          <w:bCs/>
          <w:sz w:val="28"/>
          <w:szCs w:val="28"/>
        </w:rPr>
        <w:t>2. Технологична рамка на LEO съзвездията</w:t>
      </w:r>
    </w:p>
    <w:p w14:paraId="03005A8D" w14:textId="4989D93D" w:rsidR="00124D2A" w:rsidRPr="00FB5EFA" w:rsidRDefault="00000000">
      <w:pPr>
        <w:jc w:val="both"/>
      </w:pPr>
      <w:r w:rsidRPr="00FB5EFA">
        <w:rPr>
          <w:sz w:val="28"/>
          <w:szCs w:val="28"/>
        </w:rPr>
        <w:t>Ниската околоземна орбита обхваща височини от около 200 до 2000 км, за разлика от геостационарната орбита на 35 786 км. Тъй като скоростта на светлината е константа, по-малкото разстояние директно съкращава латентността на сигнала [2]</w:t>
      </w:r>
      <w:r w:rsidR="00FB5EFA">
        <w:rPr>
          <w:sz w:val="28"/>
          <w:szCs w:val="28"/>
        </w:rPr>
        <w:t xml:space="preserve"> -</w:t>
      </w:r>
      <w:r w:rsidRPr="00FB5EFA">
        <w:rPr>
          <w:sz w:val="28"/>
          <w:szCs w:val="28"/>
        </w:rPr>
        <w:t xml:space="preserve"> (Табл. 1)</w:t>
      </w:r>
      <w:r w:rsidR="00FB5EFA" w:rsidRPr="00FB5EFA">
        <w:rPr>
          <w:sz w:val="28"/>
          <w:szCs w:val="28"/>
        </w:rPr>
        <w:t>.</w:t>
      </w:r>
      <w:r w:rsidRPr="00FB5EFA">
        <w:rPr>
          <w:sz w:val="28"/>
          <w:szCs w:val="28"/>
        </w:rPr>
        <w:t xml:space="preserve"> Ниската латентност позволява дистанционно управление на безпилотни платформи и тактическа координация в реално време, докато по-високата пропускателна способност поддържа предаване на разузнавателни изображения и видеопотоци с висока резолюция. LEO съзвездията предлагат и по-добро глобално покритие, включително в полярните региони, недостъпни за GEO системите.</w:t>
      </w:r>
    </w:p>
    <w:p w14:paraId="3F9E7ED5" w14:textId="77777777" w:rsidR="00124D2A" w:rsidRPr="00FB5EFA" w:rsidRDefault="00000000">
      <w:pPr>
        <w:spacing w:before="120" w:after="60"/>
      </w:pPr>
      <w:r w:rsidRPr="00FB5EFA">
        <w:rPr>
          <w:b/>
          <w:bCs/>
          <w:sz w:val="24"/>
          <w:szCs w:val="24"/>
        </w:rPr>
        <w:t>Таблица 1 – Сравнение между LEO и GEO сателитни системи</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3000"/>
        <w:gridCol w:w="3000"/>
      </w:tblGrid>
      <w:tr w:rsidR="00124D2A" w:rsidRPr="00FB5EFA" w14:paraId="574AF286" w14:textId="77777777">
        <w:tblPrEx>
          <w:tblCellMar>
            <w:top w:w="0" w:type="dxa"/>
            <w:bottom w:w="0" w:type="dxa"/>
          </w:tblCellMar>
        </w:tblPrEx>
        <w:tc>
          <w:tcPr>
            <w:tcW w:w="3000" w:type="dxa"/>
            <w:shd w:val="clear" w:color="auto" w:fill="D9D9D9"/>
          </w:tcPr>
          <w:p w14:paraId="3E748048" w14:textId="77777777" w:rsidR="00124D2A" w:rsidRPr="00FB5EFA" w:rsidRDefault="00000000">
            <w:pPr>
              <w:jc w:val="center"/>
            </w:pPr>
            <w:r w:rsidRPr="00FB5EFA">
              <w:rPr>
                <w:b/>
                <w:bCs/>
                <w:sz w:val="22"/>
                <w:szCs w:val="22"/>
              </w:rPr>
              <w:t>Показател</w:t>
            </w:r>
          </w:p>
        </w:tc>
        <w:tc>
          <w:tcPr>
            <w:tcW w:w="3000" w:type="dxa"/>
            <w:shd w:val="clear" w:color="auto" w:fill="D9D9D9"/>
          </w:tcPr>
          <w:p w14:paraId="166A1EE7" w14:textId="77777777" w:rsidR="00124D2A" w:rsidRPr="00FB5EFA" w:rsidRDefault="00000000">
            <w:pPr>
              <w:jc w:val="center"/>
            </w:pPr>
            <w:r w:rsidRPr="00FB5EFA">
              <w:rPr>
                <w:b/>
                <w:bCs/>
                <w:sz w:val="22"/>
                <w:szCs w:val="22"/>
              </w:rPr>
              <w:t>LEO (ниска орбита)</w:t>
            </w:r>
          </w:p>
        </w:tc>
        <w:tc>
          <w:tcPr>
            <w:tcW w:w="3000" w:type="dxa"/>
            <w:shd w:val="clear" w:color="auto" w:fill="D9D9D9"/>
          </w:tcPr>
          <w:p w14:paraId="0030481B" w14:textId="77777777" w:rsidR="00124D2A" w:rsidRPr="00FB5EFA" w:rsidRDefault="00000000">
            <w:pPr>
              <w:jc w:val="center"/>
            </w:pPr>
            <w:r w:rsidRPr="00FB5EFA">
              <w:rPr>
                <w:b/>
                <w:bCs/>
                <w:sz w:val="22"/>
                <w:szCs w:val="22"/>
              </w:rPr>
              <w:t>GEO (геостационарна)</w:t>
            </w:r>
          </w:p>
        </w:tc>
      </w:tr>
      <w:tr w:rsidR="00124D2A" w:rsidRPr="00FB5EFA" w14:paraId="0439FC87" w14:textId="77777777">
        <w:tblPrEx>
          <w:tblCellMar>
            <w:top w:w="0" w:type="dxa"/>
            <w:bottom w:w="0" w:type="dxa"/>
          </w:tblCellMar>
        </w:tblPrEx>
        <w:tc>
          <w:tcPr>
            <w:tcW w:w="3000" w:type="dxa"/>
          </w:tcPr>
          <w:p w14:paraId="7146D9CB" w14:textId="77777777" w:rsidR="00124D2A" w:rsidRPr="00FB5EFA" w:rsidRDefault="00000000">
            <w:pPr>
              <w:jc w:val="center"/>
            </w:pPr>
            <w:r w:rsidRPr="00FB5EFA">
              <w:rPr>
                <w:sz w:val="22"/>
                <w:szCs w:val="22"/>
              </w:rPr>
              <w:t>Латентност</w:t>
            </w:r>
          </w:p>
        </w:tc>
        <w:tc>
          <w:tcPr>
            <w:tcW w:w="3000" w:type="dxa"/>
          </w:tcPr>
          <w:p w14:paraId="461E242D" w14:textId="77777777" w:rsidR="00124D2A" w:rsidRPr="00FB5EFA" w:rsidRDefault="00000000">
            <w:pPr>
              <w:jc w:val="center"/>
            </w:pPr>
            <w:r w:rsidRPr="00FB5EFA">
              <w:rPr>
                <w:sz w:val="22"/>
                <w:szCs w:val="22"/>
              </w:rPr>
              <w:t>20–40 мс</w:t>
            </w:r>
          </w:p>
        </w:tc>
        <w:tc>
          <w:tcPr>
            <w:tcW w:w="3000" w:type="dxa"/>
          </w:tcPr>
          <w:p w14:paraId="0D5EADB0" w14:textId="77777777" w:rsidR="00124D2A" w:rsidRPr="00FB5EFA" w:rsidRDefault="00000000">
            <w:pPr>
              <w:jc w:val="center"/>
            </w:pPr>
            <w:r w:rsidRPr="00FB5EFA">
              <w:rPr>
                <w:sz w:val="22"/>
                <w:szCs w:val="22"/>
              </w:rPr>
              <w:t>~600 мс</w:t>
            </w:r>
          </w:p>
        </w:tc>
      </w:tr>
      <w:tr w:rsidR="00124D2A" w:rsidRPr="00FB5EFA" w14:paraId="2511D7A6" w14:textId="77777777">
        <w:tblPrEx>
          <w:tblCellMar>
            <w:top w:w="0" w:type="dxa"/>
            <w:bottom w:w="0" w:type="dxa"/>
          </w:tblCellMar>
        </w:tblPrEx>
        <w:tc>
          <w:tcPr>
            <w:tcW w:w="3000" w:type="dxa"/>
          </w:tcPr>
          <w:p w14:paraId="3F997460" w14:textId="77777777" w:rsidR="00124D2A" w:rsidRPr="00FB5EFA" w:rsidRDefault="00000000">
            <w:pPr>
              <w:jc w:val="center"/>
            </w:pPr>
            <w:r w:rsidRPr="00FB5EFA">
              <w:rPr>
                <w:sz w:val="22"/>
                <w:szCs w:val="22"/>
              </w:rPr>
              <w:t>Покритие</w:t>
            </w:r>
          </w:p>
        </w:tc>
        <w:tc>
          <w:tcPr>
            <w:tcW w:w="3000" w:type="dxa"/>
          </w:tcPr>
          <w:p w14:paraId="7D125C97" w14:textId="77777777" w:rsidR="00124D2A" w:rsidRPr="00FB5EFA" w:rsidRDefault="00000000">
            <w:pPr>
              <w:jc w:val="center"/>
            </w:pPr>
            <w:r w:rsidRPr="00FB5EFA">
              <w:rPr>
                <w:sz w:val="22"/>
                <w:szCs w:val="22"/>
              </w:rPr>
              <w:t>Глобално, вкл. полюсите</w:t>
            </w:r>
          </w:p>
        </w:tc>
        <w:tc>
          <w:tcPr>
            <w:tcW w:w="3000" w:type="dxa"/>
          </w:tcPr>
          <w:p w14:paraId="44770544" w14:textId="77777777" w:rsidR="00124D2A" w:rsidRPr="00FB5EFA" w:rsidRDefault="00000000">
            <w:pPr>
              <w:jc w:val="center"/>
            </w:pPr>
            <w:r w:rsidRPr="00FB5EFA">
              <w:rPr>
                <w:sz w:val="22"/>
                <w:szCs w:val="22"/>
              </w:rPr>
              <w:t>До ±70° ширина</w:t>
            </w:r>
          </w:p>
        </w:tc>
      </w:tr>
      <w:tr w:rsidR="00124D2A" w:rsidRPr="00FB5EFA" w14:paraId="7971B8FD" w14:textId="77777777">
        <w:tblPrEx>
          <w:tblCellMar>
            <w:top w:w="0" w:type="dxa"/>
            <w:bottom w:w="0" w:type="dxa"/>
          </w:tblCellMar>
        </w:tblPrEx>
        <w:tc>
          <w:tcPr>
            <w:tcW w:w="3000" w:type="dxa"/>
          </w:tcPr>
          <w:p w14:paraId="388ABBE5" w14:textId="77777777" w:rsidR="00124D2A" w:rsidRPr="00FB5EFA" w:rsidRDefault="00000000">
            <w:pPr>
              <w:jc w:val="center"/>
            </w:pPr>
            <w:r w:rsidRPr="00FB5EFA">
              <w:rPr>
                <w:sz w:val="22"/>
                <w:szCs w:val="22"/>
              </w:rPr>
              <w:t>Устойчивост</w:t>
            </w:r>
          </w:p>
        </w:tc>
        <w:tc>
          <w:tcPr>
            <w:tcW w:w="3000" w:type="dxa"/>
          </w:tcPr>
          <w:p w14:paraId="3D5709B2" w14:textId="77777777" w:rsidR="00124D2A" w:rsidRPr="00FB5EFA" w:rsidRDefault="00000000">
            <w:pPr>
              <w:jc w:val="center"/>
            </w:pPr>
            <w:r w:rsidRPr="00FB5EFA">
              <w:rPr>
                <w:sz w:val="22"/>
                <w:szCs w:val="22"/>
              </w:rPr>
              <w:t>Висока (стотици/хиляди възела)</w:t>
            </w:r>
          </w:p>
        </w:tc>
        <w:tc>
          <w:tcPr>
            <w:tcW w:w="3000" w:type="dxa"/>
          </w:tcPr>
          <w:p w14:paraId="4F1BD2C5" w14:textId="77777777" w:rsidR="00124D2A" w:rsidRPr="00FB5EFA" w:rsidRDefault="00000000">
            <w:pPr>
              <w:jc w:val="center"/>
            </w:pPr>
            <w:r w:rsidRPr="00FB5EFA">
              <w:rPr>
                <w:sz w:val="22"/>
                <w:szCs w:val="22"/>
              </w:rPr>
              <w:t>Ниска (единична точка на отказ)</w:t>
            </w:r>
          </w:p>
        </w:tc>
      </w:tr>
    </w:tbl>
    <w:p w14:paraId="1AD2B18E" w14:textId="77777777" w:rsidR="00124D2A" w:rsidRPr="00FB5EFA" w:rsidRDefault="00124D2A"/>
    <w:p w14:paraId="307DB48D" w14:textId="12FBEC50" w:rsidR="00124D2A" w:rsidRPr="00783E7A" w:rsidRDefault="00000000">
      <w:pPr>
        <w:jc w:val="both"/>
      </w:pPr>
      <w:r w:rsidRPr="00FB5EFA">
        <w:rPr>
          <w:sz w:val="28"/>
          <w:szCs w:val="28"/>
        </w:rPr>
        <w:t>Тази трансформация се крепи на три технологии</w:t>
      </w:r>
      <w:r w:rsidR="00FB5EFA">
        <w:rPr>
          <w:sz w:val="28"/>
          <w:szCs w:val="28"/>
        </w:rPr>
        <w:t xml:space="preserve">, като в основата е </w:t>
      </w:r>
      <w:r w:rsidRPr="00FB5EFA">
        <w:rPr>
          <w:sz w:val="28"/>
          <w:szCs w:val="28"/>
        </w:rPr>
        <w:t xml:space="preserve"> миниатюризацията на електрониката (SmallSats/CubeSats) </w:t>
      </w:r>
      <w:r w:rsidR="00FB5EFA">
        <w:rPr>
          <w:sz w:val="28"/>
          <w:szCs w:val="28"/>
        </w:rPr>
        <w:t xml:space="preserve">и това </w:t>
      </w:r>
      <w:r w:rsidRPr="00FB5EFA">
        <w:rPr>
          <w:sz w:val="28"/>
          <w:szCs w:val="28"/>
        </w:rPr>
        <w:t>прави възможна разпределена архитектура, при която много евтини спътници заменят малкото на брой скъпи такива</w:t>
      </w:r>
      <w:r w:rsidR="00FB5EFA">
        <w:rPr>
          <w:sz w:val="28"/>
          <w:szCs w:val="28"/>
        </w:rPr>
        <w:t xml:space="preserve">. </w:t>
      </w:r>
      <w:r w:rsidR="00783E7A">
        <w:rPr>
          <w:sz w:val="28"/>
          <w:szCs w:val="28"/>
        </w:rPr>
        <w:t>Така у</w:t>
      </w:r>
      <w:r w:rsidRPr="00FB5EFA">
        <w:rPr>
          <w:sz w:val="28"/>
          <w:szCs w:val="28"/>
        </w:rPr>
        <w:t>нищожаването на един от хиляда възела е незначителна загуба</w:t>
      </w:r>
      <w:r w:rsidR="00FB5EFA" w:rsidRPr="00FB5EFA">
        <w:rPr>
          <w:sz w:val="28"/>
          <w:szCs w:val="28"/>
        </w:rPr>
        <w:t>.</w:t>
      </w:r>
      <w:r w:rsidRPr="00FB5EFA">
        <w:rPr>
          <w:sz w:val="28"/>
          <w:szCs w:val="28"/>
        </w:rPr>
        <w:t xml:space="preserve"> [3] </w:t>
      </w:r>
      <w:r w:rsidR="00783E7A">
        <w:rPr>
          <w:sz w:val="28"/>
          <w:szCs w:val="28"/>
        </w:rPr>
        <w:t>Друга основна технология са</w:t>
      </w:r>
      <w:r w:rsidRPr="00FB5EFA">
        <w:rPr>
          <w:sz w:val="28"/>
          <w:szCs w:val="28"/>
        </w:rPr>
        <w:t xml:space="preserve"> лазерните междусателитни връзки (Inter-Satellite Links)</w:t>
      </w:r>
      <w:r w:rsidR="00783E7A">
        <w:rPr>
          <w:sz w:val="28"/>
          <w:szCs w:val="28"/>
        </w:rPr>
        <w:t>, които</w:t>
      </w:r>
      <w:r w:rsidRPr="00FB5EFA">
        <w:rPr>
          <w:sz w:val="28"/>
          <w:szCs w:val="28"/>
        </w:rPr>
        <w:t xml:space="preserve"> позволяват на данните да „прескачат“ от спътник на спътник в космоса, намалявайки зависимостта от наземни станции и трудността за прихващане на сигнала. </w:t>
      </w:r>
      <w:r w:rsidR="00783E7A">
        <w:rPr>
          <w:sz w:val="28"/>
          <w:szCs w:val="28"/>
        </w:rPr>
        <w:t xml:space="preserve">На трето място са </w:t>
      </w:r>
      <w:r w:rsidRPr="00FB5EFA">
        <w:rPr>
          <w:sz w:val="28"/>
          <w:szCs w:val="28"/>
        </w:rPr>
        <w:t>фазираните антенни решетки</w:t>
      </w:r>
      <w:r w:rsidR="00783E7A">
        <w:rPr>
          <w:sz w:val="28"/>
          <w:szCs w:val="28"/>
        </w:rPr>
        <w:t>, които</w:t>
      </w:r>
      <w:r w:rsidRPr="00FB5EFA">
        <w:rPr>
          <w:sz w:val="28"/>
          <w:szCs w:val="28"/>
        </w:rPr>
        <w:t xml:space="preserve"> проследяват електронно множество спътници едновременно, без движещи се части, което поддържа стабилна връзка дори при висока скорост на движение на терминала.</w:t>
      </w:r>
      <w:r w:rsidR="00783E7A">
        <w:t xml:space="preserve"> </w:t>
      </w:r>
      <w:r w:rsidRPr="00FB5EFA">
        <w:rPr>
          <w:sz w:val="28"/>
          <w:szCs w:val="28"/>
        </w:rPr>
        <w:t xml:space="preserve">Тези три технологии действат допълващо се, а не поотделно: миниатюризацията прави икономически оправдано изстрелването на достатъчен брой спътници, за да функционират лазерните връзки като смислена мрежа, а фазираните решетки позволяват на движещи се военни </w:t>
      </w:r>
      <w:r w:rsidRPr="00FB5EFA">
        <w:rPr>
          <w:sz w:val="28"/>
          <w:szCs w:val="28"/>
        </w:rPr>
        <w:lastRenderedPageBreak/>
        <w:t>платформи да се включат в тази мрежа без физическо насочване на антена. Близката орбита допълнително позволява използването на по-високи честотни диапазони Ku, Ka и V-band  с по-голяма спектрална ефективност, което осигурява пропускателна способност, сравнима с наземните оптични мрежи дори в отдалечени райони</w:t>
      </w:r>
      <w:r w:rsidR="00FB5EFA">
        <w:rPr>
          <w:sz w:val="28"/>
          <w:szCs w:val="28"/>
          <w:lang w:val="en-US"/>
        </w:rPr>
        <w:t>.</w:t>
      </w:r>
      <w:r w:rsidRPr="00FB5EFA">
        <w:rPr>
          <w:sz w:val="28"/>
          <w:szCs w:val="28"/>
        </w:rPr>
        <w:t xml:space="preserve"> [4]</w:t>
      </w:r>
    </w:p>
    <w:p w14:paraId="61844523" w14:textId="77777777" w:rsidR="00124D2A" w:rsidRPr="00FB5EFA" w:rsidRDefault="00000000">
      <w:pPr>
        <w:spacing w:before="120" w:after="60"/>
      </w:pPr>
      <w:r w:rsidRPr="00FB5EFA">
        <w:rPr>
          <w:b/>
          <w:bCs/>
          <w:sz w:val="28"/>
          <w:szCs w:val="28"/>
        </w:rPr>
        <w:t>3. Основни военни приложения</w:t>
      </w:r>
    </w:p>
    <w:p w14:paraId="2A5D273C" w14:textId="77777777" w:rsidR="00124D2A" w:rsidRPr="00FB5EFA" w:rsidRDefault="00000000">
      <w:pPr>
        <w:spacing w:before="60" w:after="40"/>
      </w:pPr>
      <w:r w:rsidRPr="00FB5EFA">
        <w:rPr>
          <w:b/>
          <w:bCs/>
          <w:i/>
          <w:iCs/>
          <w:sz w:val="28"/>
          <w:szCs w:val="28"/>
        </w:rPr>
        <w:t>3.1. Комуникации и командване (C2)</w:t>
      </w:r>
    </w:p>
    <w:p w14:paraId="52B6E244" w14:textId="3710953E" w:rsidR="00124D2A" w:rsidRPr="00FB5EFA" w:rsidRDefault="00000000">
      <w:pPr>
        <w:jc w:val="both"/>
        <w:rPr>
          <w:lang w:val="en-US"/>
        </w:rPr>
      </w:pPr>
      <w:r w:rsidRPr="00FB5EFA">
        <w:rPr>
          <w:sz w:val="28"/>
          <w:szCs w:val="28"/>
        </w:rPr>
        <w:t>LEO съзвездията осигуряват широколентов достъп директно до преносими терминали на бойното поле, устойчивост на радиозаглушаване чрез пространствено разнообразие и електронно насочване на лъча, както и непрекъснато покритие на полярни и отдалечени райони. Опитът от Украйна показа както практическата стойност на този подход, така и неговите граници</w:t>
      </w:r>
      <w:r w:rsidR="00783E7A">
        <w:rPr>
          <w:sz w:val="28"/>
          <w:szCs w:val="28"/>
        </w:rPr>
        <w:t xml:space="preserve">, тъй като </w:t>
      </w:r>
      <w:r w:rsidRPr="00FB5EFA">
        <w:rPr>
          <w:sz w:val="28"/>
          <w:szCs w:val="28"/>
        </w:rPr>
        <w:t>терминалите Starlink се превърнаха в основно средство за командване на украински части, но насрещната страна разработи специализирани системи за целенасочено заглушаване на подобни терминали, което поддържа постоянна надпревара между мерки и противомерки в електромагнитния спектър</w:t>
      </w:r>
      <w:r w:rsidR="00FB5EFA">
        <w:rPr>
          <w:sz w:val="28"/>
          <w:szCs w:val="28"/>
          <w:lang w:val="en-US"/>
        </w:rPr>
        <w:t>.</w:t>
      </w:r>
      <w:r w:rsidRPr="00FB5EFA">
        <w:rPr>
          <w:sz w:val="28"/>
          <w:szCs w:val="28"/>
        </w:rPr>
        <w:t xml:space="preserve"> [5]</w:t>
      </w:r>
    </w:p>
    <w:p w14:paraId="4D1330C1" w14:textId="77777777" w:rsidR="00124D2A" w:rsidRPr="00FB5EFA" w:rsidRDefault="00000000">
      <w:pPr>
        <w:spacing w:before="60" w:after="40"/>
      </w:pPr>
      <w:r w:rsidRPr="00FB5EFA">
        <w:rPr>
          <w:b/>
          <w:bCs/>
          <w:i/>
          <w:iCs/>
          <w:sz w:val="28"/>
          <w:szCs w:val="28"/>
        </w:rPr>
        <w:t>3.2. Разузнаване, наблюдение и разузнаване (ISR)</w:t>
      </w:r>
    </w:p>
    <w:p w14:paraId="74424516" w14:textId="7843340A" w:rsidR="00124D2A" w:rsidRPr="00FB5EFA" w:rsidRDefault="00000000">
      <w:pPr>
        <w:jc w:val="both"/>
      </w:pPr>
      <w:r w:rsidRPr="00FB5EFA">
        <w:rPr>
          <w:sz w:val="28"/>
          <w:szCs w:val="28"/>
        </w:rPr>
        <w:t xml:space="preserve">За разлика от малкото на брой и скъпи разузнавателни спътници от миналото, LEO съзвездията позволяват постоянно наблюдение на дадена точка от няколко спътника едновременно, включително проследяване на движещи се цели и радарно наблюдение със синтезирана апертура (SAR), което осигурява изображения при облачност и тъмнина. В областта на електронното разузнаване (ELINT) специализирани LEO сателити засичат електромагнитни излъчвания от радари и комуникационни системи на противника; чрез приемници, разположени в различни точки на орбитата, подобни съзвездия могат да триангулират източника на сигнала в реално време </w:t>
      </w:r>
      <w:r w:rsidR="00FB5EFA">
        <w:rPr>
          <w:sz w:val="28"/>
          <w:szCs w:val="28"/>
          <w:lang w:val="en-US"/>
        </w:rPr>
        <w:t>-</w:t>
      </w:r>
      <w:r w:rsidRPr="00FB5EFA">
        <w:rPr>
          <w:sz w:val="28"/>
          <w:szCs w:val="28"/>
        </w:rPr>
        <w:t xml:space="preserve"> способност, съществено по-точна от тази на отдалечените GEO системи поради по-краткото разстояние до целта.</w:t>
      </w:r>
    </w:p>
    <w:p w14:paraId="2D614931" w14:textId="77777777" w:rsidR="00124D2A" w:rsidRPr="00FB5EFA" w:rsidRDefault="00000000">
      <w:pPr>
        <w:spacing w:before="60" w:after="40"/>
      </w:pPr>
      <w:r w:rsidRPr="00FB5EFA">
        <w:rPr>
          <w:b/>
          <w:bCs/>
          <w:i/>
          <w:iCs/>
          <w:sz w:val="28"/>
          <w:szCs w:val="28"/>
        </w:rPr>
        <w:t>3.3. Ранно предупреждение и противоракетна отбрана</w:t>
      </w:r>
    </w:p>
    <w:p w14:paraId="08419B5F" w14:textId="6DF1404A" w:rsidR="00124D2A" w:rsidRPr="00FB5EFA" w:rsidRDefault="00000000">
      <w:pPr>
        <w:jc w:val="both"/>
      </w:pPr>
      <w:r w:rsidRPr="00FB5EFA">
        <w:rPr>
          <w:sz w:val="28"/>
          <w:szCs w:val="28"/>
        </w:rPr>
        <w:t xml:space="preserve">Близостта до Земята повишава чувствителността на LEO сензорите към слабите топлинни сигнатури на хиперзвукови ракети, а мрежа от спътници осигурява стереоскопично наблюдение на целта от няколко ъгъла едновременно, което скъсява времето за реакция спрямо традиционните GEO системи за ранно предупреждение. Освен откриването на изстрелвания, LEO мрежите придобиват роля и в ядреното командване и контрол (Nuclear Command, Control and Communications </w:t>
      </w:r>
      <w:r w:rsidR="00FB5EFA">
        <w:rPr>
          <w:sz w:val="28"/>
          <w:szCs w:val="28"/>
          <w:lang w:val="en-US"/>
        </w:rPr>
        <w:t>-</w:t>
      </w:r>
      <w:r w:rsidRPr="00FB5EFA">
        <w:rPr>
          <w:sz w:val="28"/>
          <w:szCs w:val="28"/>
        </w:rPr>
        <w:t xml:space="preserve"> NC3), където се изисква канал за връзка, способен да оцелее дори при мащабен конфликт: разпределената архитектура е по-устойчива на електромагнитния импулс от ядрен взрив, отколкото малък брой стратегически спътници, тъй като загубата на част от възлите не прекъсва цялата система.</w:t>
      </w:r>
    </w:p>
    <w:p w14:paraId="57F23253" w14:textId="77777777" w:rsidR="00124D2A" w:rsidRPr="00FB5EFA" w:rsidRDefault="00000000">
      <w:pPr>
        <w:spacing w:before="60" w:after="40"/>
      </w:pPr>
      <w:r w:rsidRPr="00FB5EFA">
        <w:rPr>
          <w:b/>
          <w:bCs/>
          <w:i/>
          <w:iCs/>
          <w:sz w:val="28"/>
          <w:szCs w:val="28"/>
        </w:rPr>
        <w:t>3.4. Навигация и синхронизация</w:t>
      </w:r>
    </w:p>
    <w:p w14:paraId="01817771" w14:textId="191E3E1D" w:rsidR="00124D2A" w:rsidRPr="00FB5EFA" w:rsidRDefault="00000000">
      <w:pPr>
        <w:jc w:val="both"/>
      </w:pPr>
      <w:r w:rsidRPr="00FB5EFA">
        <w:rPr>
          <w:sz w:val="28"/>
          <w:szCs w:val="28"/>
        </w:rPr>
        <w:t xml:space="preserve">LEO спътниците могат да излъчват независими навигационни сигнали, по-силни от GPS поради по-малкото разстояние до земната повърхност, и да </w:t>
      </w:r>
      <w:r w:rsidRPr="00FB5EFA">
        <w:rPr>
          <w:sz w:val="28"/>
          <w:szCs w:val="28"/>
        </w:rPr>
        <w:lastRenderedPageBreak/>
        <w:t xml:space="preserve">служат като резервен източник на позициониране при заглушаване на GPS/GNSS сигнала. За насочването на високоточни оръжия е необходима навигационна информация с точност от порядъка на метри; LEO сигналите позволяват подобна прецизност чрез измерване на доплеровото отместване </w:t>
      </w:r>
      <w:r w:rsidR="00FB5EFA">
        <w:rPr>
          <w:sz w:val="28"/>
          <w:szCs w:val="28"/>
          <w:lang w:val="en-US"/>
        </w:rPr>
        <w:t>-</w:t>
      </w:r>
      <w:r w:rsidRPr="00FB5EFA">
        <w:rPr>
          <w:sz w:val="28"/>
          <w:szCs w:val="28"/>
        </w:rPr>
        <w:t xml:space="preserve"> промяната в честотата на сигнала вследствие бързото движение на спътника спрямо приемника, </w:t>
      </w:r>
      <w:r w:rsidR="00FB5EFA">
        <w:rPr>
          <w:sz w:val="28"/>
          <w:szCs w:val="28"/>
          <w:lang w:val="en-US"/>
        </w:rPr>
        <w:t>-</w:t>
      </w:r>
      <w:r w:rsidRPr="00FB5EFA">
        <w:rPr>
          <w:sz w:val="28"/>
          <w:szCs w:val="28"/>
        </w:rPr>
        <w:t xml:space="preserve"> което дава на въоръжените сили работеща алтернатива дори при пълно заглушаване на GPS.</w:t>
      </w:r>
    </w:p>
    <w:p w14:paraId="5ECFE2FF" w14:textId="77777777" w:rsidR="00124D2A" w:rsidRPr="00FB5EFA" w:rsidRDefault="00000000">
      <w:pPr>
        <w:spacing w:before="120" w:after="60"/>
      </w:pPr>
      <w:r w:rsidRPr="00FB5EFA">
        <w:rPr>
          <w:b/>
          <w:bCs/>
          <w:sz w:val="28"/>
          <w:szCs w:val="28"/>
        </w:rPr>
        <w:t>4. Стратегическа устойчивост</w:t>
      </w:r>
    </w:p>
    <w:p w14:paraId="1A63645B" w14:textId="31CFA334" w:rsidR="00124D2A" w:rsidRPr="00783E7A" w:rsidRDefault="00000000">
      <w:pPr>
        <w:jc w:val="both"/>
      </w:pPr>
      <w:r w:rsidRPr="00FB5EFA">
        <w:rPr>
          <w:sz w:val="28"/>
          <w:szCs w:val="28"/>
        </w:rPr>
        <w:t>Устойчивостта на LEO съзвездията се основава на три взаимосвързани фактора</w:t>
      </w:r>
      <w:r w:rsidR="00783E7A">
        <w:rPr>
          <w:sz w:val="28"/>
          <w:szCs w:val="28"/>
        </w:rPr>
        <w:t xml:space="preserve"> - </w:t>
      </w:r>
      <w:r w:rsidRPr="00FB5EFA">
        <w:rPr>
          <w:sz w:val="28"/>
          <w:szCs w:val="28"/>
        </w:rPr>
        <w:t>разпределената архитектура означава, че загубата на няколко от хиляда спътника не нарушава съществено функционалността на мрежата, а трафикът автоматично се пренасочва</w:t>
      </w:r>
      <w:r w:rsidR="00783E7A">
        <w:rPr>
          <w:sz w:val="28"/>
          <w:szCs w:val="28"/>
        </w:rPr>
        <w:t xml:space="preserve">, </w:t>
      </w:r>
      <w:r w:rsidRPr="00FB5EFA">
        <w:rPr>
          <w:sz w:val="28"/>
          <w:szCs w:val="28"/>
        </w:rPr>
        <w:t>за разлика от GEO системите, при които унищожаването на единствен спътник е тежка и трудно поправима загуба</w:t>
      </w:r>
      <w:r w:rsidR="00FB5EFA">
        <w:rPr>
          <w:sz w:val="28"/>
          <w:szCs w:val="28"/>
          <w:lang w:val="en-US"/>
        </w:rPr>
        <w:t>.</w:t>
      </w:r>
      <w:r w:rsidRPr="00FB5EFA">
        <w:rPr>
          <w:sz w:val="28"/>
          <w:szCs w:val="28"/>
        </w:rPr>
        <w:t xml:space="preserve"> [6] </w:t>
      </w:r>
      <w:r w:rsidR="00783E7A">
        <w:rPr>
          <w:sz w:val="28"/>
          <w:szCs w:val="28"/>
        </w:rPr>
        <w:t xml:space="preserve">След това </w:t>
      </w:r>
      <w:r w:rsidRPr="00FB5EFA">
        <w:rPr>
          <w:sz w:val="28"/>
          <w:szCs w:val="28"/>
        </w:rPr>
        <w:t>съществува икономическа асиметрия: кинетичните противосателитни оръжия струват десетки милиони долари за изстрел и създават опасни облаци от космически отломки, докато замяната на един малък сателит е рационално по-евтина</w:t>
      </w:r>
      <w:r w:rsidR="00783E7A">
        <w:rPr>
          <w:sz w:val="28"/>
          <w:szCs w:val="28"/>
        </w:rPr>
        <w:t>,</w:t>
      </w:r>
      <w:r w:rsidRPr="00FB5EFA">
        <w:rPr>
          <w:sz w:val="28"/>
          <w:szCs w:val="28"/>
        </w:rPr>
        <w:t xml:space="preserve"> което прави масираните атаки нерентабилни. </w:t>
      </w:r>
      <w:r w:rsidR="00783E7A">
        <w:rPr>
          <w:sz w:val="28"/>
          <w:szCs w:val="28"/>
        </w:rPr>
        <w:t>Накрая</w:t>
      </w:r>
      <w:r w:rsidRPr="00FB5EFA">
        <w:rPr>
          <w:sz w:val="28"/>
          <w:szCs w:val="28"/>
        </w:rPr>
        <w:t>, серийното производство и честите изстрелвания позволяват попълване на загубени спътници в рамките на седмици, за разлика от петте до десет години, необходими за подмяна на традиционен военен спътник.</w:t>
      </w:r>
      <w:r w:rsidR="00783E7A">
        <w:t xml:space="preserve"> </w:t>
      </w:r>
      <w:r w:rsidRPr="00FB5EFA">
        <w:rPr>
          <w:sz w:val="28"/>
          <w:szCs w:val="28"/>
        </w:rPr>
        <w:t>Устойчивостта не се ограничава до кинетични заплахи. Лазерно „ослепяване“ на оптични сензори и кибератаки срещу наземни станции за управление могат да извадят от строя отделни възли без физическо унищожение, но разпределеният характер на мрежата ограничава ефекта</w:t>
      </w:r>
      <w:r w:rsidR="00783E7A">
        <w:rPr>
          <w:sz w:val="28"/>
          <w:szCs w:val="28"/>
        </w:rPr>
        <w:t>. А</w:t>
      </w:r>
      <w:r w:rsidRPr="00FB5EFA">
        <w:rPr>
          <w:sz w:val="28"/>
          <w:szCs w:val="28"/>
        </w:rPr>
        <w:t>ко една наземна станция бъде компрометирана, междусателитните лазерни връзки позволяват пренасочване на трафика през друга. Освен това LEO мрежите обичайно се изграждат с известен резерв от свободен капацитет над необходимия минимум, което позволява поглъщане на загуби без осезаемо влошаване на услугата</w:t>
      </w:r>
      <w:r w:rsidR="00FB5EFA">
        <w:rPr>
          <w:sz w:val="28"/>
          <w:szCs w:val="28"/>
          <w:lang w:val="en-US"/>
        </w:rPr>
        <w:t>.</w:t>
      </w:r>
      <w:r w:rsidRPr="00FB5EFA">
        <w:rPr>
          <w:sz w:val="28"/>
          <w:szCs w:val="28"/>
        </w:rPr>
        <w:t xml:space="preserve"> [7]</w:t>
      </w:r>
    </w:p>
    <w:p w14:paraId="720DB240" w14:textId="77777777" w:rsidR="00124D2A" w:rsidRPr="00FB5EFA" w:rsidRDefault="00000000">
      <w:pPr>
        <w:spacing w:before="120" w:after="60"/>
      </w:pPr>
      <w:r w:rsidRPr="00FB5EFA">
        <w:rPr>
          <w:b/>
          <w:bCs/>
          <w:sz w:val="28"/>
          <w:szCs w:val="28"/>
        </w:rPr>
        <w:t>5. Предизвикателства и уязвимости</w:t>
      </w:r>
    </w:p>
    <w:p w14:paraId="127C2E20" w14:textId="77777777" w:rsidR="00124D2A" w:rsidRPr="00FB5EFA" w:rsidRDefault="00000000">
      <w:pPr>
        <w:spacing w:before="60" w:after="40"/>
      </w:pPr>
      <w:r w:rsidRPr="00FB5EFA">
        <w:rPr>
          <w:b/>
          <w:bCs/>
          <w:i/>
          <w:iCs/>
          <w:sz w:val="28"/>
          <w:szCs w:val="28"/>
        </w:rPr>
        <w:t>5.1. Космически отпадъци</w:t>
      </w:r>
    </w:p>
    <w:p w14:paraId="41023241" w14:textId="3A8BA9A7" w:rsidR="00124D2A" w:rsidRPr="00FB5EFA" w:rsidRDefault="00000000">
      <w:pPr>
        <w:jc w:val="both"/>
      </w:pPr>
      <w:r w:rsidRPr="00FB5EFA">
        <w:rPr>
          <w:sz w:val="28"/>
          <w:szCs w:val="28"/>
        </w:rPr>
        <w:t xml:space="preserve">Космическите отпадъци представляват най-сериозната физическа заплаха пред масовото разгръщане на LEO съзвездия. При достатъчна плътност на обектите сблъсъкът между два от тях може да породи верижна реакция от нови отломки </w:t>
      </w:r>
      <w:r w:rsidR="00783E7A">
        <w:rPr>
          <w:sz w:val="28"/>
          <w:szCs w:val="28"/>
        </w:rPr>
        <w:t>-</w:t>
      </w:r>
      <w:r w:rsidRPr="00FB5EFA">
        <w:rPr>
          <w:sz w:val="28"/>
          <w:szCs w:val="28"/>
        </w:rPr>
        <w:t xml:space="preserve"> сценарий, известен като синдром на Кеслер</w:t>
      </w:r>
      <w:r w:rsidR="00FB5EFA">
        <w:rPr>
          <w:sz w:val="28"/>
          <w:szCs w:val="28"/>
          <w:lang w:val="en-US"/>
        </w:rPr>
        <w:t>.</w:t>
      </w:r>
      <w:r w:rsidRPr="00FB5EFA">
        <w:rPr>
          <w:sz w:val="28"/>
          <w:szCs w:val="28"/>
        </w:rPr>
        <w:t xml:space="preserve"> [8] Броят на активните спътници в ниска орбита нарасна от около две хиляди през 2020 г. до над десет хиляди към 2026 г. [9], а кинетични противосателитни изпитания</w:t>
      </w:r>
      <w:r w:rsidR="00783E7A">
        <w:rPr>
          <w:sz w:val="28"/>
          <w:szCs w:val="28"/>
        </w:rPr>
        <w:t>,</w:t>
      </w:r>
      <w:r w:rsidRPr="00FB5EFA">
        <w:rPr>
          <w:sz w:val="28"/>
          <w:szCs w:val="28"/>
        </w:rPr>
        <w:t xml:space="preserve"> като китайското унищожаване на собствен спътник през 2007 г. и руското през 2021 г. </w:t>
      </w:r>
      <w:r w:rsidR="00FB5EFA">
        <w:rPr>
          <w:sz w:val="28"/>
          <w:szCs w:val="28"/>
          <w:lang w:val="en-US"/>
        </w:rPr>
        <w:t>-</w:t>
      </w:r>
      <w:r w:rsidRPr="00FB5EFA">
        <w:rPr>
          <w:sz w:val="28"/>
          <w:szCs w:val="28"/>
        </w:rPr>
        <w:t xml:space="preserve"> вече генерираха хиляди проследими отломки, застрашаващи всички обекти в орбита [10].</w:t>
      </w:r>
    </w:p>
    <w:p w14:paraId="0C4EBD09" w14:textId="77777777" w:rsidR="00124D2A" w:rsidRPr="00FB5EFA" w:rsidRDefault="00000000">
      <w:pPr>
        <w:spacing w:before="60" w:after="40"/>
      </w:pPr>
      <w:r w:rsidRPr="00FB5EFA">
        <w:rPr>
          <w:b/>
          <w:bCs/>
          <w:i/>
          <w:iCs/>
          <w:sz w:val="28"/>
          <w:szCs w:val="28"/>
        </w:rPr>
        <w:t>5.2. Киберсигурност</w:t>
      </w:r>
    </w:p>
    <w:p w14:paraId="43B6B871" w14:textId="77777777" w:rsidR="00124D2A" w:rsidRPr="00FB5EFA" w:rsidRDefault="00000000">
      <w:pPr>
        <w:jc w:val="both"/>
      </w:pPr>
      <w:r w:rsidRPr="00FB5EFA">
        <w:rPr>
          <w:sz w:val="28"/>
          <w:szCs w:val="28"/>
        </w:rPr>
        <w:t xml:space="preserve">Три вектора на кибератака са особено критични за LEO съзвездията: наземните станции за управление, отговорни за телеметрията и командването; каналите за качване на софтуерни ъпдейти към бордовите </w:t>
      </w:r>
      <w:r w:rsidRPr="00FB5EFA">
        <w:rPr>
          <w:sz w:val="28"/>
          <w:szCs w:val="28"/>
        </w:rPr>
        <w:lastRenderedPageBreak/>
        <w:t>компютри на спътниците; и веригата за доставка на компоненти при масовото производство на еднотипни платформи. Успешна атака срещу който и да е от тях може да компрометира не отделен спътник, а цели партиди от еднакво конфигурирани възли, тъй като хомогенността на масовото производство означава, че една софтуерна уязвимост важи за много копия едновременно.</w:t>
      </w:r>
    </w:p>
    <w:p w14:paraId="53CEAD67" w14:textId="77777777" w:rsidR="00124D2A" w:rsidRPr="00FB5EFA" w:rsidRDefault="00000000">
      <w:pPr>
        <w:spacing w:before="60" w:after="40"/>
      </w:pPr>
      <w:r w:rsidRPr="00FB5EFA">
        <w:rPr>
          <w:b/>
          <w:bCs/>
          <w:i/>
          <w:iCs/>
          <w:sz w:val="28"/>
          <w:szCs w:val="28"/>
        </w:rPr>
        <w:t>5.3. Електромагнитни смущения</w:t>
      </w:r>
    </w:p>
    <w:p w14:paraId="3ADF26E7" w14:textId="77777777" w:rsidR="00124D2A" w:rsidRPr="00FB5EFA" w:rsidRDefault="00000000">
      <w:pPr>
        <w:jc w:val="both"/>
      </w:pPr>
      <w:r w:rsidRPr="00FB5EFA">
        <w:rPr>
          <w:sz w:val="28"/>
          <w:szCs w:val="28"/>
        </w:rPr>
        <w:t>Даунлинк сигналите (от спътника към Земята) са относително уязвими, защото отслабват на дълго разстояние и могат да бъдат заглушени от мощни наземни предаватели в близост до бойното поле. Ъплинк заглушаването е технически по-трудно, защото изисква насочен предавател към самия спътник, но при успех застрашава командния канал на цялата система. Пространственото разнообразие и електронното насочване на лъча намаляват, но не елиминират тази уязвимост.</w:t>
      </w:r>
    </w:p>
    <w:p w14:paraId="1DE447A2" w14:textId="77777777" w:rsidR="00124D2A" w:rsidRPr="00FB5EFA" w:rsidRDefault="00000000">
      <w:pPr>
        <w:spacing w:before="60" w:after="40"/>
      </w:pPr>
      <w:r w:rsidRPr="00FB5EFA">
        <w:rPr>
          <w:b/>
          <w:bCs/>
          <w:i/>
          <w:iCs/>
          <w:sz w:val="28"/>
          <w:szCs w:val="28"/>
        </w:rPr>
        <w:t>5.4. Спектър и регулации</w:t>
      </w:r>
    </w:p>
    <w:p w14:paraId="599CD1EA" w14:textId="472C0008" w:rsidR="00124D2A" w:rsidRPr="00FB5EFA" w:rsidRDefault="00000000">
      <w:pPr>
        <w:jc w:val="both"/>
      </w:pPr>
      <w:r w:rsidRPr="00FB5EFA">
        <w:rPr>
          <w:sz w:val="28"/>
          <w:szCs w:val="28"/>
        </w:rPr>
        <w:t>Радиочестотният спектър е ограничен ресурс, управляван на международно ниво от Международния съюз по телекомуникации</w:t>
      </w:r>
      <w:r w:rsidR="00FB5EFA">
        <w:rPr>
          <w:sz w:val="28"/>
          <w:szCs w:val="28"/>
          <w:lang w:val="en-US"/>
        </w:rPr>
        <w:t>.</w:t>
      </w:r>
      <w:r w:rsidRPr="00FB5EFA">
        <w:rPr>
          <w:sz w:val="28"/>
          <w:szCs w:val="28"/>
        </w:rPr>
        <w:t xml:space="preserve"> [11] Конкуренцията между държавни и комерсиални съзвездия за едни и същи честоти създава риск от взаимни смущения, а въпросите за международноправната отговорност при сблъсъци в орбита, уредени от Конвенцията за международна отговорност за вреди, причинени от космически обекти [12], остават сложни за приложение при съзвездия от хиляди спътници, принадлежащи на множество държави и оператори </w:t>
      </w:r>
      <w:r w:rsidR="00FB5EFA">
        <w:rPr>
          <w:sz w:val="28"/>
          <w:szCs w:val="28"/>
          <w:lang w:val="en-US"/>
        </w:rPr>
        <w:t>-</w:t>
      </w:r>
      <w:r w:rsidRPr="00FB5EFA">
        <w:rPr>
          <w:sz w:val="28"/>
          <w:szCs w:val="28"/>
        </w:rPr>
        <w:t xml:space="preserve"> обстоятелство, което затруднява точното приписване на отговорност след инцидент.</w:t>
      </w:r>
    </w:p>
    <w:p w14:paraId="702DE375" w14:textId="77777777" w:rsidR="00124D2A" w:rsidRPr="00FB5EFA" w:rsidRDefault="00000000">
      <w:pPr>
        <w:spacing w:before="120" w:after="60"/>
      </w:pPr>
      <w:r w:rsidRPr="00FB5EFA">
        <w:rPr>
          <w:b/>
          <w:bCs/>
          <w:sz w:val="28"/>
          <w:szCs w:val="28"/>
        </w:rPr>
        <w:t>6. Казуси: САЩ, Китай и Русия</w:t>
      </w:r>
    </w:p>
    <w:p w14:paraId="2B7BFD76" w14:textId="77777777" w:rsidR="00124D2A" w:rsidRPr="00FB5EFA" w:rsidRDefault="00000000">
      <w:pPr>
        <w:spacing w:before="60" w:after="40"/>
      </w:pPr>
      <w:r w:rsidRPr="00FB5EFA">
        <w:rPr>
          <w:b/>
          <w:bCs/>
          <w:i/>
          <w:iCs/>
          <w:sz w:val="28"/>
          <w:szCs w:val="28"/>
        </w:rPr>
        <w:t>6.1. Съединени щати: Starshield и SDA</w:t>
      </w:r>
    </w:p>
    <w:p w14:paraId="6AC66A23" w14:textId="5ADED661" w:rsidR="00124D2A" w:rsidRPr="00FB5EFA" w:rsidRDefault="00000000">
      <w:pPr>
        <w:jc w:val="both"/>
        <w:rPr>
          <w:lang w:val="en-US"/>
        </w:rPr>
      </w:pPr>
      <w:r w:rsidRPr="00FB5EFA">
        <w:rPr>
          <w:sz w:val="28"/>
          <w:szCs w:val="28"/>
        </w:rPr>
        <w:t>Съединените щати водят в оперативното внедряване на военни LEO способности чрез тясно сътрудничество с частния сектор. Агенцията за космическо развитие (SDA) изгражда многослойна архитектура Proliferated Warfighter Space Architecture (PWSA) за комуникации, наблюдение и ранно предупреждение</w:t>
      </w:r>
      <w:r w:rsidR="00FB5EFA">
        <w:rPr>
          <w:sz w:val="28"/>
          <w:szCs w:val="28"/>
          <w:lang w:val="en-US"/>
        </w:rPr>
        <w:t>.</w:t>
      </w:r>
      <w:r w:rsidRPr="00FB5EFA">
        <w:rPr>
          <w:sz w:val="28"/>
          <w:szCs w:val="28"/>
        </w:rPr>
        <w:t xml:space="preserve"> [13] Първата демонстрационна фаза (Tranche 0) включва 28 спътника, а следващата (Tranche 1) предвижда транспортен слой от над 150 спътника, разработвани съвместно от Lockheed Martin, York Space Systems и Northrop Grumman</w:t>
      </w:r>
      <w:r w:rsidR="00FB5EFA">
        <w:rPr>
          <w:sz w:val="28"/>
          <w:szCs w:val="28"/>
          <w:lang w:val="en-US"/>
        </w:rPr>
        <w:t>.</w:t>
      </w:r>
      <w:r w:rsidRPr="00FB5EFA">
        <w:rPr>
          <w:sz w:val="28"/>
          <w:szCs w:val="28"/>
        </w:rPr>
        <w:t xml:space="preserve"> [14] Успоредно с това SpaceX разработи Starshield </w:t>
      </w:r>
      <w:r w:rsidR="00783E7A">
        <w:rPr>
          <w:sz w:val="28"/>
          <w:szCs w:val="28"/>
        </w:rPr>
        <w:t>-</w:t>
      </w:r>
      <w:r w:rsidRPr="00FB5EFA">
        <w:rPr>
          <w:sz w:val="28"/>
          <w:szCs w:val="28"/>
        </w:rPr>
        <w:t xml:space="preserve"> военизиран вариант на Starlink по договор с Пентагона, предоставящ защитени комуникации и наблюдение</w:t>
      </w:r>
      <w:r w:rsidR="00FB5EFA">
        <w:rPr>
          <w:sz w:val="28"/>
          <w:szCs w:val="28"/>
          <w:lang w:val="en-US"/>
        </w:rPr>
        <w:t>.</w:t>
      </w:r>
      <w:r w:rsidRPr="00FB5EFA">
        <w:rPr>
          <w:sz w:val="28"/>
          <w:szCs w:val="28"/>
        </w:rPr>
        <w:t xml:space="preserve"> [15]</w:t>
      </w:r>
      <w:r w:rsidR="00783E7A">
        <w:t xml:space="preserve"> </w:t>
      </w:r>
      <w:r w:rsidRPr="00FB5EFA">
        <w:rPr>
          <w:sz w:val="28"/>
          <w:szCs w:val="28"/>
        </w:rPr>
        <w:t>Опитът от Украйна остава първият мащабен оперативен тест на подобна система в реални бойни условия</w:t>
      </w:r>
      <w:r w:rsidR="00783E7A">
        <w:rPr>
          <w:sz w:val="28"/>
          <w:szCs w:val="28"/>
        </w:rPr>
        <w:t xml:space="preserve"> -</w:t>
      </w:r>
      <w:r w:rsidRPr="00FB5EFA">
        <w:rPr>
          <w:sz w:val="28"/>
          <w:szCs w:val="28"/>
        </w:rPr>
        <w:t xml:space="preserve"> терминалите Starlink позволиха на украински части да координират артилерийски удари и да управляват безпилотни системи в райони без друга комуникационна инфраструктура, но провокираха и разработването на специализирани руски средства за заглушаване</w:t>
      </w:r>
      <w:r w:rsidR="00453C86">
        <w:rPr>
          <w:sz w:val="28"/>
          <w:szCs w:val="28"/>
        </w:rPr>
        <w:t xml:space="preserve">. Това е </w:t>
      </w:r>
      <w:r w:rsidRPr="00FB5EFA">
        <w:rPr>
          <w:sz w:val="28"/>
          <w:szCs w:val="28"/>
        </w:rPr>
        <w:t xml:space="preserve"> илюстрация на постоянната надпревара между мерки и противомерки, характерна за целия сектор</w:t>
      </w:r>
      <w:r w:rsidR="00FB5EFA">
        <w:rPr>
          <w:sz w:val="28"/>
          <w:szCs w:val="28"/>
          <w:lang w:val="en-US"/>
        </w:rPr>
        <w:t>.</w:t>
      </w:r>
      <w:r w:rsidRPr="00FB5EFA">
        <w:rPr>
          <w:sz w:val="28"/>
          <w:szCs w:val="28"/>
        </w:rPr>
        <w:t xml:space="preserve"> [16]</w:t>
      </w:r>
    </w:p>
    <w:p w14:paraId="58E2A5F1" w14:textId="77777777" w:rsidR="00124D2A" w:rsidRPr="00FB5EFA" w:rsidRDefault="00000000">
      <w:pPr>
        <w:spacing w:before="60" w:after="40"/>
      </w:pPr>
      <w:r w:rsidRPr="00FB5EFA">
        <w:rPr>
          <w:b/>
          <w:bCs/>
          <w:i/>
          <w:iCs/>
          <w:sz w:val="28"/>
          <w:szCs w:val="28"/>
        </w:rPr>
        <w:t>6.2. Китай: проектът Guowang и серията YAOGAN</w:t>
      </w:r>
    </w:p>
    <w:p w14:paraId="0A04F7AE" w14:textId="02DAA7A4" w:rsidR="00124D2A" w:rsidRPr="00FB5EFA" w:rsidRDefault="00000000">
      <w:pPr>
        <w:jc w:val="both"/>
      </w:pPr>
      <w:r w:rsidRPr="00FB5EFA">
        <w:rPr>
          <w:sz w:val="28"/>
          <w:szCs w:val="28"/>
        </w:rPr>
        <w:lastRenderedPageBreak/>
        <w:t>Китай следва централизиран, държавно финансиран модел. Проектът Guowang, управляван от държавната компания China SatNet, предвижда съзвездие от около тринадесет хиляди спътника</w:t>
      </w:r>
      <w:r w:rsidR="00453C86">
        <w:rPr>
          <w:sz w:val="28"/>
          <w:szCs w:val="28"/>
        </w:rPr>
        <w:t>. А</w:t>
      </w:r>
      <w:r w:rsidRPr="00FB5EFA">
        <w:rPr>
          <w:sz w:val="28"/>
          <w:szCs w:val="28"/>
        </w:rPr>
        <w:t>нализатори посочват потенциал за военна употреба наред с гражданското му предназначение, въпреки че официално системата се представя като комуникационна инфраструктура</w:t>
      </w:r>
      <w:r w:rsidR="00FB5EFA">
        <w:rPr>
          <w:sz w:val="28"/>
          <w:szCs w:val="28"/>
          <w:lang w:val="en-US"/>
        </w:rPr>
        <w:t>.</w:t>
      </w:r>
      <w:r w:rsidRPr="00FB5EFA">
        <w:rPr>
          <w:sz w:val="28"/>
          <w:szCs w:val="28"/>
        </w:rPr>
        <w:t xml:space="preserve"> [17] Успоредно с Guowang, Китай поддържа серията разузнавателни спътници YAOGAN, официално представяни като граждански системи за дистанционно наблюдение, но според западни анализатори</w:t>
      </w:r>
      <w:r w:rsidR="00453C86">
        <w:rPr>
          <w:sz w:val="28"/>
          <w:szCs w:val="28"/>
        </w:rPr>
        <w:t xml:space="preserve"> -</w:t>
      </w:r>
      <w:r w:rsidRPr="00FB5EFA">
        <w:rPr>
          <w:sz w:val="28"/>
          <w:szCs w:val="28"/>
        </w:rPr>
        <w:t xml:space="preserve"> обслужващи предимно нуждите на Народоосвободителната армия чрез оптични, радарни (SAR) и електронноразузнавателни (ELINT) сензори</w:t>
      </w:r>
      <w:r w:rsidR="00FB5EFA">
        <w:rPr>
          <w:sz w:val="28"/>
          <w:szCs w:val="28"/>
          <w:lang w:val="en-US"/>
        </w:rPr>
        <w:t>.</w:t>
      </w:r>
      <w:r w:rsidRPr="00FB5EFA">
        <w:rPr>
          <w:sz w:val="28"/>
          <w:szCs w:val="28"/>
        </w:rPr>
        <w:t xml:space="preserve"> [18] Съзвездието наброява над сто действащи спътника, насочени включително към наблюдение на Тайванския проток и Южнокитайско море.</w:t>
      </w:r>
    </w:p>
    <w:p w14:paraId="7B9E7B9D" w14:textId="77777777" w:rsidR="00124D2A" w:rsidRPr="00FB5EFA" w:rsidRDefault="00000000">
      <w:pPr>
        <w:spacing w:before="60" w:after="40"/>
      </w:pPr>
      <w:r w:rsidRPr="00FB5EFA">
        <w:rPr>
          <w:b/>
          <w:bCs/>
          <w:i/>
          <w:iCs/>
          <w:sz w:val="28"/>
          <w:szCs w:val="28"/>
        </w:rPr>
        <w:t>6.3. Русия: проектът „Сфера“</w:t>
      </w:r>
    </w:p>
    <w:p w14:paraId="09F93917" w14:textId="37D65F41" w:rsidR="00124D2A" w:rsidRPr="00FB5EFA" w:rsidRDefault="00000000">
      <w:pPr>
        <w:jc w:val="both"/>
        <w:rPr>
          <w:lang w:val="en-US"/>
        </w:rPr>
      </w:pPr>
      <w:r w:rsidRPr="00FB5EFA">
        <w:rPr>
          <w:sz w:val="28"/>
          <w:szCs w:val="28"/>
        </w:rPr>
        <w:t xml:space="preserve">Русия изостава заради икономически ограничения. В рамките на „Сфера“ са предвидени отделни подпрограми за различни функции </w:t>
      </w:r>
      <w:r w:rsidR="00FB5EFA">
        <w:rPr>
          <w:sz w:val="28"/>
          <w:szCs w:val="28"/>
          <w:lang w:val="en-US"/>
        </w:rPr>
        <w:t>-</w:t>
      </w:r>
      <w:r w:rsidRPr="00FB5EFA">
        <w:rPr>
          <w:sz w:val="28"/>
          <w:szCs w:val="28"/>
        </w:rPr>
        <w:t xml:space="preserve"> „Маратон“ за интернет на нещата, „Скиф“ за широколентови комуникации и „Експрес-РВ“ за регионални услуги в силно елиптична орбита. Първоначалният план от над 600 спътника беше значително свит поради бюджетни съкращения и ограничен достъп до западни електронни компоненти след 2022 г. [19], а пълното разгръщане на системата многократно е било отлагано към следващото десетилетие. Вместо да настигне конкурентите си в LEO, Москва инвестира в асиметрични противосателитни и заглушаващи способности</w:t>
      </w:r>
      <w:r w:rsidR="00FB5EFA">
        <w:rPr>
          <w:sz w:val="28"/>
          <w:szCs w:val="28"/>
          <w:lang w:val="en-US"/>
        </w:rPr>
        <w:t>.</w:t>
      </w:r>
      <w:r w:rsidRPr="00FB5EFA">
        <w:rPr>
          <w:sz w:val="28"/>
          <w:szCs w:val="28"/>
        </w:rPr>
        <w:t xml:space="preserve"> [20]</w:t>
      </w:r>
    </w:p>
    <w:p w14:paraId="390FCEFE" w14:textId="77777777" w:rsidR="00124D2A" w:rsidRPr="00FB5EFA" w:rsidRDefault="00000000">
      <w:pPr>
        <w:spacing w:before="120" w:after="60"/>
      </w:pPr>
      <w:r w:rsidRPr="00FB5EFA">
        <w:rPr>
          <w:b/>
          <w:bCs/>
          <w:sz w:val="28"/>
          <w:szCs w:val="28"/>
        </w:rPr>
        <w:t>7. Съпоставка на националните подходи</w:t>
      </w:r>
    </w:p>
    <w:p w14:paraId="2E84C37C" w14:textId="195DF4AE" w:rsidR="00124D2A" w:rsidRPr="00FB5EFA" w:rsidRDefault="00000000">
      <w:pPr>
        <w:jc w:val="both"/>
      </w:pPr>
      <w:r w:rsidRPr="00FB5EFA">
        <w:rPr>
          <w:sz w:val="28"/>
          <w:szCs w:val="28"/>
        </w:rPr>
        <w:t>Съпоставката на трите казуса очертава различни пътища към една и съща цел. Американският модел разчита на пазарна динамика и бързо коопериране с частния сектор, което осигурява най-бързо разгръщане, но създава и зависимост от решения на търговски компании, невинаги изцяло подчинени на военното командване. Китайският модел се основава на централизирано държавно финансиране и интеграция с гражданската индустрия, което гарантира дългосрочна автономност за сметка на по-бавно темпо на внедряване. Руският опит показва, че при ограничени ресурси държава може да компенсира изоставането в собствена LEO инфраструктура чрез инвестиции в асиметрични противосателитни способности. Изводът е приложим и извън кръга на трите велики сили: за по-малки държави и алианси, включително членове на НАТО, самостоятелното изграждане на LEO съзвездие е икономически непосилно, но участието в съюзнически или комерсиални мрежи остава реалистична и все по-належаща опция. [21]</w:t>
      </w:r>
    </w:p>
    <w:p w14:paraId="364C4463" w14:textId="77777777" w:rsidR="00124D2A" w:rsidRPr="00FB5EFA" w:rsidRDefault="00000000">
      <w:pPr>
        <w:spacing w:before="120" w:after="60"/>
      </w:pPr>
      <w:r w:rsidRPr="00FB5EFA">
        <w:rPr>
          <w:b/>
          <w:bCs/>
          <w:sz w:val="28"/>
          <w:szCs w:val="28"/>
        </w:rPr>
        <w:t>Заключение</w:t>
      </w:r>
    </w:p>
    <w:p w14:paraId="26E869BA" w14:textId="5A895544" w:rsidR="00124D2A" w:rsidRPr="00FB5EFA" w:rsidRDefault="00000000">
      <w:pPr>
        <w:jc w:val="both"/>
      </w:pPr>
      <w:r w:rsidRPr="00FB5EFA">
        <w:rPr>
          <w:sz w:val="28"/>
          <w:szCs w:val="28"/>
        </w:rPr>
        <w:t xml:space="preserve">Анализът показва, че нискоорбиталните сателитни съзвездия трансформират военните комуникации, разузнаването и навигацията от скъпа и уязвима технология в масов и устойчив елемент на съвременното бойно поле. Тази трансформация носи реални стратегически предимства – </w:t>
      </w:r>
      <w:r w:rsidRPr="00FB5EFA">
        <w:rPr>
          <w:sz w:val="28"/>
          <w:szCs w:val="28"/>
        </w:rPr>
        <w:lastRenderedPageBreak/>
        <w:t>по-ниска латентност, глобално покритие и устойчивост чрез разпределена архитектура</w:t>
      </w:r>
      <w:r w:rsidR="00453C86">
        <w:rPr>
          <w:sz w:val="28"/>
          <w:szCs w:val="28"/>
        </w:rPr>
        <w:t>,</w:t>
      </w:r>
      <w:r w:rsidRPr="00FB5EFA">
        <w:rPr>
          <w:sz w:val="28"/>
          <w:szCs w:val="28"/>
        </w:rPr>
        <w:t xml:space="preserve"> но и нови рискове, свързани с космическите отпадъци, киберсигурността и конкуренцията за честотен спектър. Опитът на САЩ, Китай и Русия показва различни пътища към тази цел, а бъдещето на военните космически системи ще зависи от способността на държавите да съчетаят технологичния напредък със стратегическата устойчивост и международното регулиране на все по-пренаселената орбитална среда.</w:t>
      </w:r>
    </w:p>
    <w:p w14:paraId="2098221B" w14:textId="77777777" w:rsidR="00124D2A" w:rsidRDefault="00124D2A">
      <w:pPr>
        <w:rPr>
          <w:lang w:val="en-US"/>
        </w:rPr>
      </w:pPr>
    </w:p>
    <w:p w14:paraId="19A88C14" w14:textId="77777777" w:rsidR="00FB5EFA" w:rsidRPr="00FB5EFA" w:rsidRDefault="00FB5EFA">
      <w:pPr>
        <w:rPr>
          <w:lang w:val="en-US"/>
        </w:rPr>
      </w:pPr>
    </w:p>
    <w:p w14:paraId="07612833" w14:textId="77777777" w:rsidR="00124D2A" w:rsidRPr="00FB5EFA" w:rsidRDefault="00000000">
      <w:pPr>
        <w:spacing w:before="60" w:after="60"/>
      </w:pPr>
      <w:r w:rsidRPr="00FB5EFA">
        <w:rPr>
          <w:b/>
          <w:bCs/>
          <w:sz w:val="28"/>
          <w:szCs w:val="28"/>
        </w:rPr>
        <w:t>БЕЛЕЖКИ:</w:t>
      </w:r>
    </w:p>
    <w:p w14:paraId="354FDD75" w14:textId="77777777" w:rsidR="00124D2A" w:rsidRPr="00FB5EFA" w:rsidRDefault="00000000">
      <w:pPr>
        <w:jc w:val="both"/>
      </w:pPr>
      <w:r w:rsidRPr="00FB5EFA">
        <w:rPr>
          <w:sz w:val="24"/>
          <w:szCs w:val="24"/>
        </w:rPr>
        <w:t>[1] UNION OF CONCERNED SCIENTISTS. UCS Satellite Database. Online. Cambridge, MA: Union of Concerned Scientists. Available from: https://www.ucsusa.org/resources/satellite-database. [viewed 2026-09-08].</w:t>
      </w:r>
    </w:p>
    <w:p w14:paraId="53EF9C6E" w14:textId="77777777" w:rsidR="00124D2A" w:rsidRPr="00FB5EFA" w:rsidRDefault="00000000">
      <w:pPr>
        <w:jc w:val="both"/>
      </w:pPr>
      <w:r w:rsidRPr="00FB5EFA">
        <w:rPr>
          <w:sz w:val="24"/>
          <w:szCs w:val="24"/>
        </w:rPr>
        <w:t>[2] IPPOLITO, Louis J. Satellite Communications Systems Engineering: Atmospheric Effects, Satellite Link Design and System Performance. Chichester: John Wiley &amp; Sons, 2017.</w:t>
      </w:r>
    </w:p>
    <w:p w14:paraId="2A511A61" w14:textId="77777777" w:rsidR="00124D2A" w:rsidRPr="00FB5EFA" w:rsidRDefault="00000000">
      <w:pPr>
        <w:jc w:val="both"/>
      </w:pPr>
      <w:r w:rsidRPr="00FB5EFA">
        <w:rPr>
          <w:sz w:val="24"/>
          <w:szCs w:val="24"/>
        </w:rPr>
        <w:t>[3] БАЕВ, Георги. Роля и приложение на наносателитите в националната сигурност. Сборник доклади от Международна научна конференция „ArtDef“ – Съвременни изследвания и технологии за отбраната, Институт по отбрана „Проф. Цветан Лазаров“, с. 117–122, ISSN 2815-2581.</w:t>
      </w:r>
    </w:p>
    <w:p w14:paraId="046DBCBB" w14:textId="77777777" w:rsidR="00124D2A" w:rsidRPr="00FB5EFA" w:rsidRDefault="00000000">
      <w:pPr>
        <w:jc w:val="both"/>
      </w:pPr>
      <w:r w:rsidRPr="00FB5EFA">
        <w:rPr>
          <w:sz w:val="24"/>
          <w:szCs w:val="24"/>
        </w:rPr>
        <w:t>[4] IPPOLITO, бел. 2.</w:t>
      </w:r>
    </w:p>
    <w:p w14:paraId="00EDFBF9" w14:textId="77777777" w:rsidR="00124D2A" w:rsidRPr="00FB5EFA" w:rsidRDefault="00000000">
      <w:pPr>
        <w:jc w:val="both"/>
      </w:pPr>
      <w:r w:rsidRPr="00FB5EFA">
        <w:rPr>
          <w:sz w:val="24"/>
          <w:szCs w:val="24"/>
        </w:rPr>
        <w:t>[5] SECURE WORLD FOUNDATION. Global Counterspace Capabilities: An Open Source Assessment. Online. Washington, D.C.: Secure World Foundation, 2025. Available from: https://swfound.org/counterspace. [viewed 2026-09-08].</w:t>
      </w:r>
    </w:p>
    <w:p w14:paraId="44E82F1D" w14:textId="77777777" w:rsidR="00124D2A" w:rsidRPr="00FB5EFA" w:rsidRDefault="00000000">
      <w:pPr>
        <w:jc w:val="both"/>
      </w:pPr>
      <w:r w:rsidRPr="00FB5EFA">
        <w:rPr>
          <w:sz w:val="24"/>
          <w:szCs w:val="24"/>
        </w:rPr>
        <w:t>[6] RAND CORPORATION. Enhancing Space Resilience Through Non-Materiel Means. Santa Monica, CA: RAND Corporation, 2016. Report No. RR-1067-AF.</w:t>
      </w:r>
    </w:p>
    <w:p w14:paraId="1A643318" w14:textId="77777777" w:rsidR="00124D2A" w:rsidRPr="00FB5EFA" w:rsidRDefault="00000000">
      <w:pPr>
        <w:jc w:val="both"/>
      </w:pPr>
      <w:r w:rsidRPr="00FB5EFA">
        <w:rPr>
          <w:sz w:val="24"/>
          <w:szCs w:val="24"/>
        </w:rPr>
        <w:t>[7] RAND CORPORATION, бел. 6.</w:t>
      </w:r>
    </w:p>
    <w:p w14:paraId="1108F092" w14:textId="77777777" w:rsidR="00124D2A" w:rsidRPr="00FB5EFA" w:rsidRDefault="00000000">
      <w:pPr>
        <w:jc w:val="both"/>
      </w:pPr>
      <w:r w:rsidRPr="00FB5EFA">
        <w:rPr>
          <w:sz w:val="24"/>
          <w:szCs w:val="24"/>
        </w:rPr>
        <w:t>[8] KESSLER, Donald J. and COUR-PALAIS, Burton G. Collision Frequency of Artificial Satellites: The Creation of a Debris Belt. Journal of Geophysical Research, vol. 83 (1978), no. A6, pp. 2637–2646.</w:t>
      </w:r>
    </w:p>
    <w:p w14:paraId="1F01C424" w14:textId="77777777" w:rsidR="00124D2A" w:rsidRPr="00FB5EFA" w:rsidRDefault="00000000">
      <w:pPr>
        <w:jc w:val="both"/>
      </w:pPr>
      <w:r w:rsidRPr="00FB5EFA">
        <w:rPr>
          <w:sz w:val="24"/>
          <w:szCs w:val="24"/>
        </w:rPr>
        <w:t>[9] UNION OF CONCERNED SCIENTISTS, бел. 1.</w:t>
      </w:r>
    </w:p>
    <w:p w14:paraId="21CE6E46" w14:textId="77777777" w:rsidR="00124D2A" w:rsidRPr="00FB5EFA" w:rsidRDefault="00000000">
      <w:pPr>
        <w:jc w:val="both"/>
      </w:pPr>
      <w:r w:rsidRPr="00FB5EFA">
        <w:rPr>
          <w:sz w:val="24"/>
          <w:szCs w:val="24"/>
        </w:rPr>
        <w:t>[10] NASA ORBITAL DEBRIS PROGRAM OFFICE. Orbital Debris Quarterly News. Online. Houston: NASA Johnson Space Center. [viewed 2026-09-08].</w:t>
      </w:r>
    </w:p>
    <w:p w14:paraId="07693B11" w14:textId="77777777" w:rsidR="00124D2A" w:rsidRPr="00FB5EFA" w:rsidRDefault="00000000">
      <w:pPr>
        <w:jc w:val="both"/>
      </w:pPr>
      <w:r w:rsidRPr="00FB5EFA">
        <w:rPr>
          <w:sz w:val="24"/>
          <w:szCs w:val="24"/>
        </w:rPr>
        <w:t>[11] INTERNATIONAL TELECOMMUNICATION UNION (ITU). Radio Regulations. Geneva: ITU.</w:t>
      </w:r>
    </w:p>
    <w:p w14:paraId="6B0BA12A" w14:textId="77777777" w:rsidR="00124D2A" w:rsidRPr="00FB5EFA" w:rsidRDefault="00000000">
      <w:pPr>
        <w:jc w:val="both"/>
      </w:pPr>
      <w:r w:rsidRPr="00FB5EFA">
        <w:rPr>
          <w:sz w:val="24"/>
          <w:szCs w:val="24"/>
        </w:rPr>
        <w:t>[12] UNITED NATIONS OFFICE FOR OUTER SPACE AFFAIRS (UNOOSA). Convention on International Liability for Damage Caused by Space Objects. New York: United Nations, 1972.</w:t>
      </w:r>
    </w:p>
    <w:p w14:paraId="3832A59F" w14:textId="77777777" w:rsidR="00124D2A" w:rsidRPr="00FB5EFA" w:rsidRDefault="00000000">
      <w:pPr>
        <w:jc w:val="both"/>
      </w:pPr>
      <w:r w:rsidRPr="00FB5EFA">
        <w:rPr>
          <w:sz w:val="24"/>
          <w:szCs w:val="24"/>
        </w:rPr>
        <w:t>[13] SPACENEWS. SDA Renames LEO Constellation to Proliferated Warfighter Space Architecture. Online. 2023-01-23. Available from: https://spacenews.com/?p=140632. [viewed 2026-09-08].</w:t>
      </w:r>
    </w:p>
    <w:p w14:paraId="0A0884D4" w14:textId="77777777" w:rsidR="00124D2A" w:rsidRPr="00FB5EFA" w:rsidRDefault="00000000">
      <w:pPr>
        <w:jc w:val="both"/>
      </w:pPr>
      <w:r w:rsidRPr="00FB5EFA">
        <w:rPr>
          <w:sz w:val="24"/>
          <w:szCs w:val="24"/>
        </w:rPr>
        <w:t>[14] SATELLITE TODAY. SDA Renames LEO Constellation to Proliferated Warfighter Space Architecture. Online. 2023-01-23. Available from: https://www.satellitetoday.com/government-military/2023/01/23/sda-renames-leo-constellation-to-proliferated-warfighter-space-architecture/. [viewed 2026-09-08].</w:t>
      </w:r>
    </w:p>
    <w:p w14:paraId="03DC781C" w14:textId="77777777" w:rsidR="00124D2A" w:rsidRPr="00FB5EFA" w:rsidRDefault="00000000">
      <w:pPr>
        <w:jc w:val="both"/>
      </w:pPr>
      <w:r w:rsidRPr="00FB5EFA">
        <w:rPr>
          <w:sz w:val="24"/>
          <w:szCs w:val="24"/>
        </w:rPr>
        <w:t>[15] CNBC. SpaceX wins first Pentagon contract for Starshield. Online. 2023-09-27. Available from: https://www.cnbc.com/2023/09/27/spacex-wins-first-pentagon-contract-for-starshield.html. [viewed 2026-09-08].</w:t>
      </w:r>
    </w:p>
    <w:p w14:paraId="3BF87B66" w14:textId="77777777" w:rsidR="00124D2A" w:rsidRPr="00FB5EFA" w:rsidRDefault="00000000">
      <w:pPr>
        <w:jc w:val="both"/>
      </w:pPr>
      <w:r w:rsidRPr="00FB5EFA">
        <w:rPr>
          <w:sz w:val="24"/>
          <w:szCs w:val="24"/>
        </w:rPr>
        <w:t>[16] SECURE WORLD FOUNDATION, бел. 5.</w:t>
      </w:r>
    </w:p>
    <w:p w14:paraId="46A2DEDB" w14:textId="77777777" w:rsidR="00124D2A" w:rsidRPr="00FB5EFA" w:rsidRDefault="00000000">
      <w:pPr>
        <w:jc w:val="both"/>
      </w:pPr>
      <w:r w:rsidRPr="00FB5EFA">
        <w:rPr>
          <w:sz w:val="24"/>
          <w:szCs w:val="24"/>
        </w:rPr>
        <w:t>[17] ARS TECHNICA. China's Guowang megaconstellation is more than another version of Starlink. Online. 2025-08. Available from: https://arstechnica.com/space/2025/08/china-may-have-taken-an-early-lead-in-the-race-for-a-military-megaconstellation/. [viewed 2026-09-08].</w:t>
      </w:r>
    </w:p>
    <w:p w14:paraId="714C597D" w14:textId="77777777" w:rsidR="00124D2A" w:rsidRPr="00FB5EFA" w:rsidRDefault="00000000">
      <w:pPr>
        <w:jc w:val="both"/>
      </w:pPr>
      <w:r w:rsidRPr="00FB5EFA">
        <w:rPr>
          <w:sz w:val="24"/>
          <w:szCs w:val="24"/>
        </w:rPr>
        <w:lastRenderedPageBreak/>
        <w:t>[18] JAMESTOWN FOUNDATION. PLA Expands Network of Military Reconnaissance Satellites. China Brief, vol. 10 (2010), no. 17. Available from: https://jamestown.org/?p=26579. [viewed 2026-09-08].</w:t>
      </w:r>
    </w:p>
    <w:p w14:paraId="1911F9C3" w14:textId="77777777" w:rsidR="00124D2A" w:rsidRPr="00FB5EFA" w:rsidRDefault="00000000">
      <w:pPr>
        <w:jc w:val="both"/>
      </w:pPr>
      <w:r w:rsidRPr="00FB5EFA">
        <w:rPr>
          <w:sz w:val="24"/>
          <w:szCs w:val="24"/>
        </w:rPr>
        <w:t>[19] INTERFAX. Russian govt earmarks 95 bln rubles for Sfera satellite project – Roscosmos. Online. 2022-07-12. Available from: https://interfax.com/newsroom/top-stories/81183/. [viewed 2026-09-08].</w:t>
      </w:r>
    </w:p>
    <w:p w14:paraId="61A7704D" w14:textId="77777777" w:rsidR="00124D2A" w:rsidRPr="00FB5EFA" w:rsidRDefault="00000000">
      <w:pPr>
        <w:jc w:val="both"/>
      </w:pPr>
      <w:r w:rsidRPr="00FB5EFA">
        <w:rPr>
          <w:sz w:val="24"/>
          <w:szCs w:val="24"/>
        </w:rPr>
        <w:t>[20] SECURE WORLD FOUNDATION, бел. 5.</w:t>
      </w:r>
    </w:p>
    <w:p w14:paraId="6F8C183B" w14:textId="77777777" w:rsidR="00124D2A" w:rsidRPr="00FB5EFA" w:rsidRDefault="00000000">
      <w:pPr>
        <w:jc w:val="both"/>
      </w:pPr>
      <w:r w:rsidRPr="00FB5EFA">
        <w:rPr>
          <w:sz w:val="24"/>
          <w:szCs w:val="24"/>
        </w:rPr>
        <w:t>[21] БАЕВ, Георги. Стандартизиране на процеса за управление на сателитната информация – модел за осигуряване на екологична сигурност. V Международна научно-техническа конференция „Engineering. Technologies. Education. Security“, 2017, Сборник доклади, кн. 1, том II, с. 228–230, ISSN 2535-0315 (печат), ISSN 2535-0323 (онлайн), Научно-технически съюз по машиностроене „Индустрия-4.0“, София.</w:t>
      </w:r>
    </w:p>
    <w:p w14:paraId="6C8A7C9A" w14:textId="77777777" w:rsidR="00124D2A" w:rsidRPr="00FB5EFA" w:rsidRDefault="00124D2A"/>
    <w:p w14:paraId="17DB12D0" w14:textId="77777777" w:rsidR="00124D2A" w:rsidRPr="00FB5EFA" w:rsidRDefault="00000000">
      <w:pPr>
        <w:spacing w:before="60" w:after="60"/>
      </w:pPr>
      <w:r w:rsidRPr="00FB5EFA">
        <w:rPr>
          <w:b/>
          <w:bCs/>
          <w:sz w:val="28"/>
          <w:szCs w:val="28"/>
        </w:rPr>
        <w:t>ЛИТЕРАТУРА:</w:t>
      </w:r>
    </w:p>
    <w:p w14:paraId="4A6D7A92" w14:textId="77777777" w:rsidR="00124D2A" w:rsidRPr="00FB5EFA" w:rsidRDefault="00000000">
      <w:pPr>
        <w:jc w:val="both"/>
      </w:pPr>
      <w:r w:rsidRPr="00FB5EFA">
        <w:rPr>
          <w:sz w:val="24"/>
          <w:szCs w:val="24"/>
        </w:rPr>
        <w:t>1. БАЕВ, Георги. Роля и приложение на наносателитите в националната сигурност. Сборник доклади от Международна научна конференция „ArtDef“ – Съвременни изследвания и технологии за отбраната, Институт по отбрана „Проф. Цветан Лазаров“, с. 117–122, ISSN 2815-2581.</w:t>
      </w:r>
    </w:p>
    <w:p w14:paraId="6504180A" w14:textId="77777777" w:rsidR="00124D2A" w:rsidRPr="00FB5EFA" w:rsidRDefault="00000000">
      <w:pPr>
        <w:jc w:val="both"/>
      </w:pPr>
      <w:r w:rsidRPr="00FB5EFA">
        <w:rPr>
          <w:sz w:val="24"/>
          <w:szCs w:val="24"/>
        </w:rPr>
        <w:t>2. БАЕВ, Георги. Стандартизиране на процеса за управление на сателитната информация – модел за осигуряване на екологична сигурност. V Международна научно-техническа конференция „Engineering. Technologies. Education. Security“, 2017, Сборник доклади, кн. 1, том II, с. 228–230, ISSN 2535-0315 (печат), ISSN 2535-0323 (онлайн), Научно-технически съюз по машиностроене „Индустрия-4.0“, София.</w:t>
      </w:r>
    </w:p>
    <w:p w14:paraId="691B3223" w14:textId="77777777" w:rsidR="00124D2A" w:rsidRPr="00FB5EFA" w:rsidRDefault="00000000">
      <w:pPr>
        <w:jc w:val="both"/>
      </w:pPr>
      <w:r w:rsidRPr="00FB5EFA">
        <w:rPr>
          <w:sz w:val="24"/>
          <w:szCs w:val="24"/>
        </w:rPr>
        <w:t>3. ARS TECHNICA. China's Guowang megaconstellation is more than another version of Starlink. Online. 2025. Available from: https://arstechnica.com/space/2025/08/china-may-have-taken-an-early-lead-in-the-race-for-a-military-megaconstellation/. [viewed 2026-09-08].</w:t>
      </w:r>
    </w:p>
    <w:p w14:paraId="535F683E" w14:textId="77777777" w:rsidR="00124D2A" w:rsidRPr="00FB5EFA" w:rsidRDefault="00000000">
      <w:pPr>
        <w:jc w:val="both"/>
      </w:pPr>
      <w:r w:rsidRPr="00FB5EFA">
        <w:rPr>
          <w:sz w:val="24"/>
          <w:szCs w:val="24"/>
        </w:rPr>
        <w:t>4. CNBC. SpaceX wins first Pentagon contract for Starshield. Online. 2023-09-27. Available from: https://www.cnbc.com/2023/09/27/spacex-wins-first-pentagon-contract-for-starshield.html. [viewed 2026-09-08].</w:t>
      </w:r>
    </w:p>
    <w:p w14:paraId="0E2EF236" w14:textId="77777777" w:rsidR="00124D2A" w:rsidRPr="00FB5EFA" w:rsidRDefault="00000000">
      <w:pPr>
        <w:jc w:val="both"/>
      </w:pPr>
      <w:r w:rsidRPr="00FB5EFA">
        <w:rPr>
          <w:sz w:val="24"/>
          <w:szCs w:val="24"/>
        </w:rPr>
        <w:t>5. INTERFAX. Russian govt earmarks 95 bln rubles for Sfera satellite project – Roscosmos. Online. 2022-07-12. Available from: https://interfax.com/newsroom/top-stories/81183/. [viewed 2026-09-08].</w:t>
      </w:r>
    </w:p>
    <w:p w14:paraId="3A0EB35F" w14:textId="77777777" w:rsidR="00124D2A" w:rsidRPr="00FB5EFA" w:rsidRDefault="00000000">
      <w:pPr>
        <w:jc w:val="both"/>
      </w:pPr>
      <w:r w:rsidRPr="00FB5EFA">
        <w:rPr>
          <w:sz w:val="24"/>
          <w:szCs w:val="24"/>
        </w:rPr>
        <w:t>6. INTERNATIONAL TELECOMMUNICATION UNION (ITU). Radio Regulations. Geneva: ITU.</w:t>
      </w:r>
    </w:p>
    <w:p w14:paraId="61040E5D" w14:textId="77777777" w:rsidR="00124D2A" w:rsidRPr="00FB5EFA" w:rsidRDefault="00000000">
      <w:pPr>
        <w:jc w:val="both"/>
      </w:pPr>
      <w:r w:rsidRPr="00FB5EFA">
        <w:rPr>
          <w:sz w:val="24"/>
          <w:szCs w:val="24"/>
        </w:rPr>
        <w:t>7. IPPOLITO, Louis J. Satellite Communications Systems Engineering: Atmospheric Effects, Satellite Link Design and System Performance. Chichester: John Wiley &amp; Sons, 2017.</w:t>
      </w:r>
    </w:p>
    <w:p w14:paraId="73A7F13B" w14:textId="77777777" w:rsidR="00124D2A" w:rsidRPr="00FB5EFA" w:rsidRDefault="00000000">
      <w:pPr>
        <w:jc w:val="both"/>
      </w:pPr>
      <w:r w:rsidRPr="00FB5EFA">
        <w:rPr>
          <w:sz w:val="24"/>
          <w:szCs w:val="24"/>
        </w:rPr>
        <w:t>8. JAMESTOWN FOUNDATION. PLA Expands Network of Military Reconnaissance Satellites. China Brief, vol. 10 (2010), no. 17. Available from: https://jamestown.org/?p=26579. [viewed 2026-09-08].</w:t>
      </w:r>
    </w:p>
    <w:p w14:paraId="0CDE5069" w14:textId="77777777" w:rsidR="00124D2A" w:rsidRPr="00FB5EFA" w:rsidRDefault="00000000">
      <w:pPr>
        <w:jc w:val="both"/>
      </w:pPr>
      <w:r w:rsidRPr="00FB5EFA">
        <w:rPr>
          <w:sz w:val="24"/>
          <w:szCs w:val="24"/>
        </w:rPr>
        <w:t>9. KESSLER, Donald J. and COUR-PALAIS, Burton G. Collision Frequency of Artificial Satellites: The Creation of a Debris Belt. Journal of Geophysical Research, vol. 83 (1978), no. A6, pp. 2637–2646.</w:t>
      </w:r>
    </w:p>
    <w:p w14:paraId="47BF75E1" w14:textId="77777777" w:rsidR="00124D2A" w:rsidRPr="00FB5EFA" w:rsidRDefault="00000000">
      <w:pPr>
        <w:jc w:val="both"/>
      </w:pPr>
      <w:r w:rsidRPr="00FB5EFA">
        <w:rPr>
          <w:sz w:val="24"/>
          <w:szCs w:val="24"/>
        </w:rPr>
        <w:t>10. NASA ORBITAL DEBRIS PROGRAM OFFICE. Orbital Debris Quarterly News. Online. Houston: NASA Johnson Space Center. [viewed 2026-09-08].</w:t>
      </w:r>
    </w:p>
    <w:p w14:paraId="171A1940" w14:textId="77777777" w:rsidR="00124D2A" w:rsidRPr="00FB5EFA" w:rsidRDefault="00000000">
      <w:pPr>
        <w:jc w:val="both"/>
      </w:pPr>
      <w:r w:rsidRPr="00FB5EFA">
        <w:rPr>
          <w:sz w:val="24"/>
          <w:szCs w:val="24"/>
        </w:rPr>
        <w:t>11. RAND CORPORATION. Enhancing Space Resilience Through Non-Materiel Means. Santa Monica, CA: RAND Corporation, 2016. Report No. RR-1067-AF.</w:t>
      </w:r>
    </w:p>
    <w:p w14:paraId="5F475DED" w14:textId="77777777" w:rsidR="00124D2A" w:rsidRPr="00FB5EFA" w:rsidRDefault="00000000">
      <w:pPr>
        <w:jc w:val="both"/>
      </w:pPr>
      <w:r w:rsidRPr="00FB5EFA">
        <w:rPr>
          <w:sz w:val="24"/>
          <w:szCs w:val="24"/>
        </w:rPr>
        <w:t>12. SATELLITE TODAY. SDA Renames LEO Constellation to Proliferated Warfighter Space Architecture. Online. 2023-01-23. Available from: https://www.satellitetoday.com/government-military/2023/01/23/sda-renames-leo-constellation-to-proliferated-warfighter-space-architecture/. [viewed 2026-09-08].</w:t>
      </w:r>
    </w:p>
    <w:p w14:paraId="4FEB3758" w14:textId="77777777" w:rsidR="00124D2A" w:rsidRPr="00FB5EFA" w:rsidRDefault="00000000">
      <w:pPr>
        <w:jc w:val="both"/>
      </w:pPr>
      <w:r w:rsidRPr="00FB5EFA">
        <w:rPr>
          <w:sz w:val="24"/>
          <w:szCs w:val="24"/>
        </w:rPr>
        <w:t>13. SECURE WORLD FOUNDATION. Global Counterspace Capabilities: An Open Source Assessment. Online. Washington, D.C.: Secure World Foundation, 2025. Available from: https://swfound.org/counterspace. [viewed 2026-09-08].</w:t>
      </w:r>
    </w:p>
    <w:p w14:paraId="0DB71A8A" w14:textId="77777777" w:rsidR="00124D2A" w:rsidRPr="00FB5EFA" w:rsidRDefault="00000000">
      <w:pPr>
        <w:jc w:val="both"/>
      </w:pPr>
      <w:r w:rsidRPr="00FB5EFA">
        <w:rPr>
          <w:sz w:val="24"/>
          <w:szCs w:val="24"/>
        </w:rPr>
        <w:lastRenderedPageBreak/>
        <w:t>14. SPACENEWS. SDA Renames LEO Constellation to Proliferated Warfighter Space Architecture. Online. 2023-01-23. Available from: https://spacenews.com/?p=140632. [viewed 2026-09-08].</w:t>
      </w:r>
    </w:p>
    <w:p w14:paraId="4481E55E" w14:textId="77777777" w:rsidR="00124D2A" w:rsidRPr="00FB5EFA" w:rsidRDefault="00000000">
      <w:pPr>
        <w:jc w:val="both"/>
      </w:pPr>
      <w:r w:rsidRPr="00FB5EFA">
        <w:rPr>
          <w:sz w:val="24"/>
          <w:szCs w:val="24"/>
        </w:rPr>
        <w:t>15. UNION OF CONCERNED SCIENTISTS. UCS Satellite Database. Online. Cambridge, MA: Union of Concerned Scientists. Available from: https://www.ucsusa.org/resources/satellite-database. [viewed 2026-09-08].</w:t>
      </w:r>
    </w:p>
    <w:p w14:paraId="46491AB2" w14:textId="77777777" w:rsidR="00124D2A" w:rsidRPr="00FB5EFA" w:rsidRDefault="00000000">
      <w:pPr>
        <w:jc w:val="both"/>
      </w:pPr>
      <w:r w:rsidRPr="00FB5EFA">
        <w:rPr>
          <w:sz w:val="24"/>
          <w:szCs w:val="24"/>
        </w:rPr>
        <w:t>16. UNITED NATIONS OFFICE FOR OUTER SPACE AFFAIRS (UNOOSA). Convention on International Liability for Damage Caused by Space Objects. New York: United Nations, 1972.</w:t>
      </w:r>
    </w:p>
    <w:p w14:paraId="7D91E671" w14:textId="77777777" w:rsidR="00124D2A" w:rsidRPr="00FB5EFA" w:rsidRDefault="00124D2A"/>
    <w:p w14:paraId="61427DB3" w14:textId="77777777" w:rsidR="00124D2A" w:rsidRPr="00FB5EFA" w:rsidRDefault="00000000">
      <w:r w:rsidRPr="00FB5EFA">
        <w:rPr>
          <w:i/>
          <w:iCs/>
          <w:sz w:val="24"/>
          <w:szCs w:val="24"/>
        </w:rPr>
        <w:t>[Три имена на автора]</w:t>
      </w:r>
    </w:p>
    <w:p w14:paraId="4EDD3795" w14:textId="77777777" w:rsidR="00124D2A" w:rsidRPr="00FB5EFA" w:rsidRDefault="00000000">
      <w:r w:rsidRPr="00FB5EFA">
        <w:rPr>
          <w:i/>
          <w:iCs/>
          <w:sz w:val="24"/>
          <w:szCs w:val="24"/>
        </w:rPr>
        <w:t>[Научна степен и звание, институция, в която работи]</w:t>
      </w:r>
    </w:p>
    <w:p w14:paraId="17AA3D20" w14:textId="77777777" w:rsidR="00124D2A" w:rsidRDefault="00000000">
      <w:r w:rsidRPr="00FB5EFA">
        <w:rPr>
          <w:i/>
          <w:iCs/>
          <w:sz w:val="24"/>
          <w:szCs w:val="24"/>
        </w:rPr>
        <w:t>[Адрес за кореспонденция, телефон и e-mail]</w:t>
      </w:r>
    </w:p>
    <w:sectPr w:rsidR="00124D2A">
      <w:pgSz w:w="11906" w:h="16838"/>
      <w:pgMar w:top="1134" w:right="1134" w:bottom="850" w:left="1701"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9B17E3"/>
    <w:multiLevelType w:val="hybridMultilevel"/>
    <w:tmpl w:val="0FAC8E04"/>
    <w:lvl w:ilvl="0" w:tplc="C812F20E">
      <w:start w:val="1"/>
      <w:numFmt w:val="bullet"/>
      <w:lvlText w:val="●"/>
      <w:lvlJc w:val="left"/>
      <w:pPr>
        <w:ind w:left="720" w:hanging="360"/>
      </w:pPr>
    </w:lvl>
    <w:lvl w:ilvl="1" w:tplc="A252B4F6">
      <w:start w:val="1"/>
      <w:numFmt w:val="bullet"/>
      <w:lvlText w:val="○"/>
      <w:lvlJc w:val="left"/>
      <w:pPr>
        <w:ind w:left="1440" w:hanging="360"/>
      </w:pPr>
    </w:lvl>
    <w:lvl w:ilvl="2" w:tplc="DEAE57EC">
      <w:start w:val="1"/>
      <w:numFmt w:val="bullet"/>
      <w:lvlText w:val="■"/>
      <w:lvlJc w:val="left"/>
      <w:pPr>
        <w:ind w:left="2160" w:hanging="360"/>
      </w:pPr>
    </w:lvl>
    <w:lvl w:ilvl="3" w:tplc="692C3DC4">
      <w:start w:val="1"/>
      <w:numFmt w:val="bullet"/>
      <w:lvlText w:val="●"/>
      <w:lvlJc w:val="left"/>
      <w:pPr>
        <w:ind w:left="2880" w:hanging="360"/>
      </w:pPr>
    </w:lvl>
    <w:lvl w:ilvl="4" w:tplc="18829CAE">
      <w:start w:val="1"/>
      <w:numFmt w:val="bullet"/>
      <w:lvlText w:val="○"/>
      <w:lvlJc w:val="left"/>
      <w:pPr>
        <w:ind w:left="3600" w:hanging="360"/>
      </w:pPr>
    </w:lvl>
    <w:lvl w:ilvl="5" w:tplc="4AE8F6DA">
      <w:start w:val="1"/>
      <w:numFmt w:val="bullet"/>
      <w:lvlText w:val="■"/>
      <w:lvlJc w:val="left"/>
      <w:pPr>
        <w:ind w:left="4320" w:hanging="360"/>
      </w:pPr>
    </w:lvl>
    <w:lvl w:ilvl="6" w:tplc="C6844DC8">
      <w:start w:val="1"/>
      <w:numFmt w:val="bullet"/>
      <w:lvlText w:val="●"/>
      <w:lvlJc w:val="left"/>
      <w:pPr>
        <w:ind w:left="5040" w:hanging="360"/>
      </w:pPr>
    </w:lvl>
    <w:lvl w:ilvl="7" w:tplc="4582E63C">
      <w:start w:val="1"/>
      <w:numFmt w:val="bullet"/>
      <w:lvlText w:val="●"/>
      <w:lvlJc w:val="left"/>
      <w:pPr>
        <w:ind w:left="5760" w:hanging="360"/>
      </w:pPr>
    </w:lvl>
    <w:lvl w:ilvl="8" w:tplc="4F0CDCD2">
      <w:start w:val="1"/>
      <w:numFmt w:val="bullet"/>
      <w:lvlText w:val="●"/>
      <w:lvlJc w:val="left"/>
      <w:pPr>
        <w:ind w:left="6480" w:hanging="360"/>
      </w:pPr>
    </w:lvl>
  </w:abstractNum>
  <w:num w:numId="1" w16cid:durableId="47226111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4D2A"/>
    <w:rsid w:val="000C3856"/>
    <w:rsid w:val="00124D2A"/>
    <w:rsid w:val="00453C86"/>
    <w:rsid w:val="00783E7A"/>
    <w:rsid w:val="008B6798"/>
    <w:rsid w:val="00FB5E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F9126C"/>
  <w15:docId w15:val="{C87F4DD3-11F6-47E7-984F-D1E3A6962B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lang w:val="bg-BG"/>
    </w:rPr>
  </w:style>
  <w:style w:type="paragraph" w:styleId="1">
    <w:name w:val="heading 1"/>
    <w:uiPriority w:val="9"/>
    <w:qFormat/>
    <w:pPr>
      <w:outlineLvl w:val="0"/>
    </w:pPr>
    <w:rPr>
      <w:color w:val="2E74B5"/>
      <w:sz w:val="32"/>
      <w:szCs w:val="32"/>
    </w:rPr>
  </w:style>
  <w:style w:type="paragraph" w:styleId="2">
    <w:name w:val="heading 2"/>
    <w:uiPriority w:val="9"/>
    <w:semiHidden/>
    <w:unhideWhenUsed/>
    <w:qFormat/>
    <w:pPr>
      <w:outlineLvl w:val="1"/>
    </w:pPr>
    <w:rPr>
      <w:color w:val="2E74B5"/>
      <w:sz w:val="26"/>
      <w:szCs w:val="26"/>
    </w:rPr>
  </w:style>
  <w:style w:type="paragraph" w:styleId="3">
    <w:name w:val="heading 3"/>
    <w:uiPriority w:val="9"/>
    <w:semiHidden/>
    <w:unhideWhenUsed/>
    <w:qFormat/>
    <w:pPr>
      <w:outlineLvl w:val="2"/>
    </w:pPr>
    <w:rPr>
      <w:color w:val="1F4D78"/>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Строг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style>
  <w:style w:type="character" w:customStyle="1" w:styleId="a8">
    <w:name w:val="Текст под линия Знак"/>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style>
  <w:style w:type="character" w:customStyle="1" w:styleId="ab">
    <w:name w:val="Текст на бележка в края Знак"/>
    <w:link w:val="aa"/>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9</Pages>
  <Words>3510</Words>
  <Characters>20010</Characters>
  <Application>Microsoft Office Word</Application>
  <DocSecurity>0</DocSecurity>
  <Lines>166</Lines>
  <Paragraphs>46</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23474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Георги Баев</cp:lastModifiedBy>
  <cp:revision>3</cp:revision>
  <dcterms:created xsi:type="dcterms:W3CDTF">2026-09-10T14:05:00Z</dcterms:created>
  <dcterms:modified xsi:type="dcterms:W3CDTF">2026-09-10T14:06:00Z</dcterms:modified>
</cp:coreProperties>
</file>