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3095" w:rsidRDefault="004F3095" w:rsidP="00706529">
      <w:pPr>
        <w:spacing w:after="0"/>
        <w:jc w:val="center"/>
      </w:pPr>
      <w:bookmarkStart w:id="0" w:name="_GoBack"/>
      <w:bookmarkEnd w:id="0"/>
      <w:r>
        <w:rPr>
          <w:b/>
          <w:sz w:val="32"/>
        </w:rPr>
        <w:t>ПСИХОЛОГИЧЕСКО БЛАГОПОЛУЧИЕ В ЮНОШЕСКА ВЪЗРАСТ: ФАКТОРНА СТРУКТУРА И ПСИХОМЕТРИЧНИ ХАРАКТЕРИСТИКИ В БЪЛГАРСКА ИЗВАДКА</w:t>
      </w:r>
    </w:p>
    <w:p w:rsidR="004F3095" w:rsidRDefault="004F3095" w:rsidP="00706529">
      <w:pPr>
        <w:spacing w:after="0"/>
      </w:pPr>
    </w:p>
    <w:p w:rsidR="004F3095" w:rsidRDefault="004F3095" w:rsidP="00706529">
      <w:pPr>
        <w:spacing w:after="0"/>
      </w:pPr>
    </w:p>
    <w:p w:rsidR="004F3095" w:rsidRPr="00106D17" w:rsidRDefault="004F3095" w:rsidP="00706529">
      <w:pPr>
        <w:jc w:val="center"/>
        <w:rPr>
          <w:rFonts w:cs="Times New Roman"/>
          <w:b/>
          <w:bCs/>
          <w:sz w:val="32"/>
          <w:szCs w:val="32"/>
          <w:lang w:val="bg-BG"/>
        </w:rPr>
      </w:pPr>
      <w:r w:rsidRPr="000D234C">
        <w:rPr>
          <w:rFonts w:cs="Times New Roman"/>
          <w:b/>
          <w:bCs/>
          <w:sz w:val="32"/>
          <w:szCs w:val="32"/>
          <w:lang w:val="bg-BG"/>
        </w:rPr>
        <w:t xml:space="preserve">Йоана Янкулова, </w:t>
      </w:r>
      <w:r w:rsidRPr="000D234C">
        <w:rPr>
          <w:rFonts w:cs="Times New Roman"/>
          <w:b/>
          <w:sz w:val="32"/>
          <w:szCs w:val="32"/>
        </w:rPr>
        <w:t xml:space="preserve">Християна Джумаданова, </w:t>
      </w:r>
      <w:r w:rsidRPr="000D234C">
        <w:rPr>
          <w:rFonts w:cs="Times New Roman"/>
          <w:b/>
          <w:bCs/>
          <w:sz w:val="32"/>
          <w:szCs w:val="32"/>
          <w:lang w:val="bg-BG"/>
        </w:rPr>
        <w:t xml:space="preserve">Петър Цветков, </w:t>
      </w:r>
      <w:r w:rsidRPr="000D234C">
        <w:rPr>
          <w:rFonts w:cs="Times New Roman"/>
          <w:b/>
          <w:sz w:val="32"/>
          <w:szCs w:val="32"/>
        </w:rPr>
        <w:t>Ева Костадинова, Денис Ялнъзов</w:t>
      </w:r>
      <w:r w:rsidR="00106D17">
        <w:rPr>
          <w:rFonts w:cs="Times New Roman"/>
          <w:b/>
          <w:sz w:val="32"/>
          <w:szCs w:val="32"/>
          <w:lang w:val="bg-BG"/>
        </w:rPr>
        <w:t>, Стела Боева</w:t>
      </w:r>
    </w:p>
    <w:p w:rsidR="00106D17" w:rsidRDefault="00106D17" w:rsidP="00706529">
      <w:pPr>
        <w:spacing w:after="0"/>
      </w:pPr>
    </w:p>
    <w:p w:rsidR="004F3095" w:rsidRDefault="004F3095" w:rsidP="00706529">
      <w:pPr>
        <w:spacing w:after="0"/>
        <w:jc w:val="center"/>
      </w:pPr>
      <w:r>
        <w:rPr>
          <w:b/>
          <w:sz w:val="32"/>
        </w:rPr>
        <w:t>PSYCHOLOGICAL WELL-BEING IN ADOLESCENCE: FACTOR STRUCTURE AND PSYCHOMETRIC CHARACTERISTICS IN A BULGARIAN SAMPLE</w:t>
      </w:r>
    </w:p>
    <w:p w:rsidR="004F3095" w:rsidRDefault="004F3095" w:rsidP="00706529">
      <w:pPr>
        <w:spacing w:after="0"/>
      </w:pPr>
    </w:p>
    <w:p w:rsidR="00106D17" w:rsidRPr="00106D17" w:rsidRDefault="004F3095" w:rsidP="00106D17">
      <w:pPr>
        <w:pStyle w:val="HTMLPreformatted"/>
        <w:jc w:val="center"/>
        <w:rPr>
          <w:rFonts w:ascii="Times New Roman" w:hAnsi="Times New Roman" w:cs="Times New Roman"/>
          <w:b/>
          <w:sz w:val="32"/>
          <w:szCs w:val="32"/>
        </w:rPr>
      </w:pPr>
      <w:r w:rsidRPr="00106D17">
        <w:rPr>
          <w:rFonts w:ascii="Times New Roman" w:hAnsi="Times New Roman" w:cs="Times New Roman"/>
          <w:b/>
          <w:sz w:val="32"/>
          <w:szCs w:val="32"/>
          <w:lang w:val="en"/>
        </w:rPr>
        <w:t>Yoana Yankulova, Hristiyana Dzhumadanova, Petar Tsvetkov, Eva Kostadinova, Denis Yalnazov</w:t>
      </w:r>
      <w:r w:rsidR="00106D17" w:rsidRPr="00106D17">
        <w:rPr>
          <w:rFonts w:ascii="Times New Roman" w:hAnsi="Times New Roman" w:cs="Times New Roman"/>
          <w:b/>
          <w:sz w:val="32"/>
          <w:szCs w:val="32"/>
          <w:lang w:val="bg-BG"/>
        </w:rPr>
        <w:t xml:space="preserve">, </w:t>
      </w:r>
      <w:r w:rsidR="00106D17" w:rsidRPr="00106D17">
        <w:rPr>
          <w:rFonts w:ascii="Times New Roman" w:hAnsi="Times New Roman" w:cs="Times New Roman"/>
          <w:b/>
          <w:sz w:val="32"/>
          <w:szCs w:val="32"/>
          <w:lang w:val="en"/>
        </w:rPr>
        <w:t>Stela Boeva</w:t>
      </w:r>
    </w:p>
    <w:p w:rsidR="004F3095" w:rsidRDefault="004F3095" w:rsidP="00706529">
      <w:pPr>
        <w:spacing w:after="0"/>
      </w:pPr>
    </w:p>
    <w:p w:rsidR="00C00DBA" w:rsidRDefault="00C00DBA" w:rsidP="00755DD3">
      <w:pPr>
        <w:spacing w:before="100" w:beforeAutospacing="1" w:after="100" w:afterAutospacing="1"/>
        <w:jc w:val="left"/>
        <w:outlineLvl w:val="1"/>
        <w:rPr>
          <w:rFonts w:cs="Times New Roman"/>
          <w:szCs w:val="28"/>
        </w:rPr>
      </w:pPr>
    </w:p>
    <w:p w:rsidR="006F448E" w:rsidRPr="006F448E" w:rsidRDefault="006F448E" w:rsidP="006F448E">
      <w:pPr>
        <w:spacing w:before="100" w:beforeAutospacing="1" w:after="100" w:afterAutospacing="1"/>
        <w:rPr>
          <w:rFonts w:cs="Times New Roman"/>
          <w:sz w:val="24"/>
          <w:szCs w:val="24"/>
        </w:rPr>
      </w:pPr>
      <w:r w:rsidRPr="006F448E">
        <w:rPr>
          <w:rFonts w:cs="Times New Roman"/>
          <w:i/>
          <w:iCs/>
          <w:sz w:val="24"/>
          <w:szCs w:val="24"/>
        </w:rPr>
        <w:t>Резюме:</w:t>
      </w:r>
      <w:r w:rsidRPr="006F448E">
        <w:rPr>
          <w:rFonts w:cs="Times New Roman"/>
          <w:sz w:val="24"/>
          <w:szCs w:val="24"/>
        </w:rPr>
        <w:t xml:space="preserve"> </w:t>
      </w:r>
      <w:r w:rsidRPr="006F448E">
        <w:rPr>
          <w:rFonts w:cs="Times New Roman"/>
          <w:i/>
          <w:iCs/>
          <w:sz w:val="24"/>
          <w:szCs w:val="24"/>
        </w:rPr>
        <w:t>Изследването разглежда факторната структура и вътрешната консистентност на 18-айтемната кратка версия на „Скала за психологическо благополучие“ в извадка от 365 ученици на възраст 14</w:t>
      </w:r>
      <w:r w:rsidR="007E1C63">
        <w:rPr>
          <w:rFonts w:cs="Times New Roman"/>
          <w:i/>
          <w:iCs/>
          <w:sz w:val="24"/>
          <w:szCs w:val="24"/>
          <w:lang w:val="bg-BG"/>
        </w:rPr>
        <w:t>-</w:t>
      </w:r>
      <w:r w:rsidRPr="006F448E">
        <w:rPr>
          <w:rFonts w:cs="Times New Roman"/>
          <w:i/>
          <w:iCs/>
          <w:sz w:val="24"/>
          <w:szCs w:val="24"/>
        </w:rPr>
        <w:t>18 години. Анализът на главните компоненти с Варимакс-ротация установява 3-компонентна емпирична структура, различаваща се от теоретичния 6-дименсионен модел. Общата вътрешна консистентност е добра (α=.806).</w:t>
      </w:r>
    </w:p>
    <w:p w:rsidR="00755DD3" w:rsidRPr="00755DD3" w:rsidRDefault="00755DD3" w:rsidP="00755DD3">
      <w:pPr>
        <w:spacing w:before="100" w:beforeAutospacing="1" w:after="100" w:afterAutospacing="1"/>
        <w:jc w:val="left"/>
        <w:rPr>
          <w:rFonts w:cs="Times New Roman"/>
          <w:iCs/>
          <w:szCs w:val="28"/>
        </w:rPr>
      </w:pPr>
    </w:p>
    <w:p w:rsidR="00D44318" w:rsidRPr="00D44318" w:rsidRDefault="00D44318" w:rsidP="00755DD3">
      <w:pPr>
        <w:spacing w:before="100" w:beforeAutospacing="1" w:after="100" w:afterAutospacing="1"/>
        <w:rPr>
          <w:rFonts w:cs="Times New Roman"/>
          <w:sz w:val="24"/>
          <w:szCs w:val="24"/>
        </w:rPr>
      </w:pPr>
      <w:r w:rsidRPr="00D44318">
        <w:rPr>
          <w:rFonts w:cs="Times New Roman"/>
          <w:i/>
          <w:iCs/>
          <w:sz w:val="24"/>
          <w:szCs w:val="24"/>
        </w:rPr>
        <w:t>Ключови думи: психологическо благополучие; Скала за психологическо благополучие; факторна структура; психометрични характеристики; юноши</w:t>
      </w:r>
    </w:p>
    <w:p w:rsidR="00D44318" w:rsidRDefault="00D44318" w:rsidP="00755DD3">
      <w:pPr>
        <w:spacing w:before="100" w:beforeAutospacing="1" w:after="100" w:afterAutospacing="1"/>
        <w:jc w:val="left"/>
        <w:outlineLvl w:val="1"/>
        <w:rPr>
          <w:rFonts w:cs="Times New Roman"/>
          <w:szCs w:val="28"/>
        </w:rPr>
      </w:pPr>
    </w:p>
    <w:p w:rsidR="004F3095" w:rsidRPr="00ED4509" w:rsidRDefault="004F3095" w:rsidP="00755DD3">
      <w:pPr>
        <w:spacing w:before="100" w:beforeAutospacing="1" w:after="100" w:afterAutospacing="1"/>
        <w:outlineLvl w:val="1"/>
        <w:rPr>
          <w:rFonts w:cs="Times New Roman"/>
          <w:i/>
          <w:sz w:val="24"/>
          <w:szCs w:val="24"/>
        </w:rPr>
      </w:pPr>
      <w:r w:rsidRPr="000F3CC1">
        <w:rPr>
          <w:rFonts w:cs="Times New Roman"/>
          <w:bCs/>
          <w:i/>
          <w:sz w:val="24"/>
          <w:szCs w:val="24"/>
        </w:rPr>
        <w:t>Abstract</w:t>
      </w:r>
      <w:r w:rsidRPr="000F3CC1">
        <w:rPr>
          <w:rFonts w:cs="Times New Roman"/>
          <w:bCs/>
          <w:i/>
          <w:sz w:val="24"/>
          <w:szCs w:val="24"/>
          <w:lang w:val="bg-BG"/>
        </w:rPr>
        <w:t xml:space="preserve">: </w:t>
      </w:r>
      <w:r w:rsidR="00ED4509" w:rsidRPr="00ED4509">
        <w:rPr>
          <w:i/>
          <w:sz w:val="24"/>
          <w:szCs w:val="24"/>
        </w:rPr>
        <w:t>The study examined the factor structure and internal consistency of an 18-item short version of Ryff’s Psychological Well-Being Scale in 365 students aged 14–18 years. Principal component analysis with Varimax rotation identified a three-component structure differing from the theoretical six-dimensional model. The total internal consistency was good (α=.806).</w:t>
      </w:r>
    </w:p>
    <w:p w:rsidR="00ED4509" w:rsidRDefault="00ED4509" w:rsidP="00755DD3">
      <w:pPr>
        <w:spacing w:before="100" w:beforeAutospacing="1" w:after="100" w:afterAutospacing="1"/>
        <w:outlineLvl w:val="1"/>
        <w:rPr>
          <w:rFonts w:cs="Times New Roman"/>
          <w:szCs w:val="28"/>
        </w:rPr>
      </w:pPr>
    </w:p>
    <w:p w:rsidR="004F3095" w:rsidRPr="000F3CC1" w:rsidRDefault="004F3095" w:rsidP="00755DD3">
      <w:pPr>
        <w:spacing w:before="100" w:beforeAutospacing="1" w:after="100" w:afterAutospacing="1"/>
        <w:rPr>
          <w:rFonts w:cs="Times New Roman"/>
          <w:i/>
          <w:sz w:val="24"/>
          <w:szCs w:val="24"/>
        </w:rPr>
      </w:pPr>
      <w:r w:rsidRPr="000F3CC1">
        <w:rPr>
          <w:rFonts w:cs="Times New Roman"/>
          <w:i/>
          <w:sz w:val="24"/>
          <w:szCs w:val="24"/>
        </w:rPr>
        <w:t>Keywords: psychological well-being; Psychological Well-Being Scale; factor structure; psychometric characteristics; adolescence</w:t>
      </w:r>
    </w:p>
    <w:p w:rsidR="004F3095" w:rsidRPr="00A15AC5" w:rsidRDefault="004F3095" w:rsidP="00A15AC5">
      <w:pPr>
        <w:spacing w:before="100" w:beforeAutospacing="1" w:after="100" w:afterAutospacing="1"/>
        <w:rPr>
          <w:rFonts w:cs="Times New Roman"/>
          <w:szCs w:val="28"/>
        </w:rPr>
      </w:pPr>
    </w:p>
    <w:p w:rsidR="004F3095" w:rsidRPr="00A15AC5" w:rsidRDefault="004F3095" w:rsidP="00A15AC5">
      <w:pPr>
        <w:spacing w:before="100" w:beforeAutospacing="1" w:after="100" w:afterAutospacing="1"/>
        <w:rPr>
          <w:rFonts w:cs="Times New Roman"/>
          <w:szCs w:val="28"/>
        </w:rPr>
      </w:pPr>
    </w:p>
    <w:p w:rsidR="004F3095" w:rsidRPr="00A15AC5" w:rsidRDefault="000345E7" w:rsidP="00A15AC5">
      <w:pPr>
        <w:spacing w:before="100" w:beforeAutospacing="1" w:after="100" w:afterAutospacing="1"/>
        <w:rPr>
          <w:rFonts w:cs="Times New Roman"/>
          <w:szCs w:val="28"/>
        </w:rPr>
      </w:pPr>
      <w:r w:rsidRPr="00A15AC5">
        <w:rPr>
          <w:rFonts w:cs="Times New Roman"/>
          <w:b/>
          <w:szCs w:val="28"/>
          <w:lang w:val="bg-BG"/>
        </w:rPr>
        <w:t>УВОД</w:t>
      </w:r>
      <w:r w:rsidRPr="00A15AC5">
        <w:rPr>
          <w:rFonts w:cs="Times New Roman"/>
          <w:szCs w:val="28"/>
          <w:lang w:val="bg-BG"/>
        </w:rPr>
        <w:t xml:space="preserve">. </w:t>
      </w:r>
      <w:r w:rsidR="004F3095" w:rsidRPr="00A15AC5">
        <w:rPr>
          <w:rFonts w:cs="Times New Roman"/>
          <w:szCs w:val="28"/>
        </w:rPr>
        <w:t>Психологическото благополучие представлява многомерен конструкт, чрез който се описват положителните аспекти на функционирането на личността, свързани с реализирането на личностния потенциал, изграждането на смислен живот, поддържането на удовлетворяващи отношения и ефективно справяне с изискванията на средата. В рамките на евдемоничната перспектива то се разглежда не само като наличие на положителни преживявания, а като резултат от позитивното функциониране и развитието на личността [</w:t>
      </w:r>
      <w:r w:rsidR="000B3A01" w:rsidRPr="00A15AC5">
        <w:rPr>
          <w:rFonts w:cs="Times New Roman"/>
          <w:szCs w:val="28"/>
          <w:lang w:val="bg-BG"/>
        </w:rPr>
        <w:t>1</w:t>
      </w:r>
      <w:r w:rsidR="004F3095" w:rsidRPr="00A15AC5">
        <w:rPr>
          <w:rFonts w:cs="Times New Roman"/>
          <w:szCs w:val="28"/>
        </w:rPr>
        <w:t>].</w:t>
      </w:r>
    </w:p>
    <w:p w:rsidR="004F3095" w:rsidRPr="00A15AC5" w:rsidRDefault="004F3095" w:rsidP="00A15AC5">
      <w:pPr>
        <w:spacing w:before="100" w:beforeAutospacing="1" w:after="100" w:afterAutospacing="1"/>
        <w:rPr>
          <w:rFonts w:cs="Times New Roman"/>
          <w:szCs w:val="28"/>
        </w:rPr>
      </w:pPr>
      <w:r w:rsidRPr="00A15AC5">
        <w:rPr>
          <w:rFonts w:cs="Times New Roman"/>
          <w:szCs w:val="28"/>
        </w:rPr>
        <w:t>Един от най-влиятелните теоретични модели в тази област е моделът на К. Риф, който концептуализира психологическото благополучие чрез шест взаимосвързани измерения</w:t>
      </w:r>
      <w:r w:rsidRPr="00A15AC5">
        <w:rPr>
          <w:rFonts w:cs="Times New Roman"/>
          <w:szCs w:val="28"/>
          <w:lang w:val="bg-BG"/>
        </w:rPr>
        <w:t>, каквито са</w:t>
      </w:r>
      <w:r w:rsidRPr="00A15AC5">
        <w:rPr>
          <w:rFonts w:cs="Times New Roman"/>
          <w:szCs w:val="28"/>
        </w:rPr>
        <w:t>: автономност, управление на средата, личностно развитие, позитивни отношения с другите, цел в живота и самоприемане [</w:t>
      </w:r>
      <w:r w:rsidR="000B3A01" w:rsidRPr="00A15AC5">
        <w:rPr>
          <w:rFonts w:cs="Times New Roman"/>
          <w:szCs w:val="28"/>
          <w:lang w:val="bg-BG"/>
        </w:rPr>
        <w:t>1</w:t>
      </w:r>
      <w:r w:rsidRPr="00A15AC5">
        <w:rPr>
          <w:rFonts w:cs="Times New Roman"/>
          <w:szCs w:val="28"/>
        </w:rPr>
        <w:t>]. Този модел поставя акцент върху позитивното функциониране и реализирането на личностния потенциал, като се различава от подходите, които свеждат благополучието преимуществено до удовлетвореността от живота и</w:t>
      </w:r>
      <w:r w:rsidRPr="00A15AC5">
        <w:rPr>
          <w:rFonts w:cs="Times New Roman"/>
          <w:szCs w:val="28"/>
          <w:lang w:val="bg-BG"/>
        </w:rPr>
        <w:t xml:space="preserve"> доминантност </w:t>
      </w:r>
      <w:r w:rsidRPr="00A15AC5">
        <w:rPr>
          <w:rFonts w:cs="Times New Roman"/>
          <w:szCs w:val="28"/>
        </w:rPr>
        <w:t>на положителни емоционални състояния.</w:t>
      </w:r>
    </w:p>
    <w:p w:rsidR="004F3095" w:rsidRPr="00A15AC5" w:rsidRDefault="004F3095" w:rsidP="00A15AC5">
      <w:pPr>
        <w:spacing w:before="100" w:beforeAutospacing="1" w:after="100" w:afterAutospacing="1"/>
        <w:rPr>
          <w:rFonts w:cs="Times New Roman"/>
          <w:szCs w:val="28"/>
        </w:rPr>
      </w:pPr>
      <w:r w:rsidRPr="00A15AC5">
        <w:rPr>
          <w:rFonts w:cs="Times New Roman"/>
          <w:szCs w:val="28"/>
        </w:rPr>
        <w:t xml:space="preserve">Юношеската възраст е особено значим период за изследване на психологическото благополучие поради настъпващите промени в автономността, идентичността, социалните отношения и ориентацията към бъдещето. Тези особености поставят въпроса доколко факторната структура на </w:t>
      </w:r>
      <w:r w:rsidRPr="00A15AC5">
        <w:rPr>
          <w:rFonts w:cs="Times New Roman"/>
          <w:szCs w:val="28"/>
          <w:lang w:val="bg-BG"/>
        </w:rPr>
        <w:t xml:space="preserve">измервателен </w:t>
      </w:r>
      <w:r w:rsidRPr="00A15AC5">
        <w:rPr>
          <w:rFonts w:cs="Times New Roman"/>
          <w:szCs w:val="28"/>
        </w:rPr>
        <w:t xml:space="preserve">инструмент, разработен в определена теоретична и културна традиция, може да бъде възпроизведена </w:t>
      </w:r>
      <w:r w:rsidRPr="00A15AC5">
        <w:rPr>
          <w:rFonts w:cs="Times New Roman"/>
          <w:szCs w:val="28"/>
          <w:lang w:val="bg-BG"/>
        </w:rPr>
        <w:t>в български условия</w:t>
      </w:r>
      <w:r w:rsidRPr="00A15AC5">
        <w:rPr>
          <w:rFonts w:cs="Times New Roman"/>
          <w:szCs w:val="28"/>
        </w:rPr>
        <w:t>. Особено внимание изискват кратките версии на скалата, при които ограниченият брой айтеми може да затрудни разграничаването на отделните теоретични измерения. Поради това тяхната структура следва да бъде емпирично проверявана в конкретната извадка.</w:t>
      </w:r>
    </w:p>
    <w:p w:rsidR="00B50EBB" w:rsidRPr="00A15AC5" w:rsidRDefault="00B50EBB" w:rsidP="00A15AC5">
      <w:pPr>
        <w:spacing w:before="100" w:beforeAutospacing="1" w:after="100" w:afterAutospacing="1"/>
        <w:rPr>
          <w:rFonts w:cs="Times New Roman"/>
          <w:szCs w:val="28"/>
        </w:rPr>
      </w:pPr>
      <w:r w:rsidRPr="00A15AC5">
        <w:rPr>
          <w:rFonts w:cs="Times New Roman"/>
          <w:szCs w:val="28"/>
        </w:rPr>
        <w:t>В настоящото изследване е анализирана 18-айтемна кратка версия на „</w:t>
      </w:r>
      <w:r w:rsidRPr="00A15AC5">
        <w:rPr>
          <w:rFonts w:cs="Times New Roman"/>
          <w:b/>
          <w:szCs w:val="28"/>
        </w:rPr>
        <w:t>Скала за психологическо благополучие</w:t>
      </w:r>
      <w:r w:rsidRPr="00A15AC5">
        <w:rPr>
          <w:rFonts w:cs="Times New Roman"/>
          <w:szCs w:val="28"/>
        </w:rPr>
        <w:t xml:space="preserve">“, приложена в шведско изследване </w:t>
      </w:r>
      <w:r w:rsidRPr="00A15AC5">
        <w:rPr>
          <w:rStyle w:val="text-token-text-primary"/>
          <w:rFonts w:cs="Times New Roman"/>
          <w:szCs w:val="28"/>
        </w:rPr>
        <w:t>[3]</w:t>
      </w:r>
      <w:r w:rsidRPr="00A15AC5">
        <w:rPr>
          <w:rFonts w:cs="Times New Roman"/>
          <w:szCs w:val="28"/>
        </w:rPr>
        <w:t>. Версията включва по три айтема, отнасящи се до всяко от шестте теоретични измерения на модела на К. Риф. В шведското изследване оригиналната 6-факторна структура показва добро съответствие с данните, но 5-факторен модел без измерението „Цел в живота“</w:t>
      </w:r>
      <w:r w:rsidRPr="00A15AC5">
        <w:rPr>
          <w:rFonts w:cs="Times New Roman"/>
          <w:szCs w:val="28"/>
          <w:lang w:val="bg-BG"/>
        </w:rPr>
        <w:t>,</w:t>
      </w:r>
      <w:r w:rsidRPr="00A15AC5">
        <w:rPr>
          <w:rFonts w:cs="Times New Roman"/>
          <w:szCs w:val="28"/>
        </w:rPr>
        <w:t xml:space="preserve"> показва по-добро съответствие </w:t>
      </w:r>
      <w:r w:rsidRPr="00A15AC5">
        <w:rPr>
          <w:rStyle w:val="text-token-text-primary"/>
          <w:rFonts w:cs="Times New Roman"/>
          <w:szCs w:val="28"/>
        </w:rPr>
        <w:t>[3]</w:t>
      </w:r>
      <w:r w:rsidRPr="00A15AC5">
        <w:rPr>
          <w:rFonts w:cs="Times New Roman"/>
          <w:szCs w:val="28"/>
        </w:rPr>
        <w:t xml:space="preserve">. Поради това получената в настоящото изследване компонентна организация се разглежда като емпирична характеристика на използваната кратка версия в </w:t>
      </w:r>
      <w:r w:rsidRPr="00A15AC5">
        <w:rPr>
          <w:rFonts w:cs="Times New Roman"/>
          <w:szCs w:val="28"/>
        </w:rPr>
        <w:lastRenderedPageBreak/>
        <w:t>конкретната възрастова група, а не като нов теоретичен модел на психологическото благополучие.</w:t>
      </w:r>
    </w:p>
    <w:p w:rsidR="00FE1C20" w:rsidRPr="00A15AC5" w:rsidRDefault="004F3095" w:rsidP="00A15AC5">
      <w:pPr>
        <w:spacing w:before="100" w:beforeAutospacing="1" w:after="100" w:afterAutospacing="1"/>
        <w:outlineLvl w:val="1"/>
        <w:rPr>
          <w:rFonts w:cs="Times New Roman"/>
          <w:szCs w:val="28"/>
        </w:rPr>
      </w:pPr>
      <w:r w:rsidRPr="00A15AC5">
        <w:rPr>
          <w:rFonts w:cs="Times New Roman"/>
          <w:b/>
          <w:bCs/>
          <w:szCs w:val="28"/>
        </w:rPr>
        <w:t>ЦЕЛ И ЗАДАЧИ НА ИЗСЛЕДВАНЕТО</w:t>
      </w:r>
      <w:r w:rsidR="000F3CC1" w:rsidRPr="00A15AC5">
        <w:rPr>
          <w:rFonts w:cs="Times New Roman"/>
          <w:b/>
          <w:bCs/>
          <w:szCs w:val="28"/>
          <w:lang w:val="bg-BG"/>
        </w:rPr>
        <w:t xml:space="preserve">. </w:t>
      </w:r>
      <w:r w:rsidRPr="00A15AC5">
        <w:rPr>
          <w:rFonts w:cs="Times New Roman"/>
          <w:szCs w:val="28"/>
        </w:rPr>
        <w:t xml:space="preserve">Основната </w:t>
      </w:r>
      <w:r w:rsidRPr="00A15AC5">
        <w:rPr>
          <w:rFonts w:cs="Times New Roman"/>
          <w:b/>
          <w:szCs w:val="28"/>
        </w:rPr>
        <w:t>цел</w:t>
      </w:r>
      <w:r w:rsidRPr="00A15AC5">
        <w:rPr>
          <w:rFonts w:cs="Times New Roman"/>
          <w:szCs w:val="28"/>
        </w:rPr>
        <w:t xml:space="preserve"> на настоящото изследване е да се проучи </w:t>
      </w:r>
      <w:r w:rsidR="00EF70DE" w:rsidRPr="00A15AC5">
        <w:rPr>
          <w:rFonts w:cs="Times New Roman"/>
          <w:szCs w:val="28"/>
        </w:rPr>
        <w:t>структурата на 18-айтемната кратка версия</w:t>
      </w:r>
      <w:r w:rsidR="00EF70DE" w:rsidRPr="00A15AC5">
        <w:rPr>
          <w:rFonts w:cs="Times New Roman"/>
          <w:szCs w:val="28"/>
          <w:lang w:val="bg-BG"/>
        </w:rPr>
        <w:t xml:space="preserve"> </w:t>
      </w:r>
      <w:r w:rsidR="00EF70DE" w:rsidRPr="00A15AC5">
        <w:rPr>
          <w:rFonts w:cs="Times New Roman"/>
          <w:szCs w:val="28"/>
        </w:rPr>
        <w:t xml:space="preserve">на „Скала за психологическо благополучие“ </w:t>
      </w:r>
      <w:r w:rsidRPr="00A15AC5">
        <w:rPr>
          <w:rFonts w:cs="Times New Roman"/>
          <w:szCs w:val="28"/>
        </w:rPr>
        <w:t>и да се оценят психометричните</w:t>
      </w:r>
      <w:r w:rsidR="00EF70DE" w:rsidRPr="00A15AC5">
        <w:rPr>
          <w:rFonts w:cs="Times New Roman"/>
          <w:szCs w:val="28"/>
          <w:lang w:val="bg-BG"/>
        </w:rPr>
        <w:t xml:space="preserve"> ѝ</w:t>
      </w:r>
      <w:r w:rsidRPr="00A15AC5">
        <w:rPr>
          <w:rFonts w:cs="Times New Roman"/>
          <w:szCs w:val="28"/>
        </w:rPr>
        <w:t xml:space="preserve"> характеристики в българска извадка от юноши.</w:t>
      </w:r>
      <w:r w:rsidRPr="00A15AC5">
        <w:rPr>
          <w:rFonts w:cs="Times New Roman"/>
          <w:szCs w:val="28"/>
          <w:lang w:val="bg-BG"/>
        </w:rPr>
        <w:t xml:space="preserve"> </w:t>
      </w:r>
      <w:r w:rsidRPr="00A15AC5">
        <w:rPr>
          <w:rFonts w:cs="Times New Roman"/>
          <w:szCs w:val="28"/>
        </w:rPr>
        <w:t xml:space="preserve">За реализиране на целта са формулирани следните </w:t>
      </w:r>
      <w:r w:rsidRPr="00A15AC5">
        <w:rPr>
          <w:rFonts w:cs="Times New Roman"/>
          <w:b/>
          <w:szCs w:val="28"/>
        </w:rPr>
        <w:t>изследователски задачи</w:t>
      </w:r>
      <w:r w:rsidR="00FE1C20" w:rsidRPr="00A15AC5">
        <w:rPr>
          <w:rFonts w:cs="Times New Roman"/>
          <w:szCs w:val="28"/>
          <w:lang w:val="bg-BG"/>
        </w:rPr>
        <w:t>, ориентирани към</w:t>
      </w:r>
      <w:r w:rsidRPr="00A15AC5">
        <w:rPr>
          <w:rFonts w:cs="Times New Roman"/>
          <w:szCs w:val="28"/>
        </w:rPr>
        <w:t>:</w:t>
      </w:r>
      <w:r w:rsidRPr="00A15AC5">
        <w:rPr>
          <w:rFonts w:cs="Times New Roman"/>
          <w:szCs w:val="28"/>
          <w:lang w:val="bg-BG"/>
        </w:rPr>
        <w:t xml:space="preserve"> </w:t>
      </w:r>
      <w:r w:rsidR="00FE1C20" w:rsidRPr="00A15AC5">
        <w:rPr>
          <w:rFonts w:cs="Times New Roman"/>
          <w:szCs w:val="28"/>
        </w:rPr>
        <w:t>проверка на пригодността на данните за компонентен анализ; установяване на емпиричния брой и съдържанието на компонентите; анализ на съответствието им с теоретичните измерения на модела на К. Риф и оценка на вътрешната консистентност на скалата и компонентните показатели.</w:t>
      </w:r>
    </w:p>
    <w:p w:rsidR="001D2BC1" w:rsidRPr="00A15AC5" w:rsidRDefault="009B3DC3" w:rsidP="00A15AC5">
      <w:pPr>
        <w:spacing w:before="100" w:beforeAutospacing="1" w:after="100" w:afterAutospacing="1"/>
        <w:outlineLvl w:val="2"/>
        <w:rPr>
          <w:rFonts w:cs="Times New Roman"/>
          <w:szCs w:val="28"/>
        </w:rPr>
      </w:pPr>
      <w:r w:rsidRPr="00A15AC5">
        <w:rPr>
          <w:rFonts w:cs="Times New Roman"/>
          <w:b/>
          <w:bCs/>
          <w:szCs w:val="28"/>
        </w:rPr>
        <w:t>ДИЗАЙН И ПРОЦЕДУРА</w:t>
      </w:r>
      <w:r w:rsidRPr="00A15AC5">
        <w:rPr>
          <w:rFonts w:cs="Times New Roman"/>
          <w:b/>
          <w:bCs/>
          <w:szCs w:val="28"/>
          <w:lang w:val="bg-BG"/>
        </w:rPr>
        <w:t xml:space="preserve"> НА ИЗСЛЕДВАНЕТО</w:t>
      </w:r>
      <w:r w:rsidR="004F3095" w:rsidRPr="00A15AC5">
        <w:rPr>
          <w:rFonts w:cs="Times New Roman"/>
          <w:b/>
          <w:bCs/>
          <w:szCs w:val="28"/>
          <w:lang w:val="bg-BG"/>
        </w:rPr>
        <w:t xml:space="preserve">. </w:t>
      </w:r>
      <w:r w:rsidR="001D2BC1" w:rsidRPr="00A15AC5">
        <w:rPr>
          <w:rFonts w:cs="Times New Roman"/>
          <w:szCs w:val="28"/>
        </w:rPr>
        <w:t>Изследването е проведено с неекспериментален напречен дизайн и еднократно събиране на данни през март</w:t>
      </w:r>
      <w:r w:rsidR="001D2BC1" w:rsidRPr="00A15AC5">
        <w:rPr>
          <w:rFonts w:cs="Times New Roman"/>
          <w:szCs w:val="28"/>
          <w:lang w:val="bg-BG"/>
        </w:rPr>
        <w:t>-</w:t>
      </w:r>
      <w:r w:rsidR="001D2BC1" w:rsidRPr="00A15AC5">
        <w:rPr>
          <w:rFonts w:cs="Times New Roman"/>
          <w:szCs w:val="28"/>
        </w:rPr>
        <w:t>април 2026 г. Данните са събрани чрез анонимно онлайн анкетиране, при спазване на принципите на доброволност, конфиденциалност и приложимите етични стандарти при работа с непълнолетни лица.</w:t>
      </w:r>
    </w:p>
    <w:p w:rsidR="004F3095" w:rsidRPr="00A15AC5" w:rsidRDefault="009B3DC3" w:rsidP="00A15AC5">
      <w:pPr>
        <w:spacing w:before="100" w:beforeAutospacing="1" w:after="100" w:afterAutospacing="1"/>
        <w:outlineLvl w:val="2"/>
        <w:rPr>
          <w:rFonts w:cs="Times New Roman"/>
          <w:szCs w:val="28"/>
        </w:rPr>
      </w:pPr>
      <w:r w:rsidRPr="00A15AC5">
        <w:rPr>
          <w:rFonts w:cs="Times New Roman"/>
          <w:b/>
          <w:bCs/>
          <w:szCs w:val="28"/>
          <w:lang w:val="bg-BG"/>
        </w:rPr>
        <w:t>ПРОФИЛ НА И</w:t>
      </w:r>
      <w:r w:rsidRPr="00A15AC5">
        <w:rPr>
          <w:rFonts w:cs="Times New Roman"/>
          <w:b/>
          <w:bCs/>
          <w:szCs w:val="28"/>
        </w:rPr>
        <w:t>ЗВАДКА</w:t>
      </w:r>
      <w:r w:rsidRPr="00A15AC5">
        <w:rPr>
          <w:rFonts w:cs="Times New Roman"/>
          <w:b/>
          <w:bCs/>
          <w:szCs w:val="28"/>
          <w:lang w:val="bg-BG"/>
        </w:rPr>
        <w:t>ТА</w:t>
      </w:r>
      <w:r w:rsidR="004F3095" w:rsidRPr="00A15AC5">
        <w:rPr>
          <w:rFonts w:cs="Times New Roman"/>
          <w:b/>
          <w:bCs/>
          <w:szCs w:val="28"/>
          <w:lang w:val="bg-BG"/>
        </w:rPr>
        <w:t xml:space="preserve">. </w:t>
      </w:r>
      <w:r w:rsidR="004F3095" w:rsidRPr="00A15AC5">
        <w:rPr>
          <w:rFonts w:cs="Times New Roman"/>
          <w:szCs w:val="28"/>
        </w:rPr>
        <w:t>В изследването участват 365 ученици от IX–XI клас на възраст 14–18 години. От тях 100 (27.4%) са момчета и 265 (72.6%) са момичета.</w:t>
      </w:r>
    </w:p>
    <w:p w:rsidR="004F3095" w:rsidRPr="00A15AC5" w:rsidRDefault="009B3DC3" w:rsidP="00A15AC5">
      <w:pPr>
        <w:spacing w:before="100" w:beforeAutospacing="1" w:after="100" w:afterAutospacing="1"/>
        <w:outlineLvl w:val="2"/>
        <w:rPr>
          <w:rFonts w:cs="Times New Roman"/>
          <w:szCs w:val="28"/>
        </w:rPr>
      </w:pPr>
      <w:r w:rsidRPr="00A15AC5">
        <w:rPr>
          <w:rFonts w:cs="Times New Roman"/>
          <w:b/>
          <w:bCs/>
          <w:szCs w:val="28"/>
        </w:rPr>
        <w:t>ИЗМЕРВАТЕЛЕН ИНСТРУМЕНТ</w:t>
      </w:r>
      <w:r w:rsidR="004F3095" w:rsidRPr="00A15AC5">
        <w:rPr>
          <w:rFonts w:cs="Times New Roman"/>
          <w:b/>
          <w:bCs/>
          <w:szCs w:val="28"/>
          <w:lang w:val="bg-BG"/>
        </w:rPr>
        <w:t xml:space="preserve">. </w:t>
      </w:r>
      <w:r w:rsidR="004F3095" w:rsidRPr="00A15AC5">
        <w:rPr>
          <w:rFonts w:cs="Times New Roman"/>
          <w:szCs w:val="28"/>
        </w:rPr>
        <w:t>Психологическото благополучие е измерено чрез 18-айтемна кратка версия на „Скала за психологическо благополучие“ (Psychological Well-Being Scale</w:t>
      </w:r>
      <w:r w:rsidR="004F3095" w:rsidRPr="00A15AC5">
        <w:rPr>
          <w:rFonts w:cs="Times New Roman"/>
          <w:szCs w:val="28"/>
          <w:lang w:val="bg-BG"/>
        </w:rPr>
        <w:t>/</w:t>
      </w:r>
      <w:r w:rsidR="004F3095" w:rsidRPr="00A15AC5">
        <w:rPr>
          <w:rFonts w:cs="Times New Roman"/>
          <w:szCs w:val="28"/>
        </w:rPr>
        <w:t xml:space="preserve"> PWB), основана на модела на К. Риф [</w:t>
      </w:r>
      <w:r w:rsidR="00F22237" w:rsidRPr="00A15AC5">
        <w:rPr>
          <w:rFonts w:cs="Times New Roman"/>
          <w:szCs w:val="28"/>
          <w:lang w:val="bg-BG"/>
        </w:rPr>
        <w:t>2</w:t>
      </w:r>
      <w:r w:rsidR="004F3095" w:rsidRPr="00A15AC5">
        <w:rPr>
          <w:rFonts w:cs="Times New Roman"/>
          <w:szCs w:val="28"/>
        </w:rPr>
        <w:t>] и приложена в изследване, проведено в Швеция [</w:t>
      </w:r>
      <w:r w:rsidR="00954EE8" w:rsidRPr="00A15AC5">
        <w:rPr>
          <w:rFonts w:cs="Times New Roman"/>
          <w:szCs w:val="28"/>
          <w:lang w:val="bg-BG"/>
        </w:rPr>
        <w:t>3</w:t>
      </w:r>
      <w:r w:rsidR="004F3095" w:rsidRPr="00A15AC5">
        <w:rPr>
          <w:rFonts w:cs="Times New Roman"/>
          <w:szCs w:val="28"/>
        </w:rPr>
        <w:t xml:space="preserve">]. </w:t>
      </w:r>
      <w:r w:rsidR="00F22237" w:rsidRPr="00A15AC5">
        <w:rPr>
          <w:rFonts w:cs="Times New Roman"/>
          <w:szCs w:val="28"/>
        </w:rPr>
        <w:t>Теоретично инструментът обхваща шест измерения: „Автономност“, „Управление на средата“, „Личностно развитие“, „Позитивни отношения с другите“, „Цел в живота“ и „Самоприемане“ [</w:t>
      </w:r>
      <w:r w:rsidR="00F22237" w:rsidRPr="00A15AC5">
        <w:rPr>
          <w:rFonts w:cs="Times New Roman"/>
          <w:szCs w:val="28"/>
          <w:lang w:val="bg-BG"/>
        </w:rPr>
        <w:t>2</w:t>
      </w:r>
      <w:r w:rsidR="00F22237" w:rsidRPr="00A15AC5">
        <w:rPr>
          <w:rFonts w:cs="Times New Roman"/>
          <w:szCs w:val="28"/>
        </w:rPr>
        <w:t>].</w:t>
      </w:r>
      <w:r w:rsidR="00F22237" w:rsidRPr="00A15AC5">
        <w:rPr>
          <w:rFonts w:cs="Times New Roman"/>
          <w:szCs w:val="28"/>
          <w:lang w:val="bg-BG"/>
        </w:rPr>
        <w:t xml:space="preserve"> </w:t>
      </w:r>
      <w:r w:rsidR="004F3095" w:rsidRPr="00A15AC5">
        <w:rPr>
          <w:rFonts w:cs="Times New Roman"/>
          <w:szCs w:val="28"/>
        </w:rPr>
        <w:t>В оригиналния шведски вариант айтемите се оценяват чрез 6-степенна скала на Ликърт от 1 („Напълно несъгласен“) до 6 („Напълно съгласен“). В настоящото изследване е използвана 5-степенна скала на Ликърт от 1 („Изобщо не съм съгласен“) до 5 („Напълно съм съгласен“). Промяната представлява адаптация на системата за оценяване в рамките на настоящата извадка и не следва да се интерпретира като официална ревизия на оригиналния инструмент.</w:t>
      </w:r>
    </w:p>
    <w:p w:rsidR="00CF0E54" w:rsidRPr="00CF0E54" w:rsidRDefault="000345E7" w:rsidP="00A15AC5">
      <w:pPr>
        <w:spacing w:before="100" w:beforeAutospacing="1" w:after="100" w:afterAutospacing="1"/>
        <w:outlineLvl w:val="2"/>
        <w:rPr>
          <w:rFonts w:cs="Times New Roman"/>
          <w:szCs w:val="28"/>
        </w:rPr>
      </w:pPr>
      <w:r w:rsidRPr="00A15AC5">
        <w:rPr>
          <w:rFonts w:cs="Times New Roman"/>
          <w:b/>
          <w:bCs/>
          <w:szCs w:val="28"/>
        </w:rPr>
        <w:t>СТАТИСТИЧЕСКА ОБРАБОТКА</w:t>
      </w:r>
      <w:r w:rsidR="004F3095" w:rsidRPr="00A15AC5">
        <w:rPr>
          <w:rFonts w:cs="Times New Roman"/>
          <w:b/>
          <w:bCs/>
          <w:szCs w:val="28"/>
          <w:lang w:val="bg-BG"/>
        </w:rPr>
        <w:t xml:space="preserve">. </w:t>
      </w:r>
      <w:r w:rsidR="00CF0E54" w:rsidRPr="00CF0E54">
        <w:rPr>
          <w:rFonts w:cs="Times New Roman"/>
          <w:szCs w:val="28"/>
        </w:rPr>
        <w:t>За оценка на вътрешната консистентност е използван коефициентът алфа на Кронбах (Cronbach's alpha). За изследване на структурата на айтемите е проведен анализ на главните компоненти (Principal Component Analysis/</w:t>
      </w:r>
      <w:r w:rsidR="008C1692" w:rsidRPr="00A15AC5">
        <w:rPr>
          <w:rFonts w:cs="Times New Roman"/>
          <w:szCs w:val="28"/>
          <w:lang w:val="bg-BG"/>
        </w:rPr>
        <w:t xml:space="preserve"> </w:t>
      </w:r>
      <w:r w:rsidR="00CF0E54" w:rsidRPr="00CF0E54">
        <w:rPr>
          <w:rFonts w:cs="Times New Roman"/>
          <w:szCs w:val="28"/>
        </w:rPr>
        <w:t xml:space="preserve">PCA) с ортогонална Варимакс-ротация </w:t>
      </w:r>
      <w:r w:rsidR="00CF0E54" w:rsidRPr="00CF0E54">
        <w:rPr>
          <w:rFonts w:cs="Times New Roman"/>
          <w:szCs w:val="28"/>
        </w:rPr>
        <w:lastRenderedPageBreak/>
        <w:t>(Varimax) и нормализация по Кайзер. Тъй като използваният метод извлича компоненти, а не латентни фактори, полученото 3-компонентно решение се представя като емпирична компонентна структура на настоящата извадка. Допълнително са изчислени коригирани айтем-тотал корелации и коефициенти α на Кронбах при отстраняване на отделни айтеми.</w:t>
      </w:r>
    </w:p>
    <w:p w:rsidR="004F3095" w:rsidRPr="00A15AC5" w:rsidRDefault="004F3095" w:rsidP="00A15AC5">
      <w:pPr>
        <w:spacing w:before="100" w:beforeAutospacing="1" w:after="100" w:afterAutospacing="1"/>
        <w:outlineLvl w:val="1"/>
        <w:rPr>
          <w:rFonts w:cs="Times New Roman"/>
          <w:b/>
          <w:bCs/>
          <w:szCs w:val="28"/>
        </w:rPr>
      </w:pPr>
      <w:r w:rsidRPr="00A15AC5">
        <w:rPr>
          <w:rFonts w:cs="Times New Roman"/>
          <w:b/>
          <w:bCs/>
          <w:szCs w:val="28"/>
        </w:rPr>
        <w:t>РЕЗУЛТАТИ</w:t>
      </w:r>
    </w:p>
    <w:p w:rsidR="00E1322E" w:rsidRPr="00A15AC5" w:rsidRDefault="004F3095" w:rsidP="00A15AC5">
      <w:pPr>
        <w:spacing w:before="100" w:beforeAutospacing="1" w:after="100" w:afterAutospacing="1"/>
        <w:outlineLvl w:val="2"/>
        <w:rPr>
          <w:rFonts w:cs="Times New Roman"/>
          <w:szCs w:val="28"/>
        </w:rPr>
      </w:pPr>
      <w:r w:rsidRPr="00A15AC5">
        <w:rPr>
          <w:rFonts w:cs="Times New Roman"/>
          <w:b/>
          <w:bCs/>
          <w:szCs w:val="28"/>
        </w:rPr>
        <w:t>Вътрешна консистентност на скалата</w:t>
      </w:r>
      <w:r w:rsidRPr="00A15AC5">
        <w:rPr>
          <w:rFonts w:cs="Times New Roman"/>
          <w:b/>
          <w:bCs/>
          <w:szCs w:val="28"/>
          <w:lang w:val="bg-BG"/>
        </w:rPr>
        <w:t xml:space="preserve">. </w:t>
      </w:r>
      <w:r w:rsidRPr="00A15AC5">
        <w:rPr>
          <w:rFonts w:cs="Times New Roman"/>
          <w:szCs w:val="28"/>
        </w:rPr>
        <w:t>Полученият коефициент α на Кронбах за цялата „Скала за психологическо благополучие“ е α=.806 (N=365), което показва добра вътрешна консистентност на инструмента в настоящата извадка.</w:t>
      </w:r>
      <w:r w:rsidR="000F3CC1" w:rsidRPr="00A15AC5">
        <w:rPr>
          <w:rFonts w:cs="Times New Roman"/>
          <w:szCs w:val="28"/>
          <w:lang w:val="bg-BG"/>
        </w:rPr>
        <w:t xml:space="preserve"> </w:t>
      </w:r>
      <w:r w:rsidR="00E1322E" w:rsidRPr="00A15AC5">
        <w:rPr>
          <w:rFonts w:cs="Times New Roman"/>
          <w:szCs w:val="28"/>
          <w:lang w:val="bg-BG"/>
        </w:rPr>
        <w:t>Стойността</w:t>
      </w:r>
      <w:r w:rsidRPr="00A15AC5">
        <w:rPr>
          <w:rFonts w:cs="Times New Roman"/>
          <w:szCs w:val="28"/>
        </w:rPr>
        <w:t xml:space="preserve"> на коефициента на Кайзер-Майер-Олкин (KMO=.851) показва много добра извадкова адекватност. Тестът за сферичност на Бартлет е статистически значим (χ²=1613.423; df=153; p&lt;.001), което показва, че данните са подходящи за компонентен анализ (табл. 1).</w:t>
      </w:r>
    </w:p>
    <w:p w:rsidR="00E1322E" w:rsidRPr="00A15AC5" w:rsidRDefault="00E1322E" w:rsidP="00A15AC5">
      <w:pPr>
        <w:spacing w:before="100" w:beforeAutospacing="1" w:after="100" w:afterAutospacing="1"/>
        <w:outlineLvl w:val="2"/>
        <w:rPr>
          <w:rFonts w:cs="Times New Roman"/>
          <w:szCs w:val="28"/>
        </w:rPr>
      </w:pPr>
    </w:p>
    <w:p w:rsidR="004F3095" w:rsidRPr="00A15AC5" w:rsidRDefault="004F3095" w:rsidP="00A15AC5">
      <w:pPr>
        <w:jc w:val="center"/>
        <w:rPr>
          <w:rFonts w:cs="Times New Roman"/>
          <w:b/>
          <w:bCs/>
          <w:i/>
          <w:iCs/>
          <w:szCs w:val="28"/>
          <w:lang w:val="ru-RU"/>
        </w:rPr>
      </w:pPr>
      <w:r w:rsidRPr="00A15AC5">
        <w:rPr>
          <w:rFonts w:cs="Times New Roman"/>
          <w:b/>
          <w:bCs/>
          <w:i/>
          <w:iCs/>
          <w:szCs w:val="28"/>
          <w:lang w:val="ru-RU"/>
        </w:rPr>
        <w:t xml:space="preserve">Таблица 1. Стойности на КМО и тест на Бартлет </w:t>
      </w:r>
      <w:r w:rsidRPr="00A15AC5">
        <w:rPr>
          <w:rFonts w:cs="Times New Roman"/>
          <w:b/>
          <w:bCs/>
          <w:i/>
          <w:iCs/>
          <w:szCs w:val="28"/>
          <w:lang w:val="bg-BG"/>
        </w:rPr>
        <w:t>за „Скала за п</w:t>
      </w:r>
      <w:r w:rsidRPr="00A15AC5">
        <w:rPr>
          <w:rFonts w:cs="Times New Roman"/>
          <w:b/>
          <w:bCs/>
          <w:i/>
          <w:iCs/>
          <w:szCs w:val="28"/>
          <w:lang w:val="ru-RU"/>
        </w:rPr>
        <w:t>сихологическо благополучие”</w:t>
      </w:r>
    </w:p>
    <w:tbl>
      <w:tblPr>
        <w:tblStyle w:val="TableGrid"/>
        <w:tblW w:w="0" w:type="auto"/>
        <w:tblLook w:val="04A0" w:firstRow="1" w:lastRow="0" w:firstColumn="1" w:lastColumn="0" w:noHBand="0" w:noVBand="1"/>
      </w:tblPr>
      <w:tblGrid>
        <w:gridCol w:w="3964"/>
        <w:gridCol w:w="3544"/>
        <w:gridCol w:w="1266"/>
      </w:tblGrid>
      <w:tr w:rsidR="004F3095" w:rsidRPr="00A15AC5" w:rsidTr="00180CC0">
        <w:tc>
          <w:tcPr>
            <w:tcW w:w="3964" w:type="dxa"/>
            <w:tcBorders>
              <w:bottom w:val="single" w:sz="4" w:space="0" w:color="auto"/>
              <w:right w:val="nil"/>
            </w:tcBorders>
          </w:tcPr>
          <w:p w:rsidR="004F3095" w:rsidRPr="00A15AC5" w:rsidRDefault="004F3095" w:rsidP="00A15AC5">
            <w:pPr>
              <w:jc w:val="left"/>
              <w:rPr>
                <w:rFonts w:cs="Times New Roman"/>
                <w:bCs/>
                <w:iCs/>
                <w:szCs w:val="28"/>
                <w:lang w:val="ru-RU"/>
              </w:rPr>
            </w:pPr>
            <w:r w:rsidRPr="00A15AC5">
              <w:rPr>
                <w:rFonts w:cs="Times New Roman"/>
                <w:szCs w:val="28"/>
                <w:lang w:val="ru-RU"/>
              </w:rPr>
              <w:t>Кайзер-Майер-Олкин мярка на адекватност на извадката</w:t>
            </w:r>
          </w:p>
        </w:tc>
        <w:tc>
          <w:tcPr>
            <w:tcW w:w="3544" w:type="dxa"/>
            <w:tcBorders>
              <w:left w:val="nil"/>
            </w:tcBorders>
          </w:tcPr>
          <w:p w:rsidR="004F3095" w:rsidRPr="00A15AC5" w:rsidRDefault="004F3095" w:rsidP="00A15AC5">
            <w:pPr>
              <w:jc w:val="left"/>
              <w:rPr>
                <w:rFonts w:cs="Times New Roman"/>
                <w:szCs w:val="28"/>
                <w:lang w:val="bg-BG"/>
              </w:rPr>
            </w:pPr>
          </w:p>
        </w:tc>
        <w:tc>
          <w:tcPr>
            <w:tcW w:w="1134" w:type="dxa"/>
          </w:tcPr>
          <w:p w:rsidR="004F3095" w:rsidRPr="00A15AC5" w:rsidRDefault="004F3095" w:rsidP="00A15AC5">
            <w:pPr>
              <w:jc w:val="right"/>
              <w:rPr>
                <w:rFonts w:cs="Times New Roman"/>
                <w:bCs/>
                <w:iCs/>
                <w:szCs w:val="28"/>
                <w:lang w:val="ru-RU"/>
              </w:rPr>
            </w:pPr>
            <w:r w:rsidRPr="00A15AC5">
              <w:rPr>
                <w:rFonts w:cs="Times New Roman"/>
                <w:szCs w:val="28"/>
                <w:lang w:val="bg-BG"/>
              </w:rPr>
              <w:t>.</w:t>
            </w:r>
            <w:r w:rsidRPr="00A15AC5">
              <w:rPr>
                <w:rFonts w:cs="Times New Roman"/>
                <w:szCs w:val="28"/>
              </w:rPr>
              <w:t>851</w:t>
            </w:r>
          </w:p>
        </w:tc>
      </w:tr>
      <w:tr w:rsidR="004F3095" w:rsidRPr="00A15AC5" w:rsidTr="00180CC0">
        <w:tc>
          <w:tcPr>
            <w:tcW w:w="3964" w:type="dxa"/>
            <w:tcBorders>
              <w:bottom w:val="nil"/>
            </w:tcBorders>
          </w:tcPr>
          <w:p w:rsidR="004F3095" w:rsidRPr="00A15AC5" w:rsidRDefault="004F3095" w:rsidP="00A15AC5">
            <w:pPr>
              <w:jc w:val="left"/>
              <w:rPr>
                <w:rFonts w:cs="Times New Roman"/>
                <w:bCs/>
                <w:iCs/>
                <w:szCs w:val="28"/>
                <w:lang w:val="ru-RU"/>
              </w:rPr>
            </w:pPr>
            <w:r w:rsidRPr="00A15AC5">
              <w:rPr>
                <w:rFonts w:cs="Times New Roman"/>
                <w:szCs w:val="28"/>
                <w:lang w:val="ru-RU"/>
              </w:rPr>
              <w:t>Тест за сферичност на Бартлет</w:t>
            </w:r>
          </w:p>
        </w:tc>
        <w:tc>
          <w:tcPr>
            <w:tcW w:w="3544" w:type="dxa"/>
            <w:vAlign w:val="center"/>
          </w:tcPr>
          <w:p w:rsidR="004F3095" w:rsidRPr="00A15AC5" w:rsidRDefault="004F3095" w:rsidP="00A15AC5">
            <w:pPr>
              <w:jc w:val="left"/>
              <w:rPr>
                <w:rFonts w:cs="Times New Roman"/>
                <w:szCs w:val="28"/>
              </w:rPr>
            </w:pPr>
            <w:r w:rsidRPr="00A15AC5">
              <w:rPr>
                <w:rFonts w:cs="Times New Roman"/>
                <w:szCs w:val="28"/>
              </w:rPr>
              <w:t>Прибл. χ²</w:t>
            </w:r>
          </w:p>
        </w:tc>
        <w:tc>
          <w:tcPr>
            <w:tcW w:w="1134" w:type="dxa"/>
            <w:vAlign w:val="center"/>
          </w:tcPr>
          <w:p w:rsidR="004F3095" w:rsidRPr="00A15AC5" w:rsidRDefault="004F3095" w:rsidP="00A15AC5">
            <w:pPr>
              <w:pStyle w:val="NormalWeb"/>
              <w:suppressAutoHyphens/>
              <w:ind w:firstLine="0"/>
              <w:jc w:val="right"/>
              <w:rPr>
                <w:sz w:val="28"/>
                <w:szCs w:val="28"/>
              </w:rPr>
            </w:pPr>
            <w:r w:rsidRPr="00A15AC5">
              <w:rPr>
                <w:sz w:val="28"/>
                <w:szCs w:val="28"/>
              </w:rPr>
              <w:t>1613</w:t>
            </w:r>
            <w:r w:rsidRPr="00A15AC5">
              <w:rPr>
                <w:sz w:val="28"/>
                <w:szCs w:val="28"/>
                <w:lang w:val="bg-BG"/>
              </w:rPr>
              <w:t>.</w:t>
            </w:r>
            <w:r w:rsidRPr="00A15AC5">
              <w:rPr>
                <w:sz w:val="28"/>
                <w:szCs w:val="28"/>
              </w:rPr>
              <w:t>423</w:t>
            </w:r>
          </w:p>
        </w:tc>
      </w:tr>
      <w:tr w:rsidR="004F3095" w:rsidRPr="00A15AC5" w:rsidTr="00180CC0">
        <w:tc>
          <w:tcPr>
            <w:tcW w:w="3964" w:type="dxa"/>
            <w:tcBorders>
              <w:top w:val="nil"/>
              <w:bottom w:val="nil"/>
            </w:tcBorders>
          </w:tcPr>
          <w:p w:rsidR="004F3095" w:rsidRPr="00A15AC5" w:rsidRDefault="004F3095" w:rsidP="00A15AC5">
            <w:pPr>
              <w:jc w:val="left"/>
              <w:rPr>
                <w:rFonts w:cs="Times New Roman"/>
                <w:bCs/>
                <w:iCs/>
                <w:szCs w:val="28"/>
                <w:lang w:val="ru-RU"/>
              </w:rPr>
            </w:pPr>
          </w:p>
        </w:tc>
        <w:tc>
          <w:tcPr>
            <w:tcW w:w="3544" w:type="dxa"/>
            <w:vAlign w:val="center"/>
          </w:tcPr>
          <w:p w:rsidR="004F3095" w:rsidRPr="00A15AC5" w:rsidRDefault="004F3095" w:rsidP="00A15AC5">
            <w:pPr>
              <w:jc w:val="left"/>
              <w:rPr>
                <w:rFonts w:cs="Times New Roman"/>
                <w:szCs w:val="28"/>
              </w:rPr>
            </w:pPr>
            <w:r w:rsidRPr="00A15AC5">
              <w:rPr>
                <w:rFonts w:cs="Times New Roman"/>
                <w:szCs w:val="28"/>
              </w:rPr>
              <w:t>Степени на свобода</w:t>
            </w:r>
          </w:p>
        </w:tc>
        <w:tc>
          <w:tcPr>
            <w:tcW w:w="1134" w:type="dxa"/>
            <w:vAlign w:val="center"/>
          </w:tcPr>
          <w:p w:rsidR="004F3095" w:rsidRPr="00A15AC5" w:rsidRDefault="004F3095" w:rsidP="00A15AC5">
            <w:pPr>
              <w:pStyle w:val="NormalWeb"/>
              <w:suppressAutoHyphens/>
              <w:ind w:firstLine="0"/>
              <w:jc w:val="right"/>
              <w:rPr>
                <w:sz w:val="28"/>
                <w:szCs w:val="28"/>
              </w:rPr>
            </w:pPr>
            <w:r w:rsidRPr="00A15AC5">
              <w:rPr>
                <w:sz w:val="28"/>
                <w:szCs w:val="28"/>
              </w:rPr>
              <w:t>153</w:t>
            </w:r>
          </w:p>
        </w:tc>
      </w:tr>
      <w:tr w:rsidR="004F3095" w:rsidRPr="00A15AC5" w:rsidTr="00180CC0">
        <w:tc>
          <w:tcPr>
            <w:tcW w:w="3964" w:type="dxa"/>
            <w:tcBorders>
              <w:top w:val="nil"/>
            </w:tcBorders>
          </w:tcPr>
          <w:p w:rsidR="004F3095" w:rsidRPr="00A15AC5" w:rsidRDefault="004F3095" w:rsidP="00A15AC5">
            <w:pPr>
              <w:jc w:val="left"/>
              <w:rPr>
                <w:rFonts w:cs="Times New Roman"/>
                <w:bCs/>
                <w:iCs/>
                <w:szCs w:val="28"/>
                <w:lang w:val="ru-RU"/>
              </w:rPr>
            </w:pPr>
          </w:p>
        </w:tc>
        <w:tc>
          <w:tcPr>
            <w:tcW w:w="3544" w:type="dxa"/>
            <w:vAlign w:val="center"/>
          </w:tcPr>
          <w:p w:rsidR="004F3095" w:rsidRPr="00A15AC5" w:rsidRDefault="004F3095" w:rsidP="00A15AC5">
            <w:pPr>
              <w:jc w:val="left"/>
              <w:rPr>
                <w:rFonts w:cs="Times New Roman"/>
                <w:szCs w:val="28"/>
              </w:rPr>
            </w:pPr>
            <w:r w:rsidRPr="00A15AC5">
              <w:rPr>
                <w:rFonts w:cs="Times New Roman"/>
                <w:szCs w:val="28"/>
              </w:rPr>
              <w:t>Статистическа значимост</w:t>
            </w:r>
          </w:p>
        </w:tc>
        <w:tc>
          <w:tcPr>
            <w:tcW w:w="1134" w:type="dxa"/>
            <w:vAlign w:val="center"/>
          </w:tcPr>
          <w:p w:rsidR="004F3095" w:rsidRPr="00A15AC5" w:rsidRDefault="004F3095" w:rsidP="00A15AC5">
            <w:pPr>
              <w:pStyle w:val="NormalWeb"/>
              <w:suppressAutoHyphens/>
              <w:ind w:firstLine="0"/>
              <w:jc w:val="right"/>
              <w:rPr>
                <w:sz w:val="28"/>
                <w:szCs w:val="28"/>
              </w:rPr>
            </w:pPr>
            <w:r w:rsidRPr="00A15AC5">
              <w:rPr>
                <w:sz w:val="28"/>
                <w:szCs w:val="28"/>
              </w:rPr>
              <w:t>p&lt;.001</w:t>
            </w:r>
          </w:p>
        </w:tc>
      </w:tr>
    </w:tbl>
    <w:p w:rsidR="004F3095" w:rsidRPr="00A15AC5" w:rsidRDefault="004F3095" w:rsidP="00A15AC5">
      <w:pPr>
        <w:spacing w:after="0"/>
        <w:rPr>
          <w:rFonts w:cs="Times New Roman"/>
          <w:szCs w:val="28"/>
        </w:rPr>
      </w:pPr>
    </w:p>
    <w:p w:rsidR="00983259" w:rsidRPr="00A15AC5" w:rsidRDefault="00983259" w:rsidP="00A15AC5">
      <w:pPr>
        <w:spacing w:before="100" w:beforeAutospacing="1" w:after="100" w:afterAutospacing="1"/>
        <w:rPr>
          <w:rFonts w:cs="Times New Roman"/>
          <w:szCs w:val="28"/>
        </w:rPr>
      </w:pPr>
      <w:r w:rsidRPr="00983259">
        <w:rPr>
          <w:rFonts w:cs="Times New Roman"/>
          <w:szCs w:val="28"/>
        </w:rPr>
        <w:t>В хода на анализа е разгледано и 6-компонентно решение, съответстващо по брой на шестте теоретични измерения на инструмента. Получената структура не позволява достатъчно ясно разграничаване на шестте теоретични измерения поради кръстосани натоварвания и недостатъчно разграничение между част от съдържателно близките компоненти. Поради това за описание на емпиричната организация на данните е разгледано 3-компонентно решение.</w:t>
      </w:r>
      <w:r w:rsidRPr="00A15AC5">
        <w:rPr>
          <w:rFonts w:cs="Times New Roman"/>
          <w:szCs w:val="28"/>
          <w:lang w:val="bg-BG"/>
        </w:rPr>
        <w:t xml:space="preserve"> </w:t>
      </w:r>
      <w:r w:rsidRPr="00A7263C">
        <w:rPr>
          <w:rFonts w:cs="Times New Roman"/>
          <w:szCs w:val="28"/>
        </w:rPr>
        <w:t xml:space="preserve">Трите компонента имат собствени стойности съответно 3.404, 2.587 и 2.028 и обясняват общо 44.54% от дисперсията. Първият компонент обяснява 18.91%, вторият </w:t>
      </w:r>
      <w:r w:rsidRPr="00A15AC5">
        <w:rPr>
          <w:rFonts w:cs="Times New Roman"/>
          <w:szCs w:val="28"/>
          <w:lang w:val="bg-BG"/>
        </w:rPr>
        <w:t>-</w:t>
      </w:r>
      <w:r w:rsidRPr="00A7263C">
        <w:rPr>
          <w:rFonts w:cs="Times New Roman"/>
          <w:szCs w:val="28"/>
        </w:rPr>
        <w:t xml:space="preserve"> 14.37%, а третият </w:t>
      </w:r>
      <w:r w:rsidRPr="00A15AC5">
        <w:rPr>
          <w:rFonts w:cs="Times New Roman"/>
          <w:szCs w:val="28"/>
          <w:lang w:val="bg-BG"/>
        </w:rPr>
        <w:t>-</w:t>
      </w:r>
      <w:r w:rsidRPr="00A7263C">
        <w:rPr>
          <w:rFonts w:cs="Times New Roman"/>
          <w:szCs w:val="28"/>
        </w:rPr>
        <w:t xml:space="preserve"> 11.26%.</w:t>
      </w:r>
    </w:p>
    <w:p w:rsidR="00A7263C" w:rsidRPr="00A7263C" w:rsidRDefault="00A7263C" w:rsidP="00A15AC5">
      <w:pPr>
        <w:spacing w:before="100" w:beforeAutospacing="1" w:after="100" w:afterAutospacing="1"/>
        <w:rPr>
          <w:rFonts w:cs="Times New Roman"/>
          <w:szCs w:val="28"/>
        </w:rPr>
      </w:pPr>
      <w:r w:rsidRPr="00A7263C">
        <w:rPr>
          <w:rFonts w:cs="Times New Roman"/>
          <w:szCs w:val="28"/>
        </w:rPr>
        <w:lastRenderedPageBreak/>
        <w:t>Ротираната компонентна матрица показва три съдържателно интерпретируеми компонента, като при част от айтемите са установени кръстосани натоварвания (табл. 2). При интерпретацията са взети предвид както величината на компонентните натоварвания, така и съдържанието на съответните айтеми.</w:t>
      </w:r>
    </w:p>
    <w:p w:rsidR="00A7263C" w:rsidRPr="00A15AC5" w:rsidRDefault="00A7263C" w:rsidP="00A15AC5">
      <w:pPr>
        <w:spacing w:before="100" w:beforeAutospacing="1" w:after="100" w:afterAutospacing="1"/>
        <w:rPr>
          <w:rFonts w:cs="Times New Roman"/>
          <w:szCs w:val="28"/>
        </w:rPr>
      </w:pPr>
    </w:p>
    <w:p w:rsidR="00A75251" w:rsidRPr="00A15AC5" w:rsidRDefault="00A75251" w:rsidP="00A15AC5">
      <w:pPr>
        <w:jc w:val="center"/>
        <w:outlineLvl w:val="2"/>
        <w:rPr>
          <w:rFonts w:cs="Times New Roman"/>
          <w:b/>
          <w:bCs/>
          <w:i/>
          <w:szCs w:val="28"/>
        </w:rPr>
      </w:pPr>
      <w:r w:rsidRPr="00A15AC5">
        <w:rPr>
          <w:rFonts w:cs="Times New Roman"/>
          <w:b/>
          <w:bCs/>
          <w:i/>
          <w:szCs w:val="28"/>
        </w:rPr>
        <w:t>Табл</w:t>
      </w:r>
      <w:r w:rsidRPr="00A15AC5">
        <w:rPr>
          <w:rFonts w:cs="Times New Roman"/>
          <w:b/>
          <w:bCs/>
          <w:i/>
          <w:szCs w:val="28"/>
          <w:lang w:val="bg-BG"/>
        </w:rPr>
        <w:t>ица 2</w:t>
      </w:r>
      <w:r w:rsidRPr="00A15AC5">
        <w:rPr>
          <w:rFonts w:cs="Times New Roman"/>
          <w:b/>
          <w:bCs/>
          <w:i/>
          <w:szCs w:val="28"/>
        </w:rPr>
        <w:t xml:space="preserve">. Ротирана компонентна матрица на </w:t>
      </w:r>
      <w:r w:rsidRPr="00A15AC5">
        <w:rPr>
          <w:rFonts w:cs="Times New Roman"/>
          <w:b/>
          <w:bCs/>
          <w:i/>
          <w:szCs w:val="28"/>
          <w:lang w:val="bg-BG"/>
        </w:rPr>
        <w:t>„С</w:t>
      </w:r>
      <w:r w:rsidRPr="00A15AC5">
        <w:rPr>
          <w:rFonts w:cs="Times New Roman"/>
          <w:b/>
          <w:bCs/>
          <w:i/>
          <w:szCs w:val="28"/>
        </w:rPr>
        <w:t>кала</w:t>
      </w:r>
      <w:r w:rsidRPr="00A15AC5">
        <w:rPr>
          <w:rFonts w:cs="Times New Roman"/>
          <w:b/>
          <w:bCs/>
          <w:i/>
          <w:szCs w:val="28"/>
          <w:lang w:val="bg-BG"/>
        </w:rPr>
        <w:t xml:space="preserve"> за психологическо благополучие</w:t>
      </w:r>
      <w:r w:rsidRPr="00A15AC5">
        <w:rPr>
          <w:rFonts w:cs="Times New Roman"/>
          <w:b/>
          <w:bCs/>
          <w:i/>
          <w:szCs w:val="28"/>
        </w:rPr>
        <w:t>“</w:t>
      </w:r>
    </w:p>
    <w:tbl>
      <w:tblPr>
        <w:tblW w:w="499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732"/>
        <w:gridCol w:w="1134"/>
        <w:gridCol w:w="1134"/>
        <w:gridCol w:w="992"/>
      </w:tblGrid>
      <w:tr w:rsidR="00A75251" w:rsidRPr="00A15AC5" w:rsidTr="00AA4A8F">
        <w:trPr>
          <w:trHeight w:val="360"/>
        </w:trPr>
        <w:tc>
          <w:tcPr>
            <w:tcW w:w="173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A4A8F" w:rsidP="00A15AC5">
            <w:pPr>
              <w:jc w:val="center"/>
              <w:rPr>
                <w:rFonts w:cs="Times New Roman"/>
                <w:szCs w:val="28"/>
                <w:lang w:val="bg-BG"/>
              </w:rPr>
            </w:pPr>
            <w:r w:rsidRPr="00A15AC5">
              <w:rPr>
                <w:rFonts w:cs="Times New Roman"/>
                <w:szCs w:val="28"/>
                <w:lang w:val="bg-BG"/>
              </w:rPr>
              <w:t>№ на а</w:t>
            </w:r>
            <w:r w:rsidR="00706529" w:rsidRPr="00A15AC5">
              <w:rPr>
                <w:rFonts w:cs="Times New Roman"/>
                <w:szCs w:val="28"/>
                <w:lang w:val="bg-BG"/>
              </w:rPr>
              <w:t>йтем</w:t>
            </w:r>
            <w:r w:rsidRPr="00A15AC5">
              <w:rPr>
                <w:rFonts w:cs="Times New Roman"/>
                <w:szCs w:val="28"/>
                <w:lang w:val="bg-BG"/>
              </w:rPr>
              <w:t>а</w:t>
            </w: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suppressAutoHyphens/>
              <w:jc w:val="center"/>
              <w:rPr>
                <w:rFonts w:cs="Times New Roman"/>
                <w:szCs w:val="28"/>
                <w:lang w:val="bg-BG"/>
              </w:rPr>
            </w:pPr>
            <w:r w:rsidRPr="00A15AC5">
              <w:rPr>
                <w:rFonts w:cs="Times New Roman"/>
                <w:color w:val="000000"/>
                <w:szCs w:val="28"/>
                <w:lang w:val="bg-BG"/>
                <w14:textOutline w14:w="0" w14:cap="flat" w14:cmpd="sng" w14:algn="ctr">
                  <w14:noFill/>
                  <w14:prstDash w14:val="solid"/>
                  <w14:bevel/>
                </w14:textOutline>
              </w:rPr>
              <w:t>1</w:t>
            </w: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suppressAutoHyphens/>
              <w:jc w:val="center"/>
              <w:rPr>
                <w:rFonts w:cs="Times New Roman"/>
                <w:szCs w:val="28"/>
              </w:rPr>
            </w:pPr>
            <w:r w:rsidRPr="00A15AC5">
              <w:rPr>
                <w:rFonts w:cs="Times New Roman"/>
                <w:color w:val="000000"/>
                <w:szCs w:val="28"/>
                <w:lang w:val="bg-BG"/>
                <w14:textOutline w14:w="0" w14:cap="flat" w14:cmpd="sng" w14:algn="ctr">
                  <w14:noFill/>
                  <w14:prstDash w14:val="solid"/>
                  <w14:bevel/>
                </w14:textOutline>
              </w:rPr>
              <w:t>2</w:t>
            </w:r>
          </w:p>
        </w:tc>
        <w:tc>
          <w:tcPr>
            <w:tcW w:w="9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suppressAutoHyphens/>
              <w:jc w:val="center"/>
              <w:rPr>
                <w:rFonts w:cs="Times New Roman"/>
                <w:szCs w:val="28"/>
              </w:rPr>
            </w:pPr>
            <w:r w:rsidRPr="00A15AC5">
              <w:rPr>
                <w:rFonts w:cs="Times New Roman"/>
                <w:color w:val="000000"/>
                <w:szCs w:val="28"/>
                <w:lang w:val="bg-BG"/>
                <w14:textOutline w14:w="0" w14:cap="flat" w14:cmpd="sng" w14:algn="ctr">
                  <w14:noFill/>
                  <w14:prstDash w14:val="solid"/>
                  <w14:bevel/>
                </w14:textOutline>
              </w:rPr>
              <w:t>3</w:t>
            </w:r>
          </w:p>
        </w:tc>
      </w:tr>
      <w:tr w:rsidR="00A75251" w:rsidRPr="00A15AC5" w:rsidTr="00AA4A8F">
        <w:trPr>
          <w:trHeight w:val="478"/>
        </w:trPr>
        <w:tc>
          <w:tcPr>
            <w:tcW w:w="173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sz w:val="28"/>
                <w:szCs w:val="28"/>
              </w:rPr>
            </w:pPr>
            <w:r w:rsidRPr="00A15AC5">
              <w:rPr>
                <w:rFonts w:ascii="Times New Roman" w:hAnsi="Times New Roman" w:cs="Times New Roman"/>
                <w:sz w:val="28"/>
                <w:szCs w:val="28"/>
              </w:rPr>
              <w:t>13</w:t>
            </w: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C5E0B3" w:themeFill="accent6" w:themeFillTint="66"/>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b/>
                <w:sz w:val="28"/>
                <w:szCs w:val="28"/>
              </w:rPr>
            </w:pPr>
            <w:r w:rsidRPr="00A15AC5">
              <w:rPr>
                <w:rFonts w:ascii="Times New Roman" w:hAnsi="Times New Roman" w:cs="Times New Roman"/>
                <w:b/>
                <w:sz w:val="28"/>
                <w:szCs w:val="28"/>
              </w:rPr>
              <w:t>.725</w:t>
            </w: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sz w:val="28"/>
                <w:szCs w:val="28"/>
              </w:rPr>
            </w:pPr>
          </w:p>
        </w:tc>
        <w:tc>
          <w:tcPr>
            <w:tcW w:w="9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sz w:val="28"/>
                <w:szCs w:val="28"/>
              </w:rPr>
            </w:pPr>
          </w:p>
        </w:tc>
      </w:tr>
      <w:tr w:rsidR="00A75251" w:rsidRPr="00A15AC5" w:rsidTr="00AA4A8F">
        <w:trPr>
          <w:trHeight w:val="478"/>
        </w:trPr>
        <w:tc>
          <w:tcPr>
            <w:tcW w:w="173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sz w:val="28"/>
                <w:szCs w:val="28"/>
              </w:rPr>
            </w:pPr>
            <w:r w:rsidRPr="00A15AC5">
              <w:rPr>
                <w:rFonts w:ascii="Times New Roman" w:hAnsi="Times New Roman" w:cs="Times New Roman"/>
                <w:sz w:val="28"/>
                <w:szCs w:val="28"/>
              </w:rPr>
              <w:t>6</w:t>
            </w: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C5E0B3" w:themeFill="accent6" w:themeFillTint="66"/>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b/>
                <w:sz w:val="28"/>
                <w:szCs w:val="28"/>
              </w:rPr>
            </w:pPr>
            <w:r w:rsidRPr="00A15AC5">
              <w:rPr>
                <w:rFonts w:ascii="Times New Roman" w:hAnsi="Times New Roman" w:cs="Times New Roman"/>
                <w:b/>
                <w:sz w:val="28"/>
                <w:szCs w:val="28"/>
              </w:rPr>
              <w:t>.674</w:t>
            </w: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sz w:val="28"/>
                <w:szCs w:val="28"/>
              </w:rPr>
            </w:pPr>
          </w:p>
        </w:tc>
        <w:tc>
          <w:tcPr>
            <w:tcW w:w="9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jc w:val="center"/>
              <w:rPr>
                <w:rFonts w:cs="Times New Roman"/>
                <w:szCs w:val="28"/>
              </w:rPr>
            </w:pPr>
          </w:p>
        </w:tc>
      </w:tr>
      <w:tr w:rsidR="00A75251" w:rsidRPr="00A15AC5" w:rsidTr="00AA4A8F">
        <w:trPr>
          <w:trHeight w:val="360"/>
        </w:trPr>
        <w:tc>
          <w:tcPr>
            <w:tcW w:w="173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sz w:val="28"/>
                <w:szCs w:val="28"/>
              </w:rPr>
            </w:pPr>
            <w:r w:rsidRPr="00A15AC5">
              <w:rPr>
                <w:rFonts w:ascii="Times New Roman" w:hAnsi="Times New Roman" w:cs="Times New Roman"/>
                <w:sz w:val="28"/>
                <w:szCs w:val="28"/>
              </w:rPr>
              <w:t>4</w:t>
            </w: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C5E0B3" w:themeFill="accent6" w:themeFillTint="66"/>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b/>
                <w:sz w:val="28"/>
                <w:szCs w:val="28"/>
              </w:rPr>
            </w:pPr>
            <w:r w:rsidRPr="00A15AC5">
              <w:rPr>
                <w:rFonts w:ascii="Times New Roman" w:hAnsi="Times New Roman" w:cs="Times New Roman"/>
                <w:b/>
                <w:sz w:val="28"/>
                <w:szCs w:val="28"/>
              </w:rPr>
              <w:t>.648</w:t>
            </w: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sz w:val="28"/>
                <w:szCs w:val="28"/>
              </w:rPr>
            </w:pPr>
            <w:r w:rsidRPr="00A15AC5">
              <w:rPr>
                <w:rFonts w:ascii="Times New Roman" w:hAnsi="Times New Roman" w:cs="Times New Roman"/>
                <w:sz w:val="28"/>
                <w:szCs w:val="28"/>
              </w:rPr>
              <w:t>.323</w:t>
            </w:r>
          </w:p>
        </w:tc>
        <w:tc>
          <w:tcPr>
            <w:tcW w:w="9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jc w:val="center"/>
              <w:rPr>
                <w:rFonts w:cs="Times New Roman"/>
                <w:szCs w:val="28"/>
              </w:rPr>
            </w:pPr>
          </w:p>
        </w:tc>
      </w:tr>
      <w:tr w:rsidR="00A75251" w:rsidRPr="00A15AC5" w:rsidTr="00AA4A8F">
        <w:trPr>
          <w:trHeight w:val="478"/>
        </w:trPr>
        <w:tc>
          <w:tcPr>
            <w:tcW w:w="173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sz w:val="28"/>
                <w:szCs w:val="28"/>
              </w:rPr>
            </w:pPr>
            <w:r w:rsidRPr="00A15AC5">
              <w:rPr>
                <w:rFonts w:ascii="Times New Roman" w:hAnsi="Times New Roman" w:cs="Times New Roman"/>
                <w:sz w:val="28"/>
                <w:szCs w:val="28"/>
              </w:rPr>
              <w:t>8</w:t>
            </w: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C5E0B3" w:themeFill="accent6" w:themeFillTint="66"/>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b/>
                <w:sz w:val="28"/>
                <w:szCs w:val="28"/>
              </w:rPr>
            </w:pPr>
            <w:r w:rsidRPr="00A15AC5">
              <w:rPr>
                <w:rFonts w:ascii="Times New Roman" w:hAnsi="Times New Roman" w:cs="Times New Roman"/>
                <w:b/>
                <w:sz w:val="28"/>
                <w:szCs w:val="28"/>
              </w:rPr>
              <w:t>.585</w:t>
            </w: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sz w:val="28"/>
                <w:szCs w:val="28"/>
              </w:rPr>
            </w:pPr>
            <w:r w:rsidRPr="00A15AC5">
              <w:rPr>
                <w:rFonts w:ascii="Times New Roman" w:hAnsi="Times New Roman" w:cs="Times New Roman"/>
                <w:sz w:val="28"/>
                <w:szCs w:val="28"/>
              </w:rPr>
              <w:t>.369</w:t>
            </w:r>
          </w:p>
        </w:tc>
        <w:tc>
          <w:tcPr>
            <w:tcW w:w="9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sz w:val="28"/>
                <w:szCs w:val="28"/>
              </w:rPr>
            </w:pPr>
          </w:p>
        </w:tc>
      </w:tr>
      <w:tr w:rsidR="00A75251" w:rsidRPr="00A15AC5" w:rsidTr="00AA4A8F">
        <w:trPr>
          <w:trHeight w:val="478"/>
        </w:trPr>
        <w:tc>
          <w:tcPr>
            <w:tcW w:w="173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sz w:val="28"/>
                <w:szCs w:val="28"/>
              </w:rPr>
            </w:pPr>
            <w:r w:rsidRPr="00A15AC5">
              <w:rPr>
                <w:rFonts w:ascii="Times New Roman" w:hAnsi="Times New Roman" w:cs="Times New Roman"/>
                <w:sz w:val="28"/>
                <w:szCs w:val="28"/>
              </w:rPr>
              <w:t>11</w:t>
            </w: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C5E0B3" w:themeFill="accent6" w:themeFillTint="66"/>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b/>
                <w:sz w:val="28"/>
                <w:szCs w:val="28"/>
              </w:rPr>
            </w:pPr>
            <w:r w:rsidRPr="00A15AC5">
              <w:rPr>
                <w:rFonts w:ascii="Times New Roman" w:hAnsi="Times New Roman" w:cs="Times New Roman"/>
                <w:b/>
                <w:sz w:val="28"/>
                <w:szCs w:val="28"/>
              </w:rPr>
              <w:t>.579</w:t>
            </w: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jc w:val="center"/>
              <w:rPr>
                <w:rFonts w:cs="Times New Roman"/>
                <w:szCs w:val="28"/>
              </w:rPr>
            </w:pPr>
          </w:p>
        </w:tc>
        <w:tc>
          <w:tcPr>
            <w:tcW w:w="9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sz w:val="28"/>
                <w:szCs w:val="28"/>
              </w:rPr>
            </w:pPr>
            <w:r w:rsidRPr="00A15AC5">
              <w:rPr>
                <w:rFonts w:ascii="Times New Roman" w:hAnsi="Times New Roman" w:cs="Times New Roman"/>
                <w:sz w:val="28"/>
                <w:szCs w:val="28"/>
              </w:rPr>
              <w:t>-.425</w:t>
            </w:r>
          </w:p>
        </w:tc>
      </w:tr>
      <w:tr w:rsidR="00A75251" w:rsidRPr="00A15AC5" w:rsidTr="00AA4A8F">
        <w:trPr>
          <w:trHeight w:val="478"/>
        </w:trPr>
        <w:tc>
          <w:tcPr>
            <w:tcW w:w="173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sz w:val="28"/>
                <w:szCs w:val="28"/>
              </w:rPr>
            </w:pPr>
            <w:r w:rsidRPr="00A15AC5">
              <w:rPr>
                <w:rFonts w:ascii="Times New Roman" w:hAnsi="Times New Roman" w:cs="Times New Roman"/>
                <w:sz w:val="28"/>
                <w:szCs w:val="28"/>
              </w:rPr>
              <w:t>14</w:t>
            </w: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C5E0B3" w:themeFill="accent6" w:themeFillTint="66"/>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b/>
                <w:sz w:val="28"/>
                <w:szCs w:val="28"/>
              </w:rPr>
            </w:pPr>
            <w:r w:rsidRPr="00A15AC5">
              <w:rPr>
                <w:rFonts w:ascii="Times New Roman" w:hAnsi="Times New Roman" w:cs="Times New Roman"/>
                <w:b/>
                <w:sz w:val="28"/>
                <w:szCs w:val="28"/>
              </w:rPr>
              <w:t>-.573</w:t>
            </w: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jc w:val="center"/>
              <w:rPr>
                <w:rFonts w:cs="Times New Roman"/>
                <w:szCs w:val="28"/>
              </w:rPr>
            </w:pPr>
          </w:p>
        </w:tc>
        <w:tc>
          <w:tcPr>
            <w:tcW w:w="9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sz w:val="28"/>
                <w:szCs w:val="28"/>
              </w:rPr>
            </w:pPr>
            <w:r w:rsidRPr="00A15AC5">
              <w:rPr>
                <w:rFonts w:ascii="Times New Roman" w:hAnsi="Times New Roman" w:cs="Times New Roman"/>
                <w:sz w:val="28"/>
                <w:szCs w:val="28"/>
              </w:rPr>
              <w:t>.402</w:t>
            </w:r>
          </w:p>
        </w:tc>
      </w:tr>
      <w:tr w:rsidR="00A75251" w:rsidRPr="00A15AC5" w:rsidTr="00AA4A8F">
        <w:trPr>
          <w:trHeight w:val="478"/>
        </w:trPr>
        <w:tc>
          <w:tcPr>
            <w:tcW w:w="173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sz w:val="28"/>
                <w:szCs w:val="28"/>
              </w:rPr>
            </w:pPr>
            <w:r w:rsidRPr="00A15AC5">
              <w:rPr>
                <w:rFonts w:ascii="Times New Roman" w:hAnsi="Times New Roman" w:cs="Times New Roman"/>
                <w:sz w:val="28"/>
                <w:szCs w:val="28"/>
              </w:rPr>
              <w:t>17</w:t>
            </w: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C5E0B3" w:themeFill="accent6" w:themeFillTint="66"/>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b/>
                <w:sz w:val="28"/>
                <w:szCs w:val="28"/>
              </w:rPr>
            </w:pPr>
            <w:r w:rsidRPr="00A15AC5">
              <w:rPr>
                <w:rFonts w:ascii="Times New Roman" w:hAnsi="Times New Roman" w:cs="Times New Roman"/>
                <w:b/>
                <w:sz w:val="28"/>
                <w:szCs w:val="28"/>
              </w:rPr>
              <w:t>.569</w:t>
            </w: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sz w:val="28"/>
                <w:szCs w:val="28"/>
              </w:rPr>
            </w:pPr>
            <w:r w:rsidRPr="00A15AC5">
              <w:rPr>
                <w:rFonts w:ascii="Times New Roman" w:hAnsi="Times New Roman" w:cs="Times New Roman"/>
                <w:sz w:val="28"/>
                <w:szCs w:val="28"/>
              </w:rPr>
              <w:t>.314</w:t>
            </w:r>
          </w:p>
        </w:tc>
        <w:tc>
          <w:tcPr>
            <w:tcW w:w="9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sz w:val="28"/>
                <w:szCs w:val="28"/>
              </w:rPr>
            </w:pPr>
          </w:p>
        </w:tc>
      </w:tr>
      <w:tr w:rsidR="00A75251" w:rsidRPr="00A15AC5" w:rsidTr="00AA4A8F">
        <w:trPr>
          <w:trHeight w:val="478"/>
        </w:trPr>
        <w:tc>
          <w:tcPr>
            <w:tcW w:w="173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sz w:val="28"/>
                <w:szCs w:val="28"/>
              </w:rPr>
            </w:pPr>
            <w:r w:rsidRPr="00A15AC5">
              <w:rPr>
                <w:rFonts w:ascii="Times New Roman" w:hAnsi="Times New Roman" w:cs="Times New Roman"/>
                <w:sz w:val="28"/>
                <w:szCs w:val="28"/>
              </w:rPr>
              <w:t>7</w:t>
            </w: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C5E0B3" w:themeFill="accent6" w:themeFillTint="66"/>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b/>
                <w:sz w:val="28"/>
                <w:szCs w:val="28"/>
              </w:rPr>
            </w:pPr>
            <w:r w:rsidRPr="00A15AC5">
              <w:rPr>
                <w:rFonts w:ascii="Times New Roman" w:hAnsi="Times New Roman" w:cs="Times New Roman"/>
                <w:b/>
                <w:sz w:val="28"/>
                <w:szCs w:val="28"/>
              </w:rPr>
              <w:t>-.562</w:t>
            </w: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sz w:val="28"/>
                <w:szCs w:val="28"/>
              </w:rPr>
            </w:pPr>
          </w:p>
        </w:tc>
        <w:tc>
          <w:tcPr>
            <w:tcW w:w="9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jc w:val="center"/>
              <w:rPr>
                <w:rFonts w:cs="Times New Roman"/>
                <w:szCs w:val="28"/>
              </w:rPr>
            </w:pPr>
          </w:p>
        </w:tc>
      </w:tr>
      <w:tr w:rsidR="00A75251" w:rsidRPr="00A15AC5" w:rsidTr="00AA4A8F">
        <w:trPr>
          <w:trHeight w:val="478"/>
        </w:trPr>
        <w:tc>
          <w:tcPr>
            <w:tcW w:w="173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color w:val="auto"/>
                <w:sz w:val="28"/>
                <w:szCs w:val="28"/>
              </w:rPr>
            </w:pPr>
            <w:r w:rsidRPr="00A15AC5">
              <w:rPr>
                <w:rFonts w:ascii="Times New Roman" w:hAnsi="Times New Roman" w:cs="Times New Roman"/>
                <w:color w:val="auto"/>
                <w:sz w:val="28"/>
                <w:szCs w:val="28"/>
              </w:rPr>
              <w:t>15</w:t>
            </w: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color w:val="auto"/>
                <w:sz w:val="28"/>
                <w:szCs w:val="28"/>
              </w:rPr>
            </w:pPr>
            <w:r w:rsidRPr="00A15AC5">
              <w:rPr>
                <w:rFonts w:ascii="Times New Roman" w:hAnsi="Times New Roman" w:cs="Times New Roman"/>
                <w:color w:val="auto"/>
                <w:sz w:val="28"/>
                <w:szCs w:val="28"/>
              </w:rPr>
              <w:t>.327</w:t>
            </w: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color w:val="auto"/>
                <w:sz w:val="28"/>
                <w:szCs w:val="28"/>
              </w:rPr>
            </w:pPr>
          </w:p>
        </w:tc>
        <w:tc>
          <w:tcPr>
            <w:tcW w:w="9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jc w:val="center"/>
              <w:rPr>
                <w:rFonts w:cs="Times New Roman"/>
                <w:szCs w:val="28"/>
              </w:rPr>
            </w:pPr>
          </w:p>
        </w:tc>
      </w:tr>
      <w:tr w:rsidR="00A75251" w:rsidRPr="00A15AC5" w:rsidTr="00AA4A8F">
        <w:trPr>
          <w:trHeight w:val="360"/>
        </w:trPr>
        <w:tc>
          <w:tcPr>
            <w:tcW w:w="173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sz w:val="28"/>
                <w:szCs w:val="28"/>
              </w:rPr>
            </w:pPr>
            <w:r w:rsidRPr="00A15AC5">
              <w:rPr>
                <w:rFonts w:ascii="Times New Roman" w:hAnsi="Times New Roman" w:cs="Times New Roman"/>
                <w:sz w:val="28"/>
                <w:szCs w:val="28"/>
              </w:rPr>
              <w:t>2</w:t>
            </w: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jc w:val="center"/>
              <w:rPr>
                <w:rFonts w:cs="Times New Roman"/>
                <w:szCs w:val="28"/>
              </w:rPr>
            </w:pP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E599" w:themeFill="accent4" w:themeFillTint="66"/>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b/>
                <w:sz w:val="28"/>
                <w:szCs w:val="28"/>
              </w:rPr>
            </w:pPr>
            <w:r w:rsidRPr="00A15AC5">
              <w:rPr>
                <w:rFonts w:ascii="Times New Roman" w:hAnsi="Times New Roman" w:cs="Times New Roman"/>
                <w:b/>
                <w:sz w:val="28"/>
                <w:szCs w:val="28"/>
              </w:rPr>
              <w:t>.783</w:t>
            </w:r>
          </w:p>
        </w:tc>
        <w:tc>
          <w:tcPr>
            <w:tcW w:w="9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jc w:val="center"/>
              <w:rPr>
                <w:rFonts w:cs="Times New Roman"/>
                <w:szCs w:val="28"/>
              </w:rPr>
            </w:pPr>
          </w:p>
        </w:tc>
      </w:tr>
      <w:tr w:rsidR="00A75251" w:rsidRPr="00A15AC5" w:rsidTr="00AA4A8F">
        <w:trPr>
          <w:trHeight w:val="478"/>
        </w:trPr>
        <w:tc>
          <w:tcPr>
            <w:tcW w:w="173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sz w:val="28"/>
                <w:szCs w:val="28"/>
              </w:rPr>
            </w:pPr>
            <w:r w:rsidRPr="00A15AC5">
              <w:rPr>
                <w:rFonts w:ascii="Times New Roman" w:hAnsi="Times New Roman" w:cs="Times New Roman"/>
                <w:sz w:val="28"/>
                <w:szCs w:val="28"/>
              </w:rPr>
              <w:t>1</w:t>
            </w: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sz w:val="28"/>
                <w:szCs w:val="28"/>
              </w:rPr>
            </w:pP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E599" w:themeFill="accent4" w:themeFillTint="66"/>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b/>
                <w:sz w:val="28"/>
                <w:szCs w:val="28"/>
              </w:rPr>
            </w:pPr>
            <w:r w:rsidRPr="00A15AC5">
              <w:rPr>
                <w:rFonts w:ascii="Times New Roman" w:hAnsi="Times New Roman" w:cs="Times New Roman"/>
                <w:b/>
                <w:sz w:val="28"/>
                <w:szCs w:val="28"/>
              </w:rPr>
              <w:t>-.752</w:t>
            </w:r>
          </w:p>
        </w:tc>
        <w:tc>
          <w:tcPr>
            <w:tcW w:w="9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jc w:val="center"/>
              <w:rPr>
                <w:rFonts w:cs="Times New Roman"/>
                <w:szCs w:val="28"/>
              </w:rPr>
            </w:pPr>
          </w:p>
        </w:tc>
      </w:tr>
      <w:tr w:rsidR="00A75251" w:rsidRPr="00A15AC5" w:rsidTr="00AA4A8F">
        <w:trPr>
          <w:trHeight w:val="478"/>
        </w:trPr>
        <w:tc>
          <w:tcPr>
            <w:tcW w:w="173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sz w:val="28"/>
                <w:szCs w:val="28"/>
              </w:rPr>
            </w:pPr>
            <w:r w:rsidRPr="00A15AC5">
              <w:rPr>
                <w:rFonts w:ascii="Times New Roman" w:hAnsi="Times New Roman" w:cs="Times New Roman"/>
                <w:sz w:val="28"/>
                <w:szCs w:val="28"/>
              </w:rPr>
              <w:t>3</w:t>
            </w: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sz w:val="28"/>
                <w:szCs w:val="28"/>
              </w:rPr>
            </w:pP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E599" w:themeFill="accent4" w:themeFillTint="66"/>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b/>
                <w:sz w:val="28"/>
                <w:szCs w:val="28"/>
              </w:rPr>
            </w:pPr>
            <w:r w:rsidRPr="00A15AC5">
              <w:rPr>
                <w:rFonts w:ascii="Times New Roman" w:hAnsi="Times New Roman" w:cs="Times New Roman"/>
                <w:b/>
                <w:sz w:val="28"/>
                <w:szCs w:val="28"/>
              </w:rPr>
              <w:t>-.651</w:t>
            </w:r>
          </w:p>
        </w:tc>
        <w:tc>
          <w:tcPr>
            <w:tcW w:w="9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sz w:val="28"/>
                <w:szCs w:val="28"/>
              </w:rPr>
            </w:pPr>
          </w:p>
        </w:tc>
      </w:tr>
      <w:tr w:rsidR="00A75251" w:rsidRPr="00A15AC5" w:rsidTr="00AA4A8F">
        <w:trPr>
          <w:trHeight w:val="478"/>
        </w:trPr>
        <w:tc>
          <w:tcPr>
            <w:tcW w:w="173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sz w:val="28"/>
                <w:szCs w:val="28"/>
              </w:rPr>
            </w:pPr>
            <w:r w:rsidRPr="00A15AC5">
              <w:rPr>
                <w:rFonts w:ascii="Times New Roman" w:hAnsi="Times New Roman" w:cs="Times New Roman"/>
                <w:sz w:val="28"/>
                <w:szCs w:val="28"/>
              </w:rPr>
              <w:t>5</w:t>
            </w: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jc w:val="center"/>
              <w:rPr>
                <w:rFonts w:cs="Times New Roman"/>
                <w:szCs w:val="28"/>
              </w:rPr>
            </w:pP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E599" w:themeFill="accent4" w:themeFillTint="66"/>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b/>
                <w:sz w:val="28"/>
                <w:szCs w:val="28"/>
              </w:rPr>
            </w:pPr>
            <w:r w:rsidRPr="00A15AC5">
              <w:rPr>
                <w:rFonts w:ascii="Times New Roman" w:hAnsi="Times New Roman" w:cs="Times New Roman"/>
                <w:b/>
                <w:sz w:val="28"/>
                <w:szCs w:val="28"/>
              </w:rPr>
              <w:t>-.466</w:t>
            </w:r>
          </w:p>
        </w:tc>
        <w:tc>
          <w:tcPr>
            <w:tcW w:w="9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sz w:val="28"/>
                <w:szCs w:val="28"/>
              </w:rPr>
            </w:pPr>
          </w:p>
        </w:tc>
      </w:tr>
      <w:tr w:rsidR="00A75251" w:rsidRPr="00A15AC5" w:rsidTr="00AA4A8F">
        <w:trPr>
          <w:trHeight w:val="360"/>
        </w:trPr>
        <w:tc>
          <w:tcPr>
            <w:tcW w:w="173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color w:val="auto"/>
                <w:sz w:val="28"/>
                <w:szCs w:val="28"/>
              </w:rPr>
            </w:pPr>
            <w:r w:rsidRPr="00A15AC5">
              <w:rPr>
                <w:rFonts w:ascii="Times New Roman" w:hAnsi="Times New Roman" w:cs="Times New Roman"/>
                <w:color w:val="auto"/>
                <w:sz w:val="28"/>
                <w:szCs w:val="28"/>
              </w:rPr>
              <w:t>9</w:t>
            </w: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jc w:val="center"/>
              <w:rPr>
                <w:rFonts w:cs="Times New Roman"/>
                <w:szCs w:val="28"/>
              </w:rPr>
            </w:pP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color w:val="auto"/>
                <w:sz w:val="28"/>
                <w:szCs w:val="28"/>
              </w:rPr>
            </w:pPr>
            <w:r w:rsidRPr="00A15AC5">
              <w:rPr>
                <w:rFonts w:ascii="Times New Roman" w:hAnsi="Times New Roman" w:cs="Times New Roman"/>
                <w:color w:val="auto"/>
                <w:sz w:val="28"/>
                <w:szCs w:val="28"/>
              </w:rPr>
              <w:t>.437</w:t>
            </w:r>
          </w:p>
        </w:tc>
        <w:tc>
          <w:tcPr>
            <w:tcW w:w="9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jc w:val="center"/>
              <w:rPr>
                <w:rFonts w:cs="Times New Roman"/>
                <w:szCs w:val="28"/>
              </w:rPr>
            </w:pPr>
          </w:p>
        </w:tc>
      </w:tr>
      <w:tr w:rsidR="00A75251" w:rsidRPr="00A15AC5" w:rsidTr="00AA4A8F">
        <w:trPr>
          <w:trHeight w:val="360"/>
        </w:trPr>
        <w:tc>
          <w:tcPr>
            <w:tcW w:w="173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sz w:val="28"/>
                <w:szCs w:val="28"/>
              </w:rPr>
            </w:pPr>
            <w:r w:rsidRPr="00A15AC5">
              <w:rPr>
                <w:rFonts w:ascii="Times New Roman" w:hAnsi="Times New Roman" w:cs="Times New Roman"/>
                <w:sz w:val="28"/>
                <w:szCs w:val="28"/>
              </w:rPr>
              <w:t>12</w:t>
            </w: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jc w:val="center"/>
              <w:rPr>
                <w:rFonts w:cs="Times New Roman"/>
                <w:szCs w:val="28"/>
              </w:rPr>
            </w:pP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sz w:val="28"/>
                <w:szCs w:val="28"/>
              </w:rPr>
            </w:pPr>
          </w:p>
        </w:tc>
        <w:tc>
          <w:tcPr>
            <w:tcW w:w="9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9E2F3" w:themeFill="accent1" w:themeFillTint="33"/>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b/>
                <w:sz w:val="28"/>
                <w:szCs w:val="28"/>
              </w:rPr>
            </w:pPr>
            <w:r w:rsidRPr="00A15AC5">
              <w:rPr>
                <w:rFonts w:ascii="Times New Roman" w:hAnsi="Times New Roman" w:cs="Times New Roman"/>
                <w:b/>
                <w:sz w:val="28"/>
                <w:szCs w:val="28"/>
              </w:rPr>
              <w:t>.718</w:t>
            </w:r>
          </w:p>
        </w:tc>
      </w:tr>
      <w:tr w:rsidR="00A75251" w:rsidRPr="00A15AC5" w:rsidTr="00AA4A8F">
        <w:trPr>
          <w:trHeight w:val="478"/>
        </w:trPr>
        <w:tc>
          <w:tcPr>
            <w:tcW w:w="173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sz w:val="28"/>
                <w:szCs w:val="28"/>
              </w:rPr>
            </w:pPr>
            <w:r w:rsidRPr="00A15AC5">
              <w:rPr>
                <w:rFonts w:ascii="Times New Roman" w:hAnsi="Times New Roman" w:cs="Times New Roman"/>
                <w:sz w:val="28"/>
                <w:szCs w:val="28"/>
              </w:rPr>
              <w:t>10</w:t>
            </w: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sz w:val="28"/>
                <w:szCs w:val="28"/>
              </w:rPr>
            </w:pP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sz w:val="28"/>
                <w:szCs w:val="28"/>
              </w:rPr>
            </w:pPr>
          </w:p>
        </w:tc>
        <w:tc>
          <w:tcPr>
            <w:tcW w:w="9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9E2F3" w:themeFill="accent1" w:themeFillTint="33"/>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b/>
                <w:sz w:val="28"/>
                <w:szCs w:val="28"/>
              </w:rPr>
            </w:pPr>
            <w:r w:rsidRPr="00A15AC5">
              <w:rPr>
                <w:rFonts w:ascii="Times New Roman" w:hAnsi="Times New Roman" w:cs="Times New Roman"/>
                <w:b/>
                <w:sz w:val="28"/>
                <w:szCs w:val="28"/>
              </w:rPr>
              <w:t>-.647</w:t>
            </w:r>
          </w:p>
        </w:tc>
      </w:tr>
      <w:tr w:rsidR="00A75251" w:rsidRPr="00A15AC5" w:rsidTr="00AA4A8F">
        <w:trPr>
          <w:trHeight w:val="478"/>
        </w:trPr>
        <w:tc>
          <w:tcPr>
            <w:tcW w:w="173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sz w:val="28"/>
                <w:szCs w:val="28"/>
              </w:rPr>
            </w:pPr>
            <w:r w:rsidRPr="00A15AC5">
              <w:rPr>
                <w:rFonts w:ascii="Times New Roman" w:hAnsi="Times New Roman" w:cs="Times New Roman"/>
                <w:sz w:val="28"/>
                <w:szCs w:val="28"/>
              </w:rPr>
              <w:t>18</w:t>
            </w: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sz w:val="28"/>
                <w:szCs w:val="28"/>
              </w:rPr>
            </w:pPr>
            <w:r w:rsidRPr="00A15AC5">
              <w:rPr>
                <w:rFonts w:ascii="Times New Roman" w:hAnsi="Times New Roman" w:cs="Times New Roman"/>
                <w:sz w:val="28"/>
                <w:szCs w:val="28"/>
              </w:rPr>
              <w:t>-.347</w:t>
            </w: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sz w:val="28"/>
                <w:szCs w:val="28"/>
              </w:rPr>
            </w:pPr>
          </w:p>
        </w:tc>
        <w:tc>
          <w:tcPr>
            <w:tcW w:w="9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9E2F3" w:themeFill="accent1" w:themeFillTint="33"/>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b/>
                <w:sz w:val="28"/>
                <w:szCs w:val="28"/>
              </w:rPr>
            </w:pPr>
            <w:r w:rsidRPr="00A15AC5">
              <w:rPr>
                <w:rFonts w:ascii="Times New Roman" w:hAnsi="Times New Roman" w:cs="Times New Roman"/>
                <w:b/>
                <w:sz w:val="28"/>
                <w:szCs w:val="28"/>
              </w:rPr>
              <w:t>.549</w:t>
            </w:r>
          </w:p>
        </w:tc>
      </w:tr>
      <w:tr w:rsidR="00A75251" w:rsidRPr="00A15AC5" w:rsidTr="00AA4A8F">
        <w:trPr>
          <w:trHeight w:val="478"/>
        </w:trPr>
        <w:tc>
          <w:tcPr>
            <w:tcW w:w="173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color w:val="auto"/>
                <w:sz w:val="28"/>
                <w:szCs w:val="28"/>
              </w:rPr>
            </w:pPr>
            <w:r w:rsidRPr="00A15AC5">
              <w:rPr>
                <w:rFonts w:ascii="Times New Roman" w:hAnsi="Times New Roman" w:cs="Times New Roman"/>
                <w:color w:val="auto"/>
                <w:sz w:val="28"/>
                <w:szCs w:val="28"/>
              </w:rPr>
              <w:lastRenderedPageBreak/>
              <w:t>16</w:t>
            </w: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jc w:val="center"/>
              <w:rPr>
                <w:rFonts w:cs="Times New Roman"/>
                <w:szCs w:val="28"/>
              </w:rPr>
            </w:pP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jc w:val="center"/>
              <w:rPr>
                <w:rFonts w:cs="Times New Roman"/>
                <w:szCs w:val="28"/>
              </w:rPr>
            </w:pPr>
          </w:p>
        </w:tc>
        <w:tc>
          <w:tcPr>
            <w:tcW w:w="99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20" w:type="dxa"/>
              <w:left w:w="20" w:type="dxa"/>
              <w:bottom w:w="20" w:type="dxa"/>
              <w:right w:w="20" w:type="dxa"/>
            </w:tcMar>
            <w:vAlign w:val="center"/>
          </w:tcPr>
          <w:p w:rsidR="00A75251" w:rsidRPr="00A15AC5" w:rsidRDefault="00A75251" w:rsidP="00A15AC5">
            <w:pPr>
              <w:pStyle w:val="TableStyle2"/>
              <w:suppressAutoHyphens/>
              <w:jc w:val="center"/>
              <w:rPr>
                <w:rFonts w:ascii="Times New Roman" w:hAnsi="Times New Roman" w:cs="Times New Roman"/>
                <w:color w:val="auto"/>
                <w:sz w:val="28"/>
                <w:szCs w:val="28"/>
              </w:rPr>
            </w:pPr>
            <w:r w:rsidRPr="00A15AC5">
              <w:rPr>
                <w:rFonts w:ascii="Times New Roman" w:hAnsi="Times New Roman" w:cs="Times New Roman"/>
                <w:color w:val="auto"/>
                <w:sz w:val="28"/>
                <w:szCs w:val="28"/>
              </w:rPr>
              <w:t>-.502</w:t>
            </w:r>
          </w:p>
        </w:tc>
      </w:tr>
    </w:tbl>
    <w:p w:rsidR="00AA4A8F" w:rsidRPr="00A15AC5" w:rsidRDefault="00AA4A8F" w:rsidP="00A15AC5">
      <w:pPr>
        <w:spacing w:before="100" w:beforeAutospacing="1" w:after="100" w:afterAutospacing="1"/>
        <w:rPr>
          <w:rFonts w:cs="Times New Roman"/>
          <w:i/>
          <w:szCs w:val="28"/>
        </w:rPr>
      </w:pPr>
      <w:r w:rsidRPr="00A15AC5">
        <w:rPr>
          <w:rFonts w:cs="Times New Roman"/>
          <w:b/>
          <w:i/>
          <w:szCs w:val="28"/>
        </w:rPr>
        <w:t>Забележка</w:t>
      </w:r>
      <w:r w:rsidRPr="00A15AC5">
        <w:rPr>
          <w:rFonts w:cs="Times New Roman"/>
          <w:i/>
          <w:szCs w:val="28"/>
        </w:rPr>
        <w:t>: Представени са компонентни натоварвания ≥.30</w:t>
      </w:r>
      <w:r w:rsidR="009829C3" w:rsidRPr="00A15AC5">
        <w:rPr>
          <w:rFonts w:cs="Times New Roman"/>
          <w:i/>
          <w:szCs w:val="28"/>
          <w:lang w:val="bg-BG"/>
        </w:rPr>
        <w:t xml:space="preserve"> </w:t>
      </w:r>
      <w:r w:rsidR="009829C3" w:rsidRPr="00A15AC5">
        <w:rPr>
          <w:rFonts w:cs="Times New Roman"/>
          <w:i/>
          <w:szCs w:val="28"/>
        </w:rPr>
        <w:t>по абсолютна стойност</w:t>
      </w:r>
      <w:r w:rsidRPr="00A15AC5">
        <w:rPr>
          <w:rFonts w:cs="Times New Roman"/>
          <w:i/>
          <w:szCs w:val="28"/>
        </w:rPr>
        <w:t>. Отрицателните натоварвания отразяват ориентацията на компонентните оси и сами по себе си не показват неправилно кодиране.</w:t>
      </w:r>
    </w:p>
    <w:p w:rsidR="009829C3" w:rsidRPr="00A15AC5" w:rsidRDefault="009829C3" w:rsidP="00A15AC5">
      <w:pPr>
        <w:spacing w:before="100" w:beforeAutospacing="1" w:after="100" w:afterAutospacing="1"/>
        <w:rPr>
          <w:rFonts w:cs="Times New Roman"/>
          <w:szCs w:val="28"/>
        </w:rPr>
      </w:pPr>
    </w:p>
    <w:p w:rsidR="00A259AD" w:rsidRPr="00A15AC5" w:rsidRDefault="00CF0E54" w:rsidP="00A15AC5">
      <w:pPr>
        <w:spacing w:before="100" w:beforeAutospacing="1" w:after="100" w:afterAutospacing="1"/>
        <w:rPr>
          <w:rFonts w:cs="Times New Roman"/>
          <w:szCs w:val="28"/>
        </w:rPr>
      </w:pPr>
      <w:r w:rsidRPr="00A15AC5">
        <w:rPr>
          <w:rFonts w:cs="Times New Roman"/>
          <w:szCs w:val="28"/>
        </w:rPr>
        <w:t>На базата на резултатите от анализа на вътрешната консистентност и коригираните айтем-тотал корелации айтеми №</w:t>
      </w:r>
      <w:r w:rsidRPr="00A15AC5">
        <w:rPr>
          <w:rFonts w:cs="Times New Roman"/>
          <w:szCs w:val="28"/>
          <w:lang w:val="bg-BG"/>
        </w:rPr>
        <w:t xml:space="preserve"> </w:t>
      </w:r>
      <w:r w:rsidRPr="00A15AC5">
        <w:rPr>
          <w:rFonts w:cs="Times New Roman"/>
          <w:szCs w:val="28"/>
        </w:rPr>
        <w:t>15, 9 и 16 са отстранени от съответните компонентни показатели и не участват в последващите анализи.</w:t>
      </w:r>
      <w:r w:rsidRPr="00A15AC5">
        <w:rPr>
          <w:rFonts w:cs="Times New Roman"/>
          <w:szCs w:val="28"/>
          <w:lang w:val="bg-BG"/>
        </w:rPr>
        <w:t xml:space="preserve"> Финално у</w:t>
      </w:r>
      <w:r w:rsidR="009829C3" w:rsidRPr="00A15AC5">
        <w:rPr>
          <w:rFonts w:cs="Times New Roman"/>
          <w:szCs w:val="28"/>
        </w:rPr>
        <w:t>становените компоненти могат да бъдат интерпретирани по следния начин.</w:t>
      </w:r>
    </w:p>
    <w:p w:rsidR="000C1AB6" w:rsidRPr="000C1AB6" w:rsidRDefault="000C1AB6" w:rsidP="00A15AC5">
      <w:pPr>
        <w:spacing w:before="100" w:beforeAutospacing="1" w:after="100" w:afterAutospacing="1"/>
        <w:rPr>
          <w:rFonts w:cs="Times New Roman"/>
          <w:szCs w:val="28"/>
        </w:rPr>
      </w:pPr>
      <w:r w:rsidRPr="00A15AC5">
        <w:rPr>
          <w:rFonts w:cs="Times New Roman"/>
          <w:b/>
          <w:bCs/>
          <w:szCs w:val="28"/>
        </w:rPr>
        <w:t xml:space="preserve">Първи компонент </w:t>
      </w:r>
      <w:r w:rsidRPr="00A15AC5">
        <w:rPr>
          <w:rFonts w:cs="Times New Roman"/>
          <w:b/>
          <w:bCs/>
          <w:szCs w:val="28"/>
          <w:lang w:val="bg-BG"/>
        </w:rPr>
        <w:t>-</w:t>
      </w:r>
      <w:r w:rsidRPr="00A15AC5">
        <w:rPr>
          <w:rFonts w:cs="Times New Roman"/>
          <w:b/>
          <w:bCs/>
          <w:szCs w:val="28"/>
        </w:rPr>
        <w:t xml:space="preserve"> „Позитивно психологическо функциониране“.</w:t>
      </w:r>
      <w:r w:rsidRPr="000C1AB6">
        <w:rPr>
          <w:rFonts w:cs="Times New Roman"/>
          <w:szCs w:val="28"/>
        </w:rPr>
        <w:t xml:space="preserve"> Компонентът има собствена стойност 3.404 и обяснява 18.91% от общата дисперсия. Основното му съдържателно ядро включва айтеми №</w:t>
      </w:r>
      <w:r w:rsidRPr="00A15AC5">
        <w:rPr>
          <w:rFonts w:cs="Times New Roman"/>
          <w:szCs w:val="28"/>
          <w:lang w:val="bg-BG"/>
        </w:rPr>
        <w:t xml:space="preserve"> </w:t>
      </w:r>
      <w:r w:rsidRPr="000C1AB6">
        <w:rPr>
          <w:rFonts w:cs="Times New Roman"/>
          <w:szCs w:val="28"/>
        </w:rPr>
        <w:t>4, 6, 7, 8, 11, 13, 14 и 17, чиито компонентни натоварвания са между .562 и .725 по абсолютна стойност. Съдържателно компонентът обединява положителното отношение към себе си, автономното формиране на оценки, справянето с ежедневните изисквания, личната отговорност за собствения живот, личностното развитие и удовлетвореността от живота. В рамките на модела на К. Риф тези характеристики са разпределени между няколко различни измерения, но в настоящата извадка се обособяват като по-общо емпирично ядро. Айтем №</w:t>
      </w:r>
      <w:r w:rsidRPr="00A15AC5">
        <w:rPr>
          <w:rFonts w:cs="Times New Roman"/>
          <w:szCs w:val="28"/>
          <w:lang w:val="bg-BG"/>
        </w:rPr>
        <w:t xml:space="preserve"> </w:t>
      </w:r>
      <w:r w:rsidRPr="000C1AB6">
        <w:rPr>
          <w:rFonts w:cs="Times New Roman"/>
          <w:szCs w:val="28"/>
        </w:rPr>
        <w:t>15 не е включен в окончателния показател поради сравнително ниската му коригирана айтем-тотал корелация (r=.284) и повишаването на вътрешната консистентност при отстраняването му (α=.806).</w:t>
      </w:r>
    </w:p>
    <w:p w:rsidR="00F64C33" w:rsidRPr="00F64C33" w:rsidRDefault="00F64C33" w:rsidP="00A15AC5">
      <w:pPr>
        <w:spacing w:before="100" w:beforeAutospacing="1" w:after="100" w:afterAutospacing="1"/>
        <w:rPr>
          <w:rFonts w:cs="Times New Roman"/>
          <w:szCs w:val="28"/>
        </w:rPr>
      </w:pPr>
      <w:r w:rsidRPr="00A15AC5">
        <w:rPr>
          <w:rFonts w:cs="Times New Roman"/>
          <w:b/>
          <w:bCs/>
          <w:szCs w:val="28"/>
        </w:rPr>
        <w:t xml:space="preserve">Втори компонент </w:t>
      </w:r>
      <w:r w:rsidRPr="00A15AC5">
        <w:rPr>
          <w:rFonts w:cs="Times New Roman"/>
          <w:b/>
          <w:bCs/>
          <w:szCs w:val="28"/>
          <w:lang w:val="bg-BG"/>
        </w:rPr>
        <w:t>-</w:t>
      </w:r>
      <w:r w:rsidRPr="00A15AC5">
        <w:rPr>
          <w:rFonts w:cs="Times New Roman"/>
          <w:b/>
          <w:bCs/>
          <w:szCs w:val="28"/>
        </w:rPr>
        <w:t xml:space="preserve"> „Емоционална и социална неудовлетвореност“.</w:t>
      </w:r>
      <w:r w:rsidRPr="00F64C33">
        <w:rPr>
          <w:rFonts w:cs="Times New Roman"/>
          <w:szCs w:val="28"/>
        </w:rPr>
        <w:t xml:space="preserve"> Компонентът има собствена стойност 2.587 и обяснява 14.37% от общата дисперсия. В него се обособяват айтеми №</w:t>
      </w:r>
      <w:r w:rsidRPr="00A15AC5">
        <w:rPr>
          <w:rFonts w:cs="Times New Roman"/>
          <w:szCs w:val="28"/>
          <w:lang w:val="bg-BG"/>
        </w:rPr>
        <w:t xml:space="preserve"> </w:t>
      </w:r>
      <w:r w:rsidRPr="00F64C33">
        <w:rPr>
          <w:rFonts w:cs="Times New Roman"/>
          <w:szCs w:val="28"/>
        </w:rPr>
        <w:t>1, 2, 3 и 5 с компонентни натоварвания между .466 и .783 по абсолютна стойност. Съдържателно компонентът концентрира преживявания, свързани с трудности в ежедневното функциониране, неудовлетвореност от постигнатото и проблеми в междуличностната сфера. Наименованието е описателно и не представлява ново теоретично измерение в рамките на оригиналния модел на К. Риф. Айтем №</w:t>
      </w:r>
      <w:r w:rsidR="00097842" w:rsidRPr="00A15AC5">
        <w:rPr>
          <w:rFonts w:cs="Times New Roman"/>
          <w:szCs w:val="28"/>
          <w:lang w:val="bg-BG"/>
        </w:rPr>
        <w:t xml:space="preserve"> </w:t>
      </w:r>
      <w:r w:rsidRPr="00F64C33">
        <w:rPr>
          <w:rFonts w:cs="Times New Roman"/>
          <w:szCs w:val="28"/>
        </w:rPr>
        <w:t>9 не е включен в окончателния показател поради най-ниската коригирана айтем-тотал корелация в компонентното ядро (r=.255) и повишаването на вътрешната консистентност при отстраняването му (α=.697).</w:t>
      </w:r>
    </w:p>
    <w:p w:rsidR="002E75B8" w:rsidRPr="002E75B8" w:rsidRDefault="002E75B8" w:rsidP="00A15AC5">
      <w:pPr>
        <w:spacing w:before="100" w:beforeAutospacing="1" w:after="100" w:afterAutospacing="1"/>
        <w:rPr>
          <w:rFonts w:cs="Times New Roman"/>
          <w:szCs w:val="28"/>
        </w:rPr>
      </w:pPr>
      <w:r w:rsidRPr="00A15AC5">
        <w:rPr>
          <w:rFonts w:cs="Times New Roman"/>
          <w:b/>
          <w:bCs/>
          <w:szCs w:val="28"/>
        </w:rPr>
        <w:lastRenderedPageBreak/>
        <w:t>Трети компонент – „Цел в живота“.</w:t>
      </w:r>
      <w:r w:rsidRPr="002E75B8">
        <w:rPr>
          <w:rFonts w:cs="Times New Roman"/>
          <w:szCs w:val="28"/>
        </w:rPr>
        <w:t xml:space="preserve"> Компонентът има собствена стойност 2.028 и обяснява 11.26% от общата дисперсия. В него се обединяват айтеми №</w:t>
      </w:r>
      <w:r w:rsidRPr="00A15AC5">
        <w:rPr>
          <w:rFonts w:cs="Times New Roman"/>
          <w:szCs w:val="28"/>
          <w:lang w:val="bg-BG"/>
        </w:rPr>
        <w:t xml:space="preserve"> </w:t>
      </w:r>
      <w:r w:rsidRPr="002E75B8">
        <w:rPr>
          <w:rFonts w:cs="Times New Roman"/>
          <w:szCs w:val="28"/>
        </w:rPr>
        <w:t>10, 12 и 18 с компонентни натоварвания между .549 и .718 по абсолютна стойност. Съдържателно те са свързани с ориентацията към бъдещето, наличието на ясна житейска посока и усещането за целенасоченост. Айтем №</w:t>
      </w:r>
      <w:r w:rsidRPr="00A15AC5">
        <w:rPr>
          <w:rFonts w:cs="Times New Roman"/>
          <w:szCs w:val="28"/>
          <w:lang w:val="bg-BG"/>
        </w:rPr>
        <w:t xml:space="preserve"> </w:t>
      </w:r>
      <w:r w:rsidRPr="002E75B8">
        <w:rPr>
          <w:rFonts w:cs="Times New Roman"/>
          <w:szCs w:val="28"/>
        </w:rPr>
        <w:t>16 не е включен в окончателния показател поради ниската му коригирана айтем-тотал корелация (r=.208) и повишаването на вътрешната консистентност при отстраняването му (α=.616).</w:t>
      </w:r>
    </w:p>
    <w:p w:rsidR="004F3095" w:rsidRPr="00A15AC5" w:rsidRDefault="00ED0E24" w:rsidP="00A15AC5">
      <w:pPr>
        <w:spacing w:before="100" w:beforeAutospacing="1" w:after="100" w:afterAutospacing="1"/>
        <w:outlineLvl w:val="2"/>
        <w:rPr>
          <w:rFonts w:cs="Times New Roman"/>
          <w:szCs w:val="28"/>
        </w:rPr>
      </w:pPr>
      <w:r w:rsidRPr="00A15AC5">
        <w:rPr>
          <w:rFonts w:cs="Times New Roman"/>
          <w:szCs w:val="28"/>
        </w:rPr>
        <w:t>Получената структура е съпоставима в известна степен с данните за 18-айтемната шведска версия, при която също са установени психометрични затруднения, особено по отношение на измерението „Цел в живота“ [4].</w:t>
      </w:r>
      <w:r w:rsidRPr="00A15AC5">
        <w:rPr>
          <w:rFonts w:cs="Times New Roman"/>
          <w:szCs w:val="28"/>
          <w:lang w:val="bg-BG"/>
        </w:rPr>
        <w:t xml:space="preserve"> </w:t>
      </w:r>
      <w:r w:rsidR="00A75251" w:rsidRPr="00A15AC5">
        <w:rPr>
          <w:rFonts w:cs="Times New Roman"/>
          <w:szCs w:val="28"/>
          <w:lang w:val="bg-BG"/>
        </w:rPr>
        <w:t>Освен това т</w:t>
      </w:r>
      <w:r w:rsidR="004F3095" w:rsidRPr="00A15AC5">
        <w:rPr>
          <w:rFonts w:cs="Times New Roman"/>
          <w:szCs w:val="28"/>
        </w:rPr>
        <w:t>рите компонента представляват различно ниво на емпирично обобщаване спрямо теоретичната 6-дименсионна структура. Докато „Цел в живота“ запазва сравнително специфично съдържание, „Позитивно психологическо функциониране“ обединява характеристики, първоначално разпределени между няколко теоретични измерения. „Емоционална и социална неудовлетвореност“ отразява емпирично обединение на негативно формулирани преживявания и оценки, без да съответства еднозначно на отделно оригинално измерение.</w:t>
      </w:r>
    </w:p>
    <w:p w:rsidR="004F3095" w:rsidRPr="00A15AC5" w:rsidRDefault="00CC766C" w:rsidP="00A15AC5">
      <w:pPr>
        <w:spacing w:before="100" w:beforeAutospacing="1" w:after="100" w:afterAutospacing="1"/>
        <w:rPr>
          <w:rFonts w:cs="Times New Roman"/>
          <w:szCs w:val="28"/>
        </w:rPr>
      </w:pPr>
      <w:r w:rsidRPr="00A15AC5">
        <w:rPr>
          <w:rFonts w:cs="Times New Roman"/>
          <w:b/>
          <w:bCs/>
          <w:szCs w:val="28"/>
        </w:rPr>
        <w:t>Вътрешна консистентност на компонентите.</w:t>
      </w:r>
      <w:r w:rsidRPr="00CC766C">
        <w:rPr>
          <w:rFonts w:cs="Times New Roman"/>
          <w:szCs w:val="28"/>
        </w:rPr>
        <w:t xml:space="preserve"> За оценка на вътрешната консистентност на емпирично обособените компонентни ядра са изчислени коефициентът α на Кронбах и коригираните айтем-тотал корелации. При „Позитивно психологическо функциониране“ отстраняването на айтем №</w:t>
      </w:r>
      <w:r w:rsidRPr="00A15AC5">
        <w:rPr>
          <w:rFonts w:cs="Times New Roman"/>
          <w:szCs w:val="28"/>
          <w:lang w:val="bg-BG"/>
        </w:rPr>
        <w:t xml:space="preserve"> </w:t>
      </w:r>
      <w:r w:rsidRPr="00CC766C">
        <w:rPr>
          <w:rFonts w:cs="Times New Roman"/>
          <w:szCs w:val="28"/>
        </w:rPr>
        <w:t>15 повишава коефициента α от .800 на .806. Окончателното компонентно ядро включва осем айтема, като коригираните айтем-тотал корелации варират от r=.362 до r=.587.</w:t>
      </w:r>
      <w:r w:rsidR="0024585A" w:rsidRPr="00A15AC5">
        <w:rPr>
          <w:rFonts w:cs="Times New Roman"/>
          <w:szCs w:val="28"/>
          <w:lang w:val="bg-BG"/>
        </w:rPr>
        <w:t xml:space="preserve"> </w:t>
      </w:r>
      <w:r w:rsidRPr="00CC766C">
        <w:rPr>
          <w:rFonts w:cs="Times New Roman"/>
          <w:szCs w:val="28"/>
        </w:rPr>
        <w:t>При „Емоционална и социална неудовлетвореност“ отстраняването на айтем №</w:t>
      </w:r>
      <w:r w:rsidRPr="00A15AC5">
        <w:rPr>
          <w:rFonts w:cs="Times New Roman"/>
          <w:szCs w:val="28"/>
          <w:lang w:val="bg-BG"/>
        </w:rPr>
        <w:t xml:space="preserve"> </w:t>
      </w:r>
      <w:r w:rsidRPr="00CC766C">
        <w:rPr>
          <w:rFonts w:cs="Times New Roman"/>
          <w:szCs w:val="28"/>
        </w:rPr>
        <w:t>9 повишава коефициента α от .676 на .697. Окончателното компонентно ядро включва четири айтема, чиито коригирани айтем-тотал корелации варират от r=.342 до r=.558.</w:t>
      </w:r>
      <w:r w:rsidR="0024585A" w:rsidRPr="00A15AC5">
        <w:rPr>
          <w:rFonts w:cs="Times New Roman"/>
          <w:szCs w:val="28"/>
          <w:lang w:val="bg-BG"/>
        </w:rPr>
        <w:t xml:space="preserve"> </w:t>
      </w:r>
      <w:r w:rsidRPr="00CC766C">
        <w:rPr>
          <w:rFonts w:cs="Times New Roman"/>
          <w:szCs w:val="28"/>
        </w:rPr>
        <w:t>При „Цел в живота“ отстраняването на айтем №</w:t>
      </w:r>
      <w:r w:rsidRPr="00A15AC5">
        <w:rPr>
          <w:rFonts w:cs="Times New Roman"/>
          <w:szCs w:val="28"/>
          <w:lang w:val="bg-BG"/>
        </w:rPr>
        <w:t xml:space="preserve"> </w:t>
      </w:r>
      <w:r w:rsidRPr="00CC766C">
        <w:rPr>
          <w:rFonts w:cs="Times New Roman"/>
          <w:szCs w:val="28"/>
        </w:rPr>
        <w:t>16 повишава коефициента α от .569 на .616. Окончателното компонентно ядро включва три айтема, като коригираните айтем-тотал корелации варират от r=.371 до r=.425. Тази стойност на вътрешната консистентност остава относително ниска и налага предпазлива интерпретация на показателя</w:t>
      </w:r>
      <w:r w:rsidRPr="00A15AC5">
        <w:rPr>
          <w:rFonts w:cs="Times New Roman"/>
          <w:szCs w:val="28"/>
          <w:lang w:val="bg-BG"/>
        </w:rPr>
        <w:t xml:space="preserve"> </w:t>
      </w:r>
      <w:r w:rsidR="004F3095" w:rsidRPr="00A15AC5">
        <w:rPr>
          <w:rFonts w:cs="Times New Roman"/>
          <w:szCs w:val="28"/>
        </w:rPr>
        <w:t>(табл. 3).</w:t>
      </w:r>
    </w:p>
    <w:p w:rsidR="00A75251" w:rsidRPr="00A15AC5" w:rsidRDefault="00A75251" w:rsidP="00A15AC5">
      <w:pPr>
        <w:spacing w:before="100" w:beforeAutospacing="1" w:after="100" w:afterAutospacing="1"/>
        <w:jc w:val="left"/>
        <w:outlineLvl w:val="2"/>
        <w:rPr>
          <w:rFonts w:cs="Times New Roman"/>
          <w:szCs w:val="28"/>
        </w:rPr>
      </w:pPr>
    </w:p>
    <w:p w:rsidR="00A75251" w:rsidRPr="00A15AC5" w:rsidRDefault="00A75251" w:rsidP="00A15AC5">
      <w:pPr>
        <w:pStyle w:val="Heading3"/>
        <w:jc w:val="center"/>
        <w:rPr>
          <w:i/>
          <w:sz w:val="28"/>
          <w:szCs w:val="28"/>
        </w:rPr>
      </w:pPr>
      <w:r w:rsidRPr="00A15AC5">
        <w:rPr>
          <w:i/>
          <w:sz w:val="28"/>
          <w:szCs w:val="28"/>
        </w:rPr>
        <w:lastRenderedPageBreak/>
        <w:t xml:space="preserve">Таблица </w:t>
      </w:r>
      <w:r w:rsidRPr="00A15AC5">
        <w:rPr>
          <w:i/>
          <w:sz w:val="28"/>
          <w:szCs w:val="28"/>
          <w:lang w:val="bg-BG"/>
        </w:rPr>
        <w:t>3</w:t>
      </w:r>
      <w:r w:rsidRPr="00A15AC5">
        <w:rPr>
          <w:i/>
          <w:sz w:val="28"/>
          <w:szCs w:val="28"/>
        </w:rPr>
        <w:t>. Психометрични характеристики на емпирично обособените компоненти</w:t>
      </w:r>
    </w:p>
    <w:tbl>
      <w:tblPr>
        <w:tblStyle w:val="TableGrid"/>
        <w:tblW w:w="0" w:type="auto"/>
        <w:tblLook w:val="04A0" w:firstRow="1" w:lastRow="0" w:firstColumn="1" w:lastColumn="0" w:noHBand="0" w:noVBand="1"/>
      </w:tblPr>
      <w:tblGrid>
        <w:gridCol w:w="3539"/>
        <w:gridCol w:w="1134"/>
        <w:gridCol w:w="851"/>
        <w:gridCol w:w="3543"/>
      </w:tblGrid>
      <w:tr w:rsidR="00A75251" w:rsidRPr="00A15AC5" w:rsidTr="00C060D7">
        <w:tc>
          <w:tcPr>
            <w:tcW w:w="3539" w:type="dxa"/>
            <w:vAlign w:val="center"/>
          </w:tcPr>
          <w:p w:rsidR="00A75251" w:rsidRPr="00A15AC5" w:rsidRDefault="00A75251" w:rsidP="00A15AC5">
            <w:pPr>
              <w:jc w:val="center"/>
              <w:rPr>
                <w:rFonts w:cs="Times New Roman"/>
                <w:bCs/>
                <w:szCs w:val="28"/>
                <w:lang w:val="bg-BG"/>
              </w:rPr>
            </w:pPr>
            <w:r w:rsidRPr="00A15AC5">
              <w:rPr>
                <w:rFonts w:cs="Times New Roman"/>
                <w:bCs/>
                <w:szCs w:val="28"/>
              </w:rPr>
              <w:t>Компонент</w:t>
            </w:r>
            <w:r w:rsidRPr="00A15AC5">
              <w:rPr>
                <w:rFonts w:cs="Times New Roman"/>
                <w:bCs/>
                <w:szCs w:val="28"/>
                <w:lang w:val="bg-BG"/>
              </w:rPr>
              <w:t>и</w:t>
            </w:r>
          </w:p>
        </w:tc>
        <w:tc>
          <w:tcPr>
            <w:tcW w:w="1134" w:type="dxa"/>
            <w:vAlign w:val="center"/>
          </w:tcPr>
          <w:p w:rsidR="00A75251" w:rsidRPr="00A15AC5" w:rsidRDefault="00A75251" w:rsidP="00A15AC5">
            <w:pPr>
              <w:jc w:val="center"/>
              <w:rPr>
                <w:rFonts w:cs="Times New Roman"/>
                <w:bCs/>
                <w:szCs w:val="28"/>
              </w:rPr>
            </w:pPr>
            <w:r w:rsidRPr="00A15AC5">
              <w:rPr>
                <w:rFonts w:cs="Times New Roman"/>
                <w:bCs/>
                <w:szCs w:val="28"/>
              </w:rPr>
              <w:t>Бр</w:t>
            </w:r>
            <w:r w:rsidRPr="00A15AC5">
              <w:rPr>
                <w:rFonts w:cs="Times New Roman"/>
                <w:bCs/>
                <w:szCs w:val="28"/>
                <w:lang w:val="bg-BG"/>
              </w:rPr>
              <w:t>.</w:t>
            </w:r>
            <w:r w:rsidRPr="00A15AC5">
              <w:rPr>
                <w:rFonts w:cs="Times New Roman"/>
                <w:bCs/>
                <w:szCs w:val="28"/>
              </w:rPr>
              <w:t xml:space="preserve"> айтеми</w:t>
            </w:r>
          </w:p>
        </w:tc>
        <w:tc>
          <w:tcPr>
            <w:tcW w:w="851" w:type="dxa"/>
            <w:vAlign w:val="center"/>
          </w:tcPr>
          <w:p w:rsidR="00A75251" w:rsidRPr="00A15AC5" w:rsidRDefault="00A75251" w:rsidP="00A15AC5">
            <w:pPr>
              <w:jc w:val="center"/>
              <w:rPr>
                <w:rFonts w:cs="Times New Roman"/>
                <w:bCs/>
                <w:szCs w:val="28"/>
              </w:rPr>
            </w:pPr>
            <w:r w:rsidRPr="00A15AC5">
              <w:rPr>
                <w:rFonts w:cs="Times New Roman"/>
                <w:bCs/>
                <w:szCs w:val="28"/>
              </w:rPr>
              <w:t>α</w:t>
            </w:r>
          </w:p>
        </w:tc>
        <w:tc>
          <w:tcPr>
            <w:tcW w:w="3543" w:type="dxa"/>
            <w:vAlign w:val="center"/>
          </w:tcPr>
          <w:p w:rsidR="00A75251" w:rsidRPr="00A15AC5" w:rsidRDefault="00A75251" w:rsidP="00A15AC5">
            <w:pPr>
              <w:jc w:val="center"/>
              <w:rPr>
                <w:rFonts w:cs="Times New Roman"/>
                <w:bCs/>
                <w:szCs w:val="28"/>
              </w:rPr>
            </w:pPr>
            <w:r w:rsidRPr="00A15AC5">
              <w:rPr>
                <w:rFonts w:cs="Times New Roman"/>
                <w:bCs/>
                <w:szCs w:val="28"/>
              </w:rPr>
              <w:t>Диапазон на коригираните айтем-тотал корелации</w:t>
            </w:r>
          </w:p>
        </w:tc>
      </w:tr>
      <w:tr w:rsidR="00A75251" w:rsidRPr="00A15AC5" w:rsidTr="00C060D7">
        <w:tc>
          <w:tcPr>
            <w:tcW w:w="3539" w:type="dxa"/>
            <w:vAlign w:val="center"/>
          </w:tcPr>
          <w:p w:rsidR="00A75251" w:rsidRPr="00A15AC5" w:rsidRDefault="00A75251" w:rsidP="00A15AC5">
            <w:pPr>
              <w:jc w:val="left"/>
              <w:rPr>
                <w:rFonts w:cs="Times New Roman"/>
                <w:szCs w:val="28"/>
              </w:rPr>
            </w:pPr>
            <w:r w:rsidRPr="00A15AC5">
              <w:rPr>
                <w:rFonts w:cs="Times New Roman"/>
                <w:szCs w:val="28"/>
              </w:rPr>
              <w:t>Позитивно психологическо функциониране</w:t>
            </w:r>
          </w:p>
        </w:tc>
        <w:tc>
          <w:tcPr>
            <w:tcW w:w="1134" w:type="dxa"/>
            <w:vAlign w:val="center"/>
          </w:tcPr>
          <w:p w:rsidR="00A75251" w:rsidRPr="00A15AC5" w:rsidRDefault="00A75251" w:rsidP="00A15AC5">
            <w:pPr>
              <w:jc w:val="center"/>
              <w:rPr>
                <w:rFonts w:cs="Times New Roman"/>
                <w:szCs w:val="28"/>
              </w:rPr>
            </w:pPr>
            <w:r w:rsidRPr="00A15AC5">
              <w:rPr>
                <w:rFonts w:cs="Times New Roman"/>
                <w:szCs w:val="28"/>
              </w:rPr>
              <w:t>8</w:t>
            </w:r>
          </w:p>
        </w:tc>
        <w:tc>
          <w:tcPr>
            <w:tcW w:w="851" w:type="dxa"/>
            <w:vAlign w:val="center"/>
          </w:tcPr>
          <w:p w:rsidR="00A75251" w:rsidRPr="00A15AC5" w:rsidRDefault="00A75251" w:rsidP="00A15AC5">
            <w:pPr>
              <w:jc w:val="center"/>
              <w:rPr>
                <w:rFonts w:cs="Times New Roman"/>
                <w:szCs w:val="28"/>
                <w:lang w:val="bg-BG"/>
              </w:rPr>
            </w:pPr>
            <w:r w:rsidRPr="00A15AC5">
              <w:rPr>
                <w:rFonts w:cs="Times New Roman"/>
                <w:szCs w:val="28"/>
              </w:rPr>
              <w:t>.80</w:t>
            </w:r>
            <w:r w:rsidR="00580651" w:rsidRPr="00A15AC5">
              <w:rPr>
                <w:rFonts w:cs="Times New Roman"/>
                <w:szCs w:val="28"/>
                <w:lang w:val="bg-BG"/>
              </w:rPr>
              <w:t>6</w:t>
            </w:r>
          </w:p>
        </w:tc>
        <w:tc>
          <w:tcPr>
            <w:tcW w:w="3543" w:type="dxa"/>
            <w:vAlign w:val="center"/>
          </w:tcPr>
          <w:p w:rsidR="00A75251" w:rsidRPr="00A15AC5" w:rsidRDefault="00A75251" w:rsidP="00A15AC5">
            <w:pPr>
              <w:jc w:val="center"/>
              <w:rPr>
                <w:rFonts w:cs="Times New Roman"/>
                <w:szCs w:val="28"/>
              </w:rPr>
            </w:pPr>
            <w:r w:rsidRPr="00A15AC5">
              <w:rPr>
                <w:rFonts w:cs="Times New Roman"/>
                <w:szCs w:val="28"/>
              </w:rPr>
              <w:t>.362</w:t>
            </w:r>
            <w:r w:rsidRPr="00A15AC5">
              <w:rPr>
                <w:rFonts w:cs="Times New Roman"/>
                <w:szCs w:val="28"/>
                <w:lang w:val="bg-BG"/>
              </w:rPr>
              <w:t>-</w:t>
            </w:r>
            <w:r w:rsidRPr="00A15AC5">
              <w:rPr>
                <w:rFonts w:cs="Times New Roman"/>
                <w:szCs w:val="28"/>
              </w:rPr>
              <w:t>.587</w:t>
            </w:r>
          </w:p>
        </w:tc>
      </w:tr>
      <w:tr w:rsidR="00A75251" w:rsidRPr="00A15AC5" w:rsidTr="00C060D7">
        <w:tc>
          <w:tcPr>
            <w:tcW w:w="3539" w:type="dxa"/>
            <w:tcBorders>
              <w:bottom w:val="single" w:sz="4" w:space="0" w:color="auto"/>
            </w:tcBorders>
            <w:vAlign w:val="center"/>
          </w:tcPr>
          <w:p w:rsidR="00A75251" w:rsidRPr="00A15AC5" w:rsidRDefault="00A75251" w:rsidP="00A15AC5">
            <w:pPr>
              <w:jc w:val="left"/>
              <w:rPr>
                <w:rFonts w:cs="Times New Roman"/>
                <w:szCs w:val="28"/>
              </w:rPr>
            </w:pPr>
            <w:r w:rsidRPr="00A15AC5">
              <w:rPr>
                <w:rFonts w:cs="Times New Roman"/>
                <w:szCs w:val="28"/>
              </w:rPr>
              <w:t>Емоционална и социална неудовлетвореност</w:t>
            </w:r>
          </w:p>
        </w:tc>
        <w:tc>
          <w:tcPr>
            <w:tcW w:w="1134" w:type="dxa"/>
            <w:tcBorders>
              <w:bottom w:val="single" w:sz="4" w:space="0" w:color="auto"/>
            </w:tcBorders>
            <w:vAlign w:val="center"/>
          </w:tcPr>
          <w:p w:rsidR="00A75251" w:rsidRPr="00A15AC5" w:rsidRDefault="00580651" w:rsidP="00A15AC5">
            <w:pPr>
              <w:jc w:val="center"/>
              <w:rPr>
                <w:rFonts w:cs="Times New Roman"/>
                <w:szCs w:val="28"/>
                <w:lang w:val="bg-BG"/>
              </w:rPr>
            </w:pPr>
            <w:r w:rsidRPr="00A15AC5">
              <w:rPr>
                <w:rFonts w:cs="Times New Roman"/>
                <w:szCs w:val="28"/>
                <w:lang w:val="bg-BG"/>
              </w:rPr>
              <w:t>4</w:t>
            </w:r>
          </w:p>
        </w:tc>
        <w:tc>
          <w:tcPr>
            <w:tcW w:w="851" w:type="dxa"/>
            <w:tcBorders>
              <w:bottom w:val="single" w:sz="4" w:space="0" w:color="auto"/>
            </w:tcBorders>
            <w:vAlign w:val="center"/>
          </w:tcPr>
          <w:p w:rsidR="00A75251" w:rsidRPr="00A15AC5" w:rsidRDefault="00A75251" w:rsidP="00A15AC5">
            <w:pPr>
              <w:jc w:val="center"/>
              <w:rPr>
                <w:rFonts w:cs="Times New Roman"/>
                <w:szCs w:val="28"/>
                <w:lang w:val="bg-BG"/>
              </w:rPr>
            </w:pPr>
            <w:r w:rsidRPr="00A15AC5">
              <w:rPr>
                <w:rFonts w:cs="Times New Roman"/>
                <w:szCs w:val="28"/>
              </w:rPr>
              <w:t>.6</w:t>
            </w:r>
            <w:r w:rsidR="00580651" w:rsidRPr="00A15AC5">
              <w:rPr>
                <w:rFonts w:cs="Times New Roman"/>
                <w:szCs w:val="28"/>
                <w:lang w:val="bg-BG"/>
              </w:rPr>
              <w:t>97</w:t>
            </w:r>
          </w:p>
        </w:tc>
        <w:tc>
          <w:tcPr>
            <w:tcW w:w="3543" w:type="dxa"/>
            <w:tcBorders>
              <w:bottom w:val="single" w:sz="4" w:space="0" w:color="auto"/>
            </w:tcBorders>
            <w:vAlign w:val="center"/>
          </w:tcPr>
          <w:p w:rsidR="00A75251" w:rsidRPr="00A15AC5" w:rsidRDefault="00580651" w:rsidP="00A15AC5">
            <w:pPr>
              <w:jc w:val="center"/>
              <w:rPr>
                <w:rFonts w:cs="Times New Roman"/>
                <w:szCs w:val="28"/>
              </w:rPr>
            </w:pPr>
            <w:r w:rsidRPr="00580651">
              <w:rPr>
                <w:rFonts w:cs="Times New Roman"/>
                <w:szCs w:val="28"/>
              </w:rPr>
              <w:t>.342–.558</w:t>
            </w:r>
          </w:p>
        </w:tc>
      </w:tr>
      <w:tr w:rsidR="00A75251" w:rsidRPr="00A15AC5" w:rsidTr="00C060D7">
        <w:tc>
          <w:tcPr>
            <w:tcW w:w="3539" w:type="dxa"/>
            <w:vAlign w:val="center"/>
          </w:tcPr>
          <w:p w:rsidR="00A75251" w:rsidRPr="00A15AC5" w:rsidRDefault="00A75251" w:rsidP="00A15AC5">
            <w:pPr>
              <w:jc w:val="left"/>
              <w:rPr>
                <w:rFonts w:cs="Times New Roman"/>
                <w:szCs w:val="28"/>
                <w:lang w:val="bg-BG"/>
              </w:rPr>
            </w:pPr>
            <w:r w:rsidRPr="00A15AC5">
              <w:rPr>
                <w:rFonts w:cs="Times New Roman"/>
                <w:szCs w:val="28"/>
                <w:lang w:val="bg-BG"/>
              </w:rPr>
              <w:t>Цел в живота</w:t>
            </w:r>
          </w:p>
        </w:tc>
        <w:tc>
          <w:tcPr>
            <w:tcW w:w="1134" w:type="dxa"/>
            <w:vAlign w:val="center"/>
          </w:tcPr>
          <w:p w:rsidR="00A75251" w:rsidRPr="00A15AC5" w:rsidRDefault="00580651" w:rsidP="00A15AC5">
            <w:pPr>
              <w:jc w:val="center"/>
              <w:rPr>
                <w:rFonts w:cs="Times New Roman"/>
                <w:szCs w:val="28"/>
                <w:lang w:val="bg-BG"/>
              </w:rPr>
            </w:pPr>
            <w:r w:rsidRPr="00A15AC5">
              <w:rPr>
                <w:rFonts w:cs="Times New Roman"/>
                <w:szCs w:val="28"/>
                <w:lang w:val="bg-BG"/>
              </w:rPr>
              <w:t>3</w:t>
            </w:r>
          </w:p>
        </w:tc>
        <w:tc>
          <w:tcPr>
            <w:tcW w:w="851" w:type="dxa"/>
            <w:vAlign w:val="center"/>
          </w:tcPr>
          <w:p w:rsidR="00A75251" w:rsidRPr="00A15AC5" w:rsidRDefault="00A75251" w:rsidP="00A15AC5">
            <w:pPr>
              <w:jc w:val="center"/>
              <w:rPr>
                <w:rFonts w:cs="Times New Roman"/>
                <w:szCs w:val="28"/>
                <w:lang w:val="bg-BG"/>
              </w:rPr>
            </w:pPr>
            <w:r w:rsidRPr="00A15AC5">
              <w:rPr>
                <w:rFonts w:cs="Times New Roman"/>
                <w:szCs w:val="28"/>
              </w:rPr>
              <w:t>.</w:t>
            </w:r>
            <w:r w:rsidR="00580651" w:rsidRPr="00A15AC5">
              <w:rPr>
                <w:rFonts w:cs="Times New Roman"/>
                <w:szCs w:val="28"/>
                <w:lang w:val="bg-BG"/>
              </w:rPr>
              <w:t>616</w:t>
            </w:r>
          </w:p>
        </w:tc>
        <w:tc>
          <w:tcPr>
            <w:tcW w:w="3543" w:type="dxa"/>
            <w:vAlign w:val="center"/>
          </w:tcPr>
          <w:p w:rsidR="00A75251" w:rsidRPr="00A15AC5" w:rsidRDefault="00580651" w:rsidP="00A15AC5">
            <w:pPr>
              <w:jc w:val="center"/>
              <w:rPr>
                <w:rFonts w:cs="Times New Roman"/>
                <w:szCs w:val="28"/>
              </w:rPr>
            </w:pPr>
            <w:r w:rsidRPr="00580651">
              <w:rPr>
                <w:rFonts w:cs="Times New Roman"/>
                <w:szCs w:val="28"/>
              </w:rPr>
              <w:t>.371–.425</w:t>
            </w:r>
          </w:p>
        </w:tc>
      </w:tr>
    </w:tbl>
    <w:p w:rsidR="00A75251" w:rsidRPr="00A15AC5" w:rsidRDefault="00A75251" w:rsidP="00A15AC5">
      <w:pPr>
        <w:rPr>
          <w:rFonts w:cs="Times New Roman"/>
          <w:szCs w:val="28"/>
        </w:rPr>
      </w:pPr>
    </w:p>
    <w:p w:rsidR="004F3095" w:rsidRPr="00A15AC5" w:rsidRDefault="004F3095" w:rsidP="00A15AC5">
      <w:pPr>
        <w:spacing w:before="100" w:beforeAutospacing="1" w:after="100" w:afterAutospacing="1"/>
        <w:rPr>
          <w:rFonts w:cs="Times New Roman"/>
          <w:szCs w:val="28"/>
        </w:rPr>
      </w:pPr>
      <w:r w:rsidRPr="00A15AC5">
        <w:rPr>
          <w:rFonts w:cs="Times New Roman"/>
          <w:szCs w:val="28"/>
        </w:rPr>
        <w:t>Наличието на кръстосани натоварвания при част от айтемите показва известно припокриване между съдържателно близки аспекти на психологическото благополучие. При изчисляването на композитните показатели реверсивните айтеми следва да бъдат рекодирани съобразно посоката на показателя.</w:t>
      </w:r>
    </w:p>
    <w:p w:rsidR="00571026" w:rsidRPr="00A15AC5" w:rsidRDefault="004F3095" w:rsidP="00A15AC5">
      <w:pPr>
        <w:pStyle w:val="isselectedend"/>
        <w:jc w:val="both"/>
        <w:rPr>
          <w:b/>
          <w:bCs/>
          <w:sz w:val="28"/>
          <w:szCs w:val="28"/>
        </w:rPr>
      </w:pPr>
      <w:r w:rsidRPr="00A15AC5">
        <w:rPr>
          <w:b/>
          <w:bCs/>
          <w:sz w:val="28"/>
          <w:szCs w:val="28"/>
        </w:rPr>
        <w:t>ОБСЪЖДАНЕ</w:t>
      </w:r>
    </w:p>
    <w:p w:rsidR="00C133FC" w:rsidRPr="00A15AC5" w:rsidRDefault="002E4946" w:rsidP="00A15AC5">
      <w:pPr>
        <w:pStyle w:val="isselectedend"/>
        <w:jc w:val="both"/>
        <w:rPr>
          <w:sz w:val="28"/>
          <w:szCs w:val="28"/>
        </w:rPr>
      </w:pPr>
      <w:r w:rsidRPr="00A15AC5">
        <w:rPr>
          <w:sz w:val="28"/>
          <w:szCs w:val="28"/>
        </w:rPr>
        <w:t>Полученото 3-компонентно решение не възпроизвежда директно теоретичната 6-дименсионна организация на инструмента.</w:t>
      </w:r>
      <w:r w:rsidRPr="00A15AC5">
        <w:rPr>
          <w:sz w:val="28"/>
          <w:szCs w:val="28"/>
          <w:lang w:val="bg-BG"/>
        </w:rPr>
        <w:t xml:space="preserve"> </w:t>
      </w:r>
      <w:r w:rsidR="00C133FC" w:rsidRPr="00A15AC5">
        <w:rPr>
          <w:sz w:val="28"/>
          <w:szCs w:val="28"/>
        </w:rPr>
        <w:t>Това може да се свърже с ограничения брой айтеми в кратката версия, характеристиките на юношеската възраст и спецификата на конкретната извадка. При три айтема за всяко теоретично измерение възможностите за устойчиво разграничаване на шестте измерения са ограничени.</w:t>
      </w:r>
      <w:r w:rsidR="00C133FC" w:rsidRPr="00A15AC5">
        <w:rPr>
          <w:sz w:val="28"/>
          <w:szCs w:val="28"/>
          <w:lang w:val="bg-BG"/>
        </w:rPr>
        <w:t xml:space="preserve"> </w:t>
      </w:r>
      <w:r w:rsidR="00C133FC" w:rsidRPr="00A15AC5">
        <w:rPr>
          <w:sz w:val="28"/>
          <w:szCs w:val="28"/>
        </w:rPr>
        <w:t xml:space="preserve">„Позитивно психологическо функциониране“ обединява индикатори, които в оригиналния модел принадлежат към различни измерения </w:t>
      </w:r>
      <w:r w:rsidR="00C133FC" w:rsidRPr="00A15AC5">
        <w:rPr>
          <w:sz w:val="28"/>
          <w:szCs w:val="28"/>
          <w:lang w:val="bg-BG"/>
        </w:rPr>
        <w:t>като</w:t>
      </w:r>
      <w:r w:rsidR="00C133FC" w:rsidRPr="00A15AC5">
        <w:rPr>
          <w:sz w:val="28"/>
          <w:szCs w:val="28"/>
        </w:rPr>
        <w:t xml:space="preserve"> автономност, управление на средата, личностно развитие и самоприемане. В настоящата извадка тези характеристики се обособяват като по-общо емпирично ядро. „Цел в живота“ запазва по-специфично съдържание, свързано с ориентацията към бъдещето и житейската посока, докато „Емоционална и социална неудовлетвореност“ обединява негативно формулирани преживявания, свързани с ежедневното функциониране, междуличностните отношения и оценката на постигнатото. Последният компонент следва да се разглежда като емпирично съдържателно ядро, а не като самостоятелно теоретично измерение.</w:t>
      </w:r>
    </w:p>
    <w:p w:rsidR="00677992" w:rsidRPr="00A15AC5" w:rsidRDefault="00C133FC" w:rsidP="00A15AC5">
      <w:pPr>
        <w:pStyle w:val="isselectedend"/>
        <w:jc w:val="both"/>
        <w:rPr>
          <w:sz w:val="28"/>
          <w:szCs w:val="28"/>
        </w:rPr>
      </w:pPr>
      <w:r w:rsidRPr="00A15AC5">
        <w:rPr>
          <w:sz w:val="28"/>
          <w:szCs w:val="28"/>
        </w:rPr>
        <w:t xml:space="preserve">Получените резултати са в съзвучие с установените в други изследвания трудности при възпроизвеждането на оригиналната 6-факторна структура на </w:t>
      </w:r>
      <w:r w:rsidRPr="00A15AC5">
        <w:rPr>
          <w:sz w:val="28"/>
          <w:szCs w:val="28"/>
        </w:rPr>
        <w:lastRenderedPageBreak/>
        <w:t xml:space="preserve">18-айтемната версия. При шведската версия също са установени психометрични затруднения, включително по отношение на измерението „Цел в живота“ </w:t>
      </w:r>
      <w:r w:rsidRPr="00A15AC5">
        <w:rPr>
          <w:rStyle w:val="text-token-text-primary"/>
          <w:sz w:val="28"/>
          <w:szCs w:val="28"/>
        </w:rPr>
        <w:t>[5]</w:t>
      </w:r>
      <w:r w:rsidRPr="00A15AC5">
        <w:rPr>
          <w:sz w:val="28"/>
          <w:szCs w:val="28"/>
        </w:rPr>
        <w:t>. Това подкрепя предположението, че структурата на кратката версия може да бъде чувствителна към характеристиките на извадката и конкретната адаптация.</w:t>
      </w:r>
      <w:r w:rsidR="008855B9" w:rsidRPr="00A15AC5">
        <w:rPr>
          <w:sz w:val="28"/>
          <w:szCs w:val="28"/>
          <w:lang w:val="bg-BG"/>
        </w:rPr>
        <w:t xml:space="preserve"> </w:t>
      </w:r>
      <w:r w:rsidR="008855B9" w:rsidRPr="008855B9">
        <w:rPr>
          <w:sz w:val="28"/>
          <w:szCs w:val="28"/>
        </w:rPr>
        <w:t>Общата вътрешна консистентност на „Скала за психологическо благополучие“ е добра (α=.806), но надеждността на отделните емпирично обособени компоненти</w:t>
      </w:r>
      <w:r w:rsidR="008855B9" w:rsidRPr="00A15AC5">
        <w:rPr>
          <w:sz w:val="28"/>
          <w:szCs w:val="28"/>
          <w:lang w:val="bg-BG"/>
        </w:rPr>
        <w:t xml:space="preserve"> не</w:t>
      </w:r>
      <w:r w:rsidR="008855B9" w:rsidRPr="008855B9">
        <w:rPr>
          <w:sz w:val="28"/>
          <w:szCs w:val="28"/>
        </w:rPr>
        <w:t xml:space="preserve"> е еднаква. След отстраняване на айтеми №</w:t>
      </w:r>
      <w:r w:rsidR="008855B9" w:rsidRPr="00A15AC5">
        <w:rPr>
          <w:sz w:val="28"/>
          <w:szCs w:val="28"/>
          <w:lang w:val="bg-BG"/>
        </w:rPr>
        <w:t xml:space="preserve"> </w:t>
      </w:r>
      <w:r w:rsidR="008855B9" w:rsidRPr="008855B9">
        <w:rPr>
          <w:sz w:val="28"/>
          <w:szCs w:val="28"/>
        </w:rPr>
        <w:t>15, 9 и 16 коефициентите α на Кронбах съответно са</w:t>
      </w:r>
      <w:r w:rsidR="008855B9" w:rsidRPr="00A15AC5">
        <w:rPr>
          <w:sz w:val="28"/>
          <w:szCs w:val="28"/>
          <w:lang w:val="bg-BG"/>
        </w:rPr>
        <w:t>:</w:t>
      </w:r>
      <w:r w:rsidR="008855B9" w:rsidRPr="008855B9">
        <w:rPr>
          <w:sz w:val="28"/>
          <w:szCs w:val="28"/>
        </w:rPr>
        <w:t xml:space="preserve"> .806 за „Позитивно психологическо функциониране“, .697 за „Емоционална и социална неудовлетвореност“ и .616 за „Цел в живота“. Особено предпазливо следва да се интерпретира последният показател поради ниската вътрешна консистентност и малкия брой айтеми.</w:t>
      </w:r>
    </w:p>
    <w:p w:rsidR="00C133FC" w:rsidRPr="00A15AC5" w:rsidRDefault="00C133FC" w:rsidP="00A15AC5">
      <w:pPr>
        <w:pStyle w:val="isselectedend"/>
        <w:jc w:val="both"/>
        <w:rPr>
          <w:sz w:val="28"/>
          <w:szCs w:val="28"/>
        </w:rPr>
      </w:pPr>
      <w:r w:rsidRPr="00A15AC5">
        <w:rPr>
          <w:sz w:val="28"/>
          <w:szCs w:val="28"/>
        </w:rPr>
        <w:t>Полученото 3-компонентно решение не следва да се разглежда като потвърждение на нова или официално ревизирана факторна структура на инструмента. Използваният анализ на главните компоненти описва емпиричната организация на данните, но не установява латентната структура на конструкта. Допълнително ограничение представлява промяната от 6-степенна на 5-степенна скала на Ликърт, която е направена като адаптация в настоящото изследване. Поради това резултатите не могат автоматично да се генерализират към оригиналната 6-степенна версия.</w:t>
      </w:r>
    </w:p>
    <w:p w:rsidR="00C133FC" w:rsidRPr="00A15AC5" w:rsidRDefault="009B3DC3" w:rsidP="00A15AC5">
      <w:pPr>
        <w:pStyle w:val="NormalWeb"/>
        <w:ind w:firstLine="0"/>
        <w:rPr>
          <w:sz w:val="28"/>
          <w:szCs w:val="28"/>
        </w:rPr>
      </w:pPr>
      <w:r w:rsidRPr="00A15AC5">
        <w:rPr>
          <w:b/>
          <w:sz w:val="28"/>
          <w:szCs w:val="28"/>
          <w:lang w:val="bg-BG"/>
        </w:rPr>
        <w:t>О</w:t>
      </w:r>
      <w:r w:rsidRPr="00A15AC5">
        <w:rPr>
          <w:b/>
          <w:sz w:val="28"/>
          <w:szCs w:val="28"/>
        </w:rPr>
        <w:t>ГРАНИЧЕНИЯ НА ИЗСЛЕДВАНЕТО</w:t>
      </w:r>
      <w:r w:rsidRPr="00A15AC5">
        <w:rPr>
          <w:b/>
          <w:sz w:val="28"/>
          <w:szCs w:val="28"/>
          <w:lang w:val="bg-BG"/>
        </w:rPr>
        <w:t>.</w:t>
      </w:r>
      <w:r w:rsidRPr="00A15AC5">
        <w:rPr>
          <w:sz w:val="28"/>
          <w:szCs w:val="28"/>
        </w:rPr>
        <w:t xml:space="preserve"> </w:t>
      </w:r>
      <w:r w:rsidR="00C133FC" w:rsidRPr="00A15AC5">
        <w:rPr>
          <w:sz w:val="28"/>
          <w:szCs w:val="28"/>
        </w:rPr>
        <w:t>В бъдещи изследвания структурата на инструмента следва да бъде проверена чрез методи за извличане на общи фактори и ротация, допускаща взаимовръзка между измеренията, както и чрез конфирматорен факторен анализ върху независими извадки. Получените компоненти могат да се използват като емпирични показатели в рамките на настоящото изследване, но не следва да се представят като официални нови подскали на оригиналния инструмент.</w:t>
      </w:r>
    </w:p>
    <w:p w:rsidR="00CD416D" w:rsidRPr="00A15AC5" w:rsidRDefault="00CD416D" w:rsidP="00A15AC5">
      <w:pPr>
        <w:spacing w:before="100" w:beforeAutospacing="1" w:after="100" w:afterAutospacing="1"/>
        <w:outlineLvl w:val="1"/>
        <w:rPr>
          <w:rFonts w:cs="Times New Roman"/>
          <w:szCs w:val="28"/>
        </w:rPr>
      </w:pPr>
    </w:p>
    <w:p w:rsidR="004F3095" w:rsidRPr="00A15AC5" w:rsidRDefault="004F3095" w:rsidP="00A15AC5">
      <w:pPr>
        <w:spacing w:before="100" w:beforeAutospacing="1" w:after="100" w:afterAutospacing="1"/>
        <w:outlineLvl w:val="1"/>
        <w:rPr>
          <w:rFonts w:cs="Times New Roman"/>
          <w:szCs w:val="28"/>
        </w:rPr>
      </w:pPr>
      <w:r w:rsidRPr="00A15AC5">
        <w:rPr>
          <w:rFonts w:cs="Times New Roman"/>
          <w:b/>
          <w:bCs/>
          <w:szCs w:val="28"/>
        </w:rPr>
        <w:t>ФИНАНСИРАНЕ</w:t>
      </w:r>
      <w:r w:rsidR="0018002B" w:rsidRPr="00A15AC5">
        <w:rPr>
          <w:rFonts w:cs="Times New Roman"/>
          <w:b/>
          <w:bCs/>
          <w:szCs w:val="28"/>
          <w:lang w:val="bg-BG"/>
        </w:rPr>
        <w:t xml:space="preserve">. </w:t>
      </w:r>
      <w:r w:rsidRPr="00A15AC5">
        <w:rPr>
          <w:rFonts w:cs="Times New Roman"/>
          <w:szCs w:val="28"/>
        </w:rPr>
        <w:t>Настоящото изследване е реализирано по проект №80-10-2/27.03.2026 г. на тема: „Семейната подкрепа и дигиталните навици на юношите като предиктори на академичната мотивация и психичното благополучие“ с научен ръководител проф. дпсн Й. Янкулова. Проектът е финансиран по линия на ФНИ на ФФ на СУ „Св. Кл. Охридски“.</w:t>
      </w:r>
    </w:p>
    <w:p w:rsidR="000F3CC1" w:rsidRPr="00A15AC5" w:rsidRDefault="000F3CC1" w:rsidP="00A15AC5">
      <w:pPr>
        <w:spacing w:before="100" w:beforeAutospacing="1" w:after="100" w:afterAutospacing="1"/>
        <w:outlineLvl w:val="1"/>
        <w:rPr>
          <w:rFonts w:cs="Times New Roman"/>
          <w:szCs w:val="28"/>
        </w:rPr>
      </w:pPr>
    </w:p>
    <w:p w:rsidR="004F3095" w:rsidRPr="00A15AC5" w:rsidRDefault="004F3095" w:rsidP="00A15AC5">
      <w:pPr>
        <w:spacing w:before="100" w:beforeAutospacing="1" w:after="100" w:afterAutospacing="1"/>
        <w:outlineLvl w:val="1"/>
        <w:rPr>
          <w:rFonts w:cs="Times New Roman"/>
          <w:b/>
          <w:bCs/>
          <w:szCs w:val="28"/>
        </w:rPr>
      </w:pPr>
      <w:r w:rsidRPr="00A15AC5">
        <w:rPr>
          <w:rFonts w:cs="Times New Roman"/>
          <w:b/>
          <w:bCs/>
          <w:szCs w:val="28"/>
        </w:rPr>
        <w:t>БЕЛЕЖКИ</w:t>
      </w:r>
    </w:p>
    <w:p w:rsidR="000F3CC1" w:rsidRPr="00A15AC5" w:rsidRDefault="000F3CC1" w:rsidP="00A15AC5">
      <w:pPr>
        <w:spacing w:before="100" w:beforeAutospacing="1" w:after="100" w:afterAutospacing="1"/>
        <w:rPr>
          <w:rFonts w:cs="Times New Roman"/>
          <w:szCs w:val="28"/>
        </w:rPr>
      </w:pPr>
      <w:r w:rsidRPr="00A15AC5">
        <w:rPr>
          <w:rFonts w:cs="Times New Roman"/>
          <w:szCs w:val="28"/>
        </w:rPr>
        <w:lastRenderedPageBreak/>
        <w:t>[1] Ryff, C. D. (1989). Happiness is everything, or is it? Explorations on the meaning of psychological well-being. Journal of Personality and Social Psychology, vol. 57 (1989), no. 6, pp. 1069–1081. DOI: 10.1037/0022-3514.57.6.1069.</w:t>
      </w:r>
    </w:p>
    <w:p w:rsidR="000F3CC1" w:rsidRPr="00A15AC5" w:rsidRDefault="000F3CC1" w:rsidP="00A15AC5">
      <w:pPr>
        <w:spacing w:before="100" w:beforeAutospacing="1" w:after="100" w:afterAutospacing="1"/>
        <w:rPr>
          <w:rFonts w:cs="Times New Roman"/>
          <w:szCs w:val="28"/>
        </w:rPr>
      </w:pPr>
      <w:r w:rsidRPr="00A15AC5">
        <w:rPr>
          <w:rFonts w:cs="Times New Roman"/>
          <w:szCs w:val="28"/>
        </w:rPr>
        <w:t xml:space="preserve">[2] Вж. </w:t>
      </w:r>
      <w:r w:rsidR="00FD224E" w:rsidRPr="00A15AC5">
        <w:rPr>
          <w:rFonts w:cs="Times New Roman"/>
          <w:szCs w:val="28"/>
        </w:rPr>
        <w:t>Ryff</w:t>
      </w:r>
      <w:r w:rsidR="00A15AC5" w:rsidRPr="00A15AC5">
        <w:rPr>
          <w:rFonts w:cs="Times New Roman"/>
          <w:szCs w:val="28"/>
          <w:lang w:val="bg-BG"/>
        </w:rPr>
        <w:t>, бел. 1</w:t>
      </w:r>
    </w:p>
    <w:p w:rsidR="000F3CC1" w:rsidRPr="00A15AC5" w:rsidRDefault="000F3CC1" w:rsidP="00A15AC5">
      <w:pPr>
        <w:spacing w:before="100" w:beforeAutospacing="1" w:after="100" w:afterAutospacing="1"/>
        <w:rPr>
          <w:rFonts w:cs="Times New Roman"/>
          <w:szCs w:val="28"/>
        </w:rPr>
      </w:pPr>
      <w:r w:rsidRPr="00A15AC5">
        <w:rPr>
          <w:rFonts w:cs="Times New Roman"/>
          <w:szCs w:val="28"/>
        </w:rPr>
        <w:t xml:space="preserve">[3] </w:t>
      </w:r>
      <w:r w:rsidR="008E79BA" w:rsidRPr="00A15AC5">
        <w:rPr>
          <w:rFonts w:cs="Times New Roman"/>
          <w:szCs w:val="28"/>
        </w:rPr>
        <w:t>Garcia, D., Kazemitabar, M. &amp; Habibi Asgarabad, M. H.</w:t>
      </w:r>
      <w:r w:rsidR="008E79BA" w:rsidRPr="00A15AC5">
        <w:rPr>
          <w:rFonts w:cs="Times New Roman"/>
          <w:szCs w:val="28"/>
          <w:lang w:val="bg-BG"/>
        </w:rPr>
        <w:t xml:space="preserve"> </w:t>
      </w:r>
      <w:r w:rsidRPr="00A15AC5">
        <w:rPr>
          <w:rFonts w:cs="Times New Roman"/>
          <w:szCs w:val="28"/>
        </w:rPr>
        <w:t>(2023). The 18-item Swedish version of Ryff’s psychological wellbeing scale: Psychometric properties based on classical test theory and item response theory. Frontiers in Psychology, vol. 14 (2023), 1208300. DOI: 10.3389/fpsyg.2023.1208300.</w:t>
      </w:r>
    </w:p>
    <w:p w:rsidR="000F3CC1" w:rsidRPr="00A15AC5" w:rsidRDefault="000F3CC1" w:rsidP="00A15AC5">
      <w:pPr>
        <w:spacing w:before="100" w:beforeAutospacing="1" w:after="100" w:afterAutospacing="1"/>
        <w:rPr>
          <w:rFonts w:cs="Times New Roman"/>
          <w:szCs w:val="28"/>
        </w:rPr>
      </w:pPr>
      <w:r w:rsidRPr="00A15AC5">
        <w:rPr>
          <w:rFonts w:cs="Times New Roman"/>
          <w:szCs w:val="28"/>
        </w:rPr>
        <w:t xml:space="preserve">[4] </w:t>
      </w:r>
      <w:r w:rsidR="00FD224E" w:rsidRPr="00A15AC5">
        <w:rPr>
          <w:rFonts w:cs="Times New Roman"/>
          <w:szCs w:val="28"/>
        </w:rPr>
        <w:t>Вж. Garcia</w:t>
      </w:r>
      <w:r w:rsidR="00FD224E" w:rsidRPr="00A15AC5">
        <w:rPr>
          <w:rFonts w:cs="Times New Roman"/>
          <w:szCs w:val="28"/>
          <w:lang w:val="bg-BG"/>
        </w:rPr>
        <w:t xml:space="preserve"> </w:t>
      </w:r>
      <w:r w:rsidR="00FD224E" w:rsidRPr="00A15AC5">
        <w:rPr>
          <w:rFonts w:cs="Times New Roman"/>
          <w:szCs w:val="28"/>
        </w:rPr>
        <w:t>et al.</w:t>
      </w:r>
      <w:r w:rsidR="00A15AC5" w:rsidRPr="00A15AC5">
        <w:rPr>
          <w:rFonts w:cs="Times New Roman"/>
          <w:szCs w:val="28"/>
          <w:lang w:val="bg-BG"/>
        </w:rPr>
        <w:t>, бел. 3</w:t>
      </w:r>
    </w:p>
    <w:p w:rsidR="000F3CC1" w:rsidRPr="00A15AC5" w:rsidRDefault="000F3CC1" w:rsidP="00A15AC5">
      <w:pPr>
        <w:spacing w:before="100" w:beforeAutospacing="1" w:after="100" w:afterAutospacing="1"/>
        <w:rPr>
          <w:rFonts w:cs="Times New Roman"/>
          <w:szCs w:val="28"/>
        </w:rPr>
      </w:pPr>
      <w:r w:rsidRPr="00A15AC5">
        <w:rPr>
          <w:rFonts w:cs="Times New Roman"/>
          <w:szCs w:val="28"/>
        </w:rPr>
        <w:t xml:space="preserve">[5] Вж. </w:t>
      </w:r>
      <w:r w:rsidR="00FD224E" w:rsidRPr="00A15AC5">
        <w:rPr>
          <w:rFonts w:cs="Times New Roman"/>
          <w:szCs w:val="28"/>
        </w:rPr>
        <w:t>Garcia</w:t>
      </w:r>
      <w:r w:rsidR="00FD224E" w:rsidRPr="00A15AC5">
        <w:rPr>
          <w:rFonts w:cs="Times New Roman"/>
          <w:szCs w:val="28"/>
          <w:lang w:val="bg-BG"/>
        </w:rPr>
        <w:t xml:space="preserve"> </w:t>
      </w:r>
      <w:r w:rsidR="00FD224E" w:rsidRPr="00A15AC5">
        <w:rPr>
          <w:rFonts w:cs="Times New Roman"/>
          <w:szCs w:val="28"/>
        </w:rPr>
        <w:t>et al.</w:t>
      </w:r>
      <w:r w:rsidR="00A15AC5" w:rsidRPr="00A15AC5">
        <w:rPr>
          <w:rFonts w:cs="Times New Roman"/>
          <w:szCs w:val="28"/>
          <w:lang w:val="bg-BG"/>
        </w:rPr>
        <w:t>, бел. 3</w:t>
      </w:r>
    </w:p>
    <w:p w:rsidR="00C0620F" w:rsidRPr="00A15AC5" w:rsidRDefault="00C0620F" w:rsidP="00A15AC5">
      <w:pPr>
        <w:spacing w:after="0"/>
        <w:rPr>
          <w:rFonts w:cs="Times New Roman"/>
          <w:szCs w:val="28"/>
        </w:rPr>
      </w:pPr>
    </w:p>
    <w:p w:rsidR="0055526A" w:rsidRPr="00A15AC5" w:rsidRDefault="0055526A" w:rsidP="00A15AC5">
      <w:pPr>
        <w:spacing w:before="80" w:after="40"/>
        <w:jc w:val="left"/>
        <w:rPr>
          <w:rFonts w:cs="Times New Roman"/>
          <w:szCs w:val="28"/>
        </w:rPr>
      </w:pPr>
      <w:r w:rsidRPr="00A15AC5">
        <w:rPr>
          <w:rFonts w:cs="Times New Roman"/>
          <w:b/>
          <w:szCs w:val="28"/>
        </w:rPr>
        <w:t>ИЗПОЛЗВАНИ ИЗТОЧНИЦИ</w:t>
      </w:r>
    </w:p>
    <w:p w:rsidR="000F3CC1" w:rsidRPr="00A15AC5" w:rsidRDefault="000F3CC1" w:rsidP="00A15AC5">
      <w:pPr>
        <w:pStyle w:val="ListParagraph"/>
        <w:numPr>
          <w:ilvl w:val="0"/>
          <w:numId w:val="4"/>
        </w:numPr>
        <w:spacing w:after="0"/>
        <w:rPr>
          <w:rFonts w:cs="Times New Roman"/>
          <w:szCs w:val="28"/>
        </w:rPr>
      </w:pPr>
      <w:r w:rsidRPr="00A15AC5">
        <w:rPr>
          <w:rFonts w:cs="Times New Roman"/>
          <w:szCs w:val="28"/>
        </w:rPr>
        <w:t xml:space="preserve">Garcia, D., Kazemitabar, M. &amp; </w:t>
      </w:r>
      <w:r w:rsidR="00D7639C" w:rsidRPr="00A15AC5">
        <w:rPr>
          <w:rFonts w:cs="Times New Roman"/>
          <w:szCs w:val="28"/>
        </w:rPr>
        <w:t>Habibi Asgarabad, M. H.</w:t>
      </w:r>
      <w:r w:rsidR="00D7639C" w:rsidRPr="00A15AC5">
        <w:rPr>
          <w:rFonts w:cs="Times New Roman"/>
          <w:szCs w:val="28"/>
          <w:lang w:val="bg-BG"/>
        </w:rPr>
        <w:t xml:space="preserve"> </w:t>
      </w:r>
      <w:r w:rsidRPr="00A15AC5">
        <w:rPr>
          <w:rFonts w:cs="Times New Roman"/>
          <w:szCs w:val="28"/>
        </w:rPr>
        <w:t xml:space="preserve">(2023). The 18-item Swedish version of Ryff’s psychological wellbeing scale: Psychometric properties based on classical test theory and item response theory. </w:t>
      </w:r>
      <w:r w:rsidRPr="00A15AC5">
        <w:rPr>
          <w:rFonts w:cs="Times New Roman"/>
          <w:i/>
          <w:iCs/>
          <w:szCs w:val="28"/>
        </w:rPr>
        <w:t>Frontiers in Psychology, 14</w:t>
      </w:r>
      <w:r w:rsidRPr="00A15AC5">
        <w:rPr>
          <w:rFonts w:cs="Times New Roman"/>
          <w:szCs w:val="28"/>
        </w:rPr>
        <w:t>, 1208300. doi:10.3389/fpsyg.2023.1208300.</w:t>
      </w:r>
    </w:p>
    <w:p w:rsidR="0055526A" w:rsidRPr="00A15AC5" w:rsidRDefault="0055526A" w:rsidP="00A15AC5">
      <w:pPr>
        <w:pStyle w:val="ListParagraph"/>
        <w:numPr>
          <w:ilvl w:val="0"/>
          <w:numId w:val="4"/>
        </w:numPr>
        <w:spacing w:after="0"/>
        <w:rPr>
          <w:rFonts w:cs="Times New Roman"/>
          <w:szCs w:val="28"/>
        </w:rPr>
      </w:pPr>
      <w:r w:rsidRPr="00A15AC5">
        <w:rPr>
          <w:rFonts w:cs="Times New Roman"/>
          <w:szCs w:val="28"/>
        </w:rPr>
        <w:t xml:space="preserve">Ryff, C. D. Happiness is everything, or is it? Explorations on the meaning of psychological well-being. </w:t>
      </w:r>
      <w:r w:rsidRPr="00A15AC5">
        <w:rPr>
          <w:rFonts w:cs="Times New Roman"/>
          <w:i/>
          <w:szCs w:val="28"/>
        </w:rPr>
        <w:t>Journal of Personality and Social Psychology</w:t>
      </w:r>
      <w:r w:rsidRPr="00A15AC5">
        <w:rPr>
          <w:rFonts w:cs="Times New Roman"/>
          <w:szCs w:val="28"/>
        </w:rPr>
        <w:t>, vol. 57 (1989), no. 6, pp. 1069–1081.</w:t>
      </w:r>
    </w:p>
    <w:p w:rsidR="0039066A" w:rsidRDefault="0039066A" w:rsidP="00755DD3">
      <w:pPr>
        <w:rPr>
          <w:rFonts w:cs="Times New Roman"/>
          <w:szCs w:val="28"/>
        </w:rPr>
      </w:pPr>
    </w:p>
    <w:p w:rsidR="00B60F18" w:rsidRDefault="00B60F18" w:rsidP="00B60F18">
      <w:pPr>
        <w:rPr>
          <w:rFonts w:cs="Times New Roman"/>
          <w:szCs w:val="28"/>
        </w:rPr>
      </w:pPr>
    </w:p>
    <w:p w:rsidR="00B60F18" w:rsidRPr="00A50E8B" w:rsidRDefault="00B60F18" w:rsidP="00B60F18">
      <w:pPr>
        <w:jc w:val="right"/>
        <w:rPr>
          <w:rFonts w:cs="Times New Roman"/>
          <w:i/>
          <w:iCs/>
          <w:sz w:val="24"/>
          <w:lang w:val="bg-BG"/>
        </w:rPr>
      </w:pPr>
      <w:r w:rsidRPr="008E62B4">
        <w:rPr>
          <w:rFonts w:cs="Times New Roman"/>
          <w:i/>
          <w:iCs/>
          <w:sz w:val="24"/>
        </w:rPr>
        <w:t>Трите имена на автора</w:t>
      </w:r>
      <w:r>
        <w:rPr>
          <w:rFonts w:cs="Times New Roman"/>
          <w:i/>
          <w:iCs/>
          <w:sz w:val="24"/>
          <w:lang w:val="bg-BG"/>
        </w:rPr>
        <w:t>: Йоана Димитрова Янкулова</w:t>
      </w:r>
    </w:p>
    <w:p w:rsidR="00B60F18" w:rsidRPr="00A50E8B" w:rsidRDefault="00B60F18" w:rsidP="00B60F18">
      <w:pPr>
        <w:jc w:val="right"/>
        <w:rPr>
          <w:rFonts w:cs="Times New Roman"/>
          <w:i/>
          <w:iCs/>
          <w:sz w:val="24"/>
          <w:lang w:val="bg-BG"/>
        </w:rPr>
      </w:pPr>
      <w:r w:rsidRPr="008E62B4">
        <w:rPr>
          <w:rFonts w:cs="Times New Roman"/>
          <w:i/>
          <w:iCs/>
          <w:sz w:val="24"/>
        </w:rPr>
        <w:t>Институцията, в която работи</w:t>
      </w:r>
      <w:r>
        <w:rPr>
          <w:rFonts w:cs="Times New Roman"/>
          <w:i/>
          <w:iCs/>
          <w:sz w:val="24"/>
          <w:lang w:val="bg-BG"/>
        </w:rPr>
        <w:t>: СУ „Св. Кл. Охридски“</w:t>
      </w:r>
    </w:p>
    <w:p w:rsidR="00B60F18" w:rsidRPr="00B60F18" w:rsidRDefault="00B60F18" w:rsidP="00B60F18">
      <w:pPr>
        <w:jc w:val="right"/>
        <w:rPr>
          <w:rFonts w:eastAsiaTheme="majorEastAsia" w:cs="Times New Roman"/>
          <w:sz w:val="32"/>
          <w:szCs w:val="32"/>
          <w:lang w:val="bg-BG"/>
        </w:rPr>
      </w:pPr>
      <w:r w:rsidRPr="008E62B4">
        <w:rPr>
          <w:rFonts w:cs="Times New Roman"/>
          <w:i/>
          <w:iCs/>
          <w:sz w:val="24"/>
        </w:rPr>
        <w:t>Адрес за кореспонденция, телефон и e-mail</w:t>
      </w:r>
      <w:r>
        <w:rPr>
          <w:rFonts w:cs="Times New Roman"/>
          <w:i/>
          <w:iCs/>
          <w:sz w:val="24"/>
          <w:lang w:val="bg-BG"/>
        </w:rPr>
        <w:t xml:space="preserve">: </w:t>
      </w:r>
      <w:hyperlink r:id="rId7" w:history="1">
        <w:r w:rsidRPr="007C7CB3">
          <w:rPr>
            <w:rStyle w:val="Hyperlink"/>
            <w:rFonts w:cs="Times New Roman"/>
            <w:i/>
            <w:iCs/>
            <w:sz w:val="24"/>
            <w:lang w:val="bg-BG"/>
          </w:rPr>
          <w:t>jankulova@phls.uni-sofia.bg</w:t>
        </w:r>
      </w:hyperlink>
    </w:p>
    <w:sectPr w:rsidR="00B60F18" w:rsidRPr="00B60F18">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4341" w:rsidRDefault="00474341" w:rsidP="0055526A">
      <w:pPr>
        <w:spacing w:after="0"/>
      </w:pPr>
      <w:r>
        <w:separator/>
      </w:r>
    </w:p>
  </w:endnote>
  <w:endnote w:type="continuationSeparator" w:id="0">
    <w:p w:rsidR="00474341" w:rsidRDefault="00474341" w:rsidP="0055526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Helvetica Neue">
    <w:altName w:val="Arial"/>
    <w:charset w:val="00"/>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4341" w:rsidRDefault="00474341" w:rsidP="0055526A">
      <w:pPr>
        <w:spacing w:after="0"/>
      </w:pPr>
      <w:r>
        <w:separator/>
      </w:r>
    </w:p>
  </w:footnote>
  <w:footnote w:type="continuationSeparator" w:id="0">
    <w:p w:rsidR="00474341" w:rsidRDefault="00474341" w:rsidP="0055526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D40FFA"/>
    <w:multiLevelType w:val="hybridMultilevel"/>
    <w:tmpl w:val="157816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8F0474"/>
    <w:multiLevelType w:val="hybridMultilevel"/>
    <w:tmpl w:val="17D82636"/>
    <w:lvl w:ilvl="0" w:tplc="38FEE86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C40C76"/>
    <w:multiLevelType w:val="hybridMultilevel"/>
    <w:tmpl w:val="8AFC6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5E10B1C"/>
    <w:multiLevelType w:val="multilevel"/>
    <w:tmpl w:val="D258F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26A"/>
    <w:rsid w:val="000345E7"/>
    <w:rsid w:val="00071AF5"/>
    <w:rsid w:val="00097842"/>
    <w:rsid w:val="000B3A01"/>
    <w:rsid w:val="000C1AB6"/>
    <w:rsid w:val="000E7F22"/>
    <w:rsid w:val="000F3CC1"/>
    <w:rsid w:val="00106D17"/>
    <w:rsid w:val="0018002B"/>
    <w:rsid w:val="0018056C"/>
    <w:rsid w:val="00180CC0"/>
    <w:rsid w:val="001D2BC1"/>
    <w:rsid w:val="0024585A"/>
    <w:rsid w:val="002E4946"/>
    <w:rsid w:val="002E75B8"/>
    <w:rsid w:val="0039066A"/>
    <w:rsid w:val="004731F9"/>
    <w:rsid w:val="00474341"/>
    <w:rsid w:val="004B7ECB"/>
    <w:rsid w:val="004F3095"/>
    <w:rsid w:val="0055526A"/>
    <w:rsid w:val="00571026"/>
    <w:rsid w:val="00580651"/>
    <w:rsid w:val="005D7C23"/>
    <w:rsid w:val="005E4051"/>
    <w:rsid w:val="00606E4E"/>
    <w:rsid w:val="00611C14"/>
    <w:rsid w:val="00651A20"/>
    <w:rsid w:val="00677992"/>
    <w:rsid w:val="006A0A2A"/>
    <w:rsid w:val="006F448E"/>
    <w:rsid w:val="00706529"/>
    <w:rsid w:val="00717BB8"/>
    <w:rsid w:val="00755DD3"/>
    <w:rsid w:val="00760DC3"/>
    <w:rsid w:val="007D790E"/>
    <w:rsid w:val="007E1C63"/>
    <w:rsid w:val="00852271"/>
    <w:rsid w:val="008855B9"/>
    <w:rsid w:val="008C1692"/>
    <w:rsid w:val="008E79BA"/>
    <w:rsid w:val="008F2FC9"/>
    <w:rsid w:val="00954EE8"/>
    <w:rsid w:val="009829C3"/>
    <w:rsid w:val="00983259"/>
    <w:rsid w:val="009B3DC3"/>
    <w:rsid w:val="00A15AC5"/>
    <w:rsid w:val="00A259AD"/>
    <w:rsid w:val="00A560C1"/>
    <w:rsid w:val="00A7263C"/>
    <w:rsid w:val="00A75251"/>
    <w:rsid w:val="00AA4A8F"/>
    <w:rsid w:val="00B50EBB"/>
    <w:rsid w:val="00B60F18"/>
    <w:rsid w:val="00C00DBA"/>
    <w:rsid w:val="00C060D7"/>
    <w:rsid w:val="00C0620F"/>
    <w:rsid w:val="00C13095"/>
    <w:rsid w:val="00C133FC"/>
    <w:rsid w:val="00C246AE"/>
    <w:rsid w:val="00CC766C"/>
    <w:rsid w:val="00CD416D"/>
    <w:rsid w:val="00CF0E54"/>
    <w:rsid w:val="00D00AE6"/>
    <w:rsid w:val="00D44318"/>
    <w:rsid w:val="00D7639C"/>
    <w:rsid w:val="00E1322E"/>
    <w:rsid w:val="00E24A3F"/>
    <w:rsid w:val="00E6002D"/>
    <w:rsid w:val="00ED0E24"/>
    <w:rsid w:val="00ED4509"/>
    <w:rsid w:val="00EF70DE"/>
    <w:rsid w:val="00F22237"/>
    <w:rsid w:val="00F64C33"/>
    <w:rsid w:val="00FD224E"/>
    <w:rsid w:val="00FE1C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4DFF3B-BC81-482F-BD9E-9DB2DD570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5526A"/>
    <w:pPr>
      <w:spacing w:after="200" w:line="240" w:lineRule="auto"/>
      <w:jc w:val="both"/>
    </w:pPr>
    <w:rPr>
      <w:rFonts w:ascii="Times New Roman" w:eastAsia="Times New Roman" w:hAnsi="Times New Roman"/>
      <w:sz w:val="28"/>
    </w:rPr>
  </w:style>
  <w:style w:type="paragraph" w:styleId="Heading1">
    <w:name w:val="heading 1"/>
    <w:basedOn w:val="Normal"/>
    <w:link w:val="Heading1Char"/>
    <w:uiPriority w:val="9"/>
    <w:qFormat/>
    <w:rsid w:val="004F3095"/>
    <w:pPr>
      <w:spacing w:before="100" w:beforeAutospacing="1" w:after="100" w:afterAutospacing="1"/>
      <w:jc w:val="left"/>
      <w:outlineLvl w:val="0"/>
    </w:pPr>
    <w:rPr>
      <w:rFonts w:cs="Times New Roman"/>
      <w:b/>
      <w:bCs/>
      <w:kern w:val="36"/>
      <w:sz w:val="48"/>
      <w:szCs w:val="48"/>
    </w:rPr>
  </w:style>
  <w:style w:type="paragraph" w:styleId="Heading2">
    <w:name w:val="heading 2"/>
    <w:basedOn w:val="Normal"/>
    <w:link w:val="Heading2Char"/>
    <w:uiPriority w:val="9"/>
    <w:qFormat/>
    <w:rsid w:val="004F3095"/>
    <w:pPr>
      <w:spacing w:before="100" w:beforeAutospacing="1" w:after="100" w:afterAutospacing="1"/>
      <w:jc w:val="left"/>
      <w:outlineLvl w:val="1"/>
    </w:pPr>
    <w:rPr>
      <w:rFonts w:cs="Times New Roman"/>
      <w:b/>
      <w:bCs/>
      <w:sz w:val="36"/>
      <w:szCs w:val="36"/>
    </w:rPr>
  </w:style>
  <w:style w:type="paragraph" w:styleId="Heading3">
    <w:name w:val="heading 3"/>
    <w:basedOn w:val="Normal"/>
    <w:link w:val="Heading3Char"/>
    <w:uiPriority w:val="9"/>
    <w:qFormat/>
    <w:rsid w:val="004F3095"/>
    <w:pPr>
      <w:spacing w:before="100" w:beforeAutospacing="1" w:after="100" w:afterAutospacing="1"/>
      <w:jc w:val="left"/>
      <w:outlineLvl w:val="2"/>
    </w:pPr>
    <w:rPr>
      <w:rFonts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526A"/>
    <w:pPr>
      <w:ind w:left="720"/>
      <w:contextualSpacing/>
    </w:pPr>
  </w:style>
  <w:style w:type="character" w:styleId="Strong">
    <w:name w:val="Strong"/>
    <w:basedOn w:val="DefaultParagraphFont"/>
    <w:uiPriority w:val="22"/>
    <w:qFormat/>
    <w:rsid w:val="0055526A"/>
    <w:rPr>
      <w:b/>
      <w:bCs/>
    </w:rPr>
  </w:style>
  <w:style w:type="table" w:styleId="TableGrid">
    <w:name w:val="Table Grid"/>
    <w:basedOn w:val="TableNormal"/>
    <w:uiPriority w:val="59"/>
    <w:rsid w:val="0055526A"/>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5526A"/>
    <w:pPr>
      <w:spacing w:before="100" w:beforeAutospacing="1" w:after="100" w:afterAutospacing="1"/>
      <w:ind w:firstLine="397"/>
    </w:pPr>
    <w:rPr>
      <w:rFonts w:cs="Times New Roman"/>
      <w:sz w:val="24"/>
      <w:szCs w:val="24"/>
    </w:rPr>
  </w:style>
  <w:style w:type="character" w:styleId="FootnoteReference">
    <w:name w:val="footnote reference"/>
    <w:basedOn w:val="DefaultParagraphFont"/>
    <w:uiPriority w:val="99"/>
    <w:semiHidden/>
    <w:unhideWhenUsed/>
    <w:rsid w:val="0055526A"/>
    <w:rPr>
      <w:vertAlign w:val="superscript"/>
    </w:rPr>
  </w:style>
  <w:style w:type="paragraph" w:customStyle="1" w:styleId="Default">
    <w:name w:val="Default"/>
    <w:rsid w:val="0055526A"/>
    <w:pPr>
      <w:pBdr>
        <w:top w:val="nil"/>
        <w:left w:val="nil"/>
        <w:bottom w:val="nil"/>
        <w:right w:val="nil"/>
        <w:between w:val="nil"/>
        <w:bar w:val="nil"/>
      </w:pBdr>
      <w:spacing w:before="160" w:after="0" w:line="288" w:lineRule="auto"/>
    </w:pPr>
    <w:rPr>
      <w:rFonts w:ascii="Helvetica Neue" w:eastAsia="Helvetica Neue" w:hAnsi="Helvetica Neue" w:cs="Helvetica Neue"/>
      <w:color w:val="000000"/>
      <w:sz w:val="24"/>
      <w:szCs w:val="24"/>
      <w:bdr w:val="nil"/>
      <w14:textOutline w14:w="0" w14:cap="flat" w14:cmpd="sng" w14:algn="ctr">
        <w14:noFill/>
        <w14:prstDash w14:val="solid"/>
        <w14:bevel/>
      </w14:textOutline>
    </w:rPr>
  </w:style>
  <w:style w:type="paragraph" w:customStyle="1" w:styleId="TableStyle2">
    <w:name w:val="Table Style 2"/>
    <w:rsid w:val="0055526A"/>
    <w:pPr>
      <w:pBdr>
        <w:top w:val="nil"/>
        <w:left w:val="nil"/>
        <w:bottom w:val="nil"/>
        <w:right w:val="nil"/>
        <w:between w:val="nil"/>
        <w:bar w:val="nil"/>
      </w:pBdr>
      <w:spacing w:after="0" w:line="240" w:lineRule="auto"/>
    </w:pPr>
    <w:rPr>
      <w:rFonts w:ascii="Helvetica Neue" w:eastAsia="Helvetica Neue" w:hAnsi="Helvetica Neue" w:cs="Helvetica Neue"/>
      <w:color w:val="000000"/>
      <w:sz w:val="20"/>
      <w:szCs w:val="20"/>
      <w:bdr w:val="nil"/>
      <w14:textOutline w14:w="0" w14:cap="flat" w14:cmpd="sng" w14:algn="ctr">
        <w14:noFill/>
        <w14:prstDash w14:val="solid"/>
        <w14:bevel/>
      </w14:textOutline>
    </w:rPr>
  </w:style>
  <w:style w:type="character" w:customStyle="1" w:styleId="Heading1Char">
    <w:name w:val="Heading 1 Char"/>
    <w:basedOn w:val="DefaultParagraphFont"/>
    <w:link w:val="Heading1"/>
    <w:uiPriority w:val="9"/>
    <w:rsid w:val="004F309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F309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F3095"/>
    <w:rPr>
      <w:rFonts w:ascii="Times New Roman" w:eastAsia="Times New Roman" w:hAnsi="Times New Roman" w:cs="Times New Roman"/>
      <w:b/>
      <w:bCs/>
      <w:sz w:val="27"/>
      <w:szCs w:val="27"/>
    </w:rPr>
  </w:style>
  <w:style w:type="paragraph" w:customStyle="1" w:styleId="isselectedend">
    <w:name w:val="isselectedend"/>
    <w:basedOn w:val="Normal"/>
    <w:rsid w:val="000F3CC1"/>
    <w:pPr>
      <w:spacing w:before="100" w:beforeAutospacing="1" w:after="100" w:afterAutospacing="1"/>
      <w:jc w:val="left"/>
    </w:pPr>
    <w:rPr>
      <w:rFonts w:cs="Times New Roman"/>
      <w:sz w:val="24"/>
      <w:szCs w:val="24"/>
    </w:rPr>
  </w:style>
  <w:style w:type="character" w:customStyle="1" w:styleId="text-token-text-primary">
    <w:name w:val="text-token-text-primary"/>
    <w:basedOn w:val="DefaultParagraphFont"/>
    <w:rsid w:val="000F3CC1"/>
  </w:style>
  <w:style w:type="paragraph" w:styleId="HTMLPreformatted">
    <w:name w:val="HTML Preformatted"/>
    <w:basedOn w:val="Normal"/>
    <w:link w:val="HTMLPreformattedChar"/>
    <w:uiPriority w:val="99"/>
    <w:semiHidden/>
    <w:unhideWhenUsed/>
    <w:rsid w:val="00106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106D17"/>
    <w:rPr>
      <w:rFonts w:ascii="Courier New" w:eastAsia="Times New Roman" w:hAnsi="Courier New" w:cs="Courier New"/>
      <w:sz w:val="20"/>
      <w:szCs w:val="20"/>
    </w:rPr>
  </w:style>
  <w:style w:type="character" w:customStyle="1" w:styleId="y2iqfc">
    <w:name w:val="y2iqfc"/>
    <w:basedOn w:val="DefaultParagraphFont"/>
    <w:rsid w:val="00106D17"/>
  </w:style>
  <w:style w:type="character" w:styleId="Emphasis">
    <w:name w:val="Emphasis"/>
    <w:basedOn w:val="DefaultParagraphFont"/>
    <w:uiPriority w:val="20"/>
    <w:qFormat/>
    <w:rsid w:val="00D44318"/>
    <w:rPr>
      <w:i/>
      <w:iCs/>
    </w:rPr>
  </w:style>
  <w:style w:type="character" w:styleId="Hyperlink">
    <w:name w:val="Hyperlink"/>
    <w:basedOn w:val="DefaultParagraphFont"/>
    <w:uiPriority w:val="99"/>
    <w:unhideWhenUsed/>
    <w:rsid w:val="00B60F1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079835">
      <w:bodyDiv w:val="1"/>
      <w:marLeft w:val="0"/>
      <w:marRight w:val="0"/>
      <w:marTop w:val="0"/>
      <w:marBottom w:val="0"/>
      <w:divBdr>
        <w:top w:val="none" w:sz="0" w:space="0" w:color="auto"/>
        <w:left w:val="none" w:sz="0" w:space="0" w:color="auto"/>
        <w:bottom w:val="none" w:sz="0" w:space="0" w:color="auto"/>
        <w:right w:val="none" w:sz="0" w:space="0" w:color="auto"/>
      </w:divBdr>
    </w:div>
    <w:div w:id="259489499">
      <w:bodyDiv w:val="1"/>
      <w:marLeft w:val="0"/>
      <w:marRight w:val="0"/>
      <w:marTop w:val="0"/>
      <w:marBottom w:val="0"/>
      <w:divBdr>
        <w:top w:val="none" w:sz="0" w:space="0" w:color="auto"/>
        <w:left w:val="none" w:sz="0" w:space="0" w:color="auto"/>
        <w:bottom w:val="none" w:sz="0" w:space="0" w:color="auto"/>
        <w:right w:val="none" w:sz="0" w:space="0" w:color="auto"/>
      </w:divBdr>
    </w:div>
    <w:div w:id="284701485">
      <w:bodyDiv w:val="1"/>
      <w:marLeft w:val="0"/>
      <w:marRight w:val="0"/>
      <w:marTop w:val="0"/>
      <w:marBottom w:val="0"/>
      <w:divBdr>
        <w:top w:val="none" w:sz="0" w:space="0" w:color="auto"/>
        <w:left w:val="none" w:sz="0" w:space="0" w:color="auto"/>
        <w:bottom w:val="none" w:sz="0" w:space="0" w:color="auto"/>
        <w:right w:val="none" w:sz="0" w:space="0" w:color="auto"/>
      </w:divBdr>
    </w:div>
    <w:div w:id="312683083">
      <w:bodyDiv w:val="1"/>
      <w:marLeft w:val="0"/>
      <w:marRight w:val="0"/>
      <w:marTop w:val="0"/>
      <w:marBottom w:val="0"/>
      <w:divBdr>
        <w:top w:val="none" w:sz="0" w:space="0" w:color="auto"/>
        <w:left w:val="none" w:sz="0" w:space="0" w:color="auto"/>
        <w:bottom w:val="none" w:sz="0" w:space="0" w:color="auto"/>
        <w:right w:val="none" w:sz="0" w:space="0" w:color="auto"/>
      </w:divBdr>
    </w:div>
    <w:div w:id="559633244">
      <w:bodyDiv w:val="1"/>
      <w:marLeft w:val="0"/>
      <w:marRight w:val="0"/>
      <w:marTop w:val="0"/>
      <w:marBottom w:val="0"/>
      <w:divBdr>
        <w:top w:val="none" w:sz="0" w:space="0" w:color="auto"/>
        <w:left w:val="none" w:sz="0" w:space="0" w:color="auto"/>
        <w:bottom w:val="none" w:sz="0" w:space="0" w:color="auto"/>
        <w:right w:val="none" w:sz="0" w:space="0" w:color="auto"/>
      </w:divBdr>
    </w:div>
    <w:div w:id="633490844">
      <w:bodyDiv w:val="1"/>
      <w:marLeft w:val="0"/>
      <w:marRight w:val="0"/>
      <w:marTop w:val="0"/>
      <w:marBottom w:val="0"/>
      <w:divBdr>
        <w:top w:val="none" w:sz="0" w:space="0" w:color="auto"/>
        <w:left w:val="none" w:sz="0" w:space="0" w:color="auto"/>
        <w:bottom w:val="none" w:sz="0" w:space="0" w:color="auto"/>
        <w:right w:val="none" w:sz="0" w:space="0" w:color="auto"/>
      </w:divBdr>
    </w:div>
    <w:div w:id="726302401">
      <w:bodyDiv w:val="1"/>
      <w:marLeft w:val="0"/>
      <w:marRight w:val="0"/>
      <w:marTop w:val="0"/>
      <w:marBottom w:val="0"/>
      <w:divBdr>
        <w:top w:val="none" w:sz="0" w:space="0" w:color="auto"/>
        <w:left w:val="none" w:sz="0" w:space="0" w:color="auto"/>
        <w:bottom w:val="none" w:sz="0" w:space="0" w:color="auto"/>
        <w:right w:val="none" w:sz="0" w:space="0" w:color="auto"/>
      </w:divBdr>
    </w:div>
    <w:div w:id="1011907328">
      <w:bodyDiv w:val="1"/>
      <w:marLeft w:val="0"/>
      <w:marRight w:val="0"/>
      <w:marTop w:val="0"/>
      <w:marBottom w:val="0"/>
      <w:divBdr>
        <w:top w:val="none" w:sz="0" w:space="0" w:color="auto"/>
        <w:left w:val="none" w:sz="0" w:space="0" w:color="auto"/>
        <w:bottom w:val="none" w:sz="0" w:space="0" w:color="auto"/>
        <w:right w:val="none" w:sz="0" w:space="0" w:color="auto"/>
      </w:divBdr>
    </w:div>
    <w:div w:id="1057389950">
      <w:bodyDiv w:val="1"/>
      <w:marLeft w:val="0"/>
      <w:marRight w:val="0"/>
      <w:marTop w:val="0"/>
      <w:marBottom w:val="0"/>
      <w:divBdr>
        <w:top w:val="none" w:sz="0" w:space="0" w:color="auto"/>
        <w:left w:val="none" w:sz="0" w:space="0" w:color="auto"/>
        <w:bottom w:val="none" w:sz="0" w:space="0" w:color="auto"/>
        <w:right w:val="none" w:sz="0" w:space="0" w:color="auto"/>
      </w:divBdr>
    </w:div>
    <w:div w:id="1148202992">
      <w:bodyDiv w:val="1"/>
      <w:marLeft w:val="0"/>
      <w:marRight w:val="0"/>
      <w:marTop w:val="0"/>
      <w:marBottom w:val="0"/>
      <w:divBdr>
        <w:top w:val="none" w:sz="0" w:space="0" w:color="auto"/>
        <w:left w:val="none" w:sz="0" w:space="0" w:color="auto"/>
        <w:bottom w:val="none" w:sz="0" w:space="0" w:color="auto"/>
        <w:right w:val="none" w:sz="0" w:space="0" w:color="auto"/>
      </w:divBdr>
    </w:div>
    <w:div w:id="1244535577">
      <w:bodyDiv w:val="1"/>
      <w:marLeft w:val="0"/>
      <w:marRight w:val="0"/>
      <w:marTop w:val="0"/>
      <w:marBottom w:val="0"/>
      <w:divBdr>
        <w:top w:val="none" w:sz="0" w:space="0" w:color="auto"/>
        <w:left w:val="none" w:sz="0" w:space="0" w:color="auto"/>
        <w:bottom w:val="none" w:sz="0" w:space="0" w:color="auto"/>
        <w:right w:val="none" w:sz="0" w:space="0" w:color="auto"/>
      </w:divBdr>
    </w:div>
    <w:div w:id="1266114100">
      <w:bodyDiv w:val="1"/>
      <w:marLeft w:val="0"/>
      <w:marRight w:val="0"/>
      <w:marTop w:val="0"/>
      <w:marBottom w:val="0"/>
      <w:divBdr>
        <w:top w:val="none" w:sz="0" w:space="0" w:color="auto"/>
        <w:left w:val="none" w:sz="0" w:space="0" w:color="auto"/>
        <w:bottom w:val="none" w:sz="0" w:space="0" w:color="auto"/>
        <w:right w:val="none" w:sz="0" w:space="0" w:color="auto"/>
      </w:divBdr>
    </w:div>
    <w:div w:id="1320767071">
      <w:bodyDiv w:val="1"/>
      <w:marLeft w:val="0"/>
      <w:marRight w:val="0"/>
      <w:marTop w:val="0"/>
      <w:marBottom w:val="0"/>
      <w:divBdr>
        <w:top w:val="none" w:sz="0" w:space="0" w:color="auto"/>
        <w:left w:val="none" w:sz="0" w:space="0" w:color="auto"/>
        <w:bottom w:val="none" w:sz="0" w:space="0" w:color="auto"/>
        <w:right w:val="none" w:sz="0" w:space="0" w:color="auto"/>
      </w:divBdr>
    </w:div>
    <w:div w:id="1406730288">
      <w:bodyDiv w:val="1"/>
      <w:marLeft w:val="0"/>
      <w:marRight w:val="0"/>
      <w:marTop w:val="0"/>
      <w:marBottom w:val="0"/>
      <w:divBdr>
        <w:top w:val="none" w:sz="0" w:space="0" w:color="auto"/>
        <w:left w:val="none" w:sz="0" w:space="0" w:color="auto"/>
        <w:bottom w:val="none" w:sz="0" w:space="0" w:color="auto"/>
        <w:right w:val="none" w:sz="0" w:space="0" w:color="auto"/>
      </w:divBdr>
    </w:div>
    <w:div w:id="1497066792">
      <w:bodyDiv w:val="1"/>
      <w:marLeft w:val="0"/>
      <w:marRight w:val="0"/>
      <w:marTop w:val="0"/>
      <w:marBottom w:val="0"/>
      <w:divBdr>
        <w:top w:val="none" w:sz="0" w:space="0" w:color="auto"/>
        <w:left w:val="none" w:sz="0" w:space="0" w:color="auto"/>
        <w:bottom w:val="none" w:sz="0" w:space="0" w:color="auto"/>
        <w:right w:val="none" w:sz="0" w:space="0" w:color="auto"/>
      </w:divBdr>
    </w:div>
    <w:div w:id="1562330961">
      <w:bodyDiv w:val="1"/>
      <w:marLeft w:val="0"/>
      <w:marRight w:val="0"/>
      <w:marTop w:val="0"/>
      <w:marBottom w:val="0"/>
      <w:divBdr>
        <w:top w:val="none" w:sz="0" w:space="0" w:color="auto"/>
        <w:left w:val="none" w:sz="0" w:space="0" w:color="auto"/>
        <w:bottom w:val="none" w:sz="0" w:space="0" w:color="auto"/>
        <w:right w:val="none" w:sz="0" w:space="0" w:color="auto"/>
      </w:divBdr>
    </w:div>
    <w:div w:id="1697074990">
      <w:bodyDiv w:val="1"/>
      <w:marLeft w:val="0"/>
      <w:marRight w:val="0"/>
      <w:marTop w:val="0"/>
      <w:marBottom w:val="0"/>
      <w:divBdr>
        <w:top w:val="none" w:sz="0" w:space="0" w:color="auto"/>
        <w:left w:val="none" w:sz="0" w:space="0" w:color="auto"/>
        <w:bottom w:val="none" w:sz="0" w:space="0" w:color="auto"/>
        <w:right w:val="none" w:sz="0" w:space="0" w:color="auto"/>
      </w:divBdr>
    </w:div>
    <w:div w:id="1769815929">
      <w:bodyDiv w:val="1"/>
      <w:marLeft w:val="0"/>
      <w:marRight w:val="0"/>
      <w:marTop w:val="0"/>
      <w:marBottom w:val="0"/>
      <w:divBdr>
        <w:top w:val="none" w:sz="0" w:space="0" w:color="auto"/>
        <w:left w:val="none" w:sz="0" w:space="0" w:color="auto"/>
        <w:bottom w:val="none" w:sz="0" w:space="0" w:color="auto"/>
        <w:right w:val="none" w:sz="0" w:space="0" w:color="auto"/>
      </w:divBdr>
    </w:div>
    <w:div w:id="1848128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ankulova@phls.uni-sofia.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2693</Words>
  <Characters>15354</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2026-09-12T12:30:00Z</dcterms:created>
  <dcterms:modified xsi:type="dcterms:W3CDTF">2026-09-12T12:30:00Z</dcterms:modified>
</cp:coreProperties>
</file>