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71F" w:rsidRPr="00FA171F" w:rsidRDefault="00FA171F" w:rsidP="00DE157F">
      <w:pPr>
        <w:spacing w:after="0"/>
        <w:jc w:val="center"/>
        <w:rPr>
          <w:b/>
          <w:sz w:val="32"/>
          <w:szCs w:val="32"/>
        </w:rPr>
      </w:pPr>
      <w:bookmarkStart w:id="0" w:name="_GoBack"/>
      <w:bookmarkEnd w:id="0"/>
      <w:r w:rsidRPr="00FA171F">
        <w:rPr>
          <w:b/>
          <w:sz w:val="32"/>
          <w:szCs w:val="32"/>
        </w:rPr>
        <w:t>РОДИТЕЛСКАТА ПОДКРЕПА ЗА АВТОНОМНОСТТА КАТО ПРЕДИКТОР НА ПСИХОЛОГИЧЕСКОТО БЛАГОПОЛУЧИЕ В ЮНОШЕСКА ВЪЗРАСТ</w:t>
      </w:r>
    </w:p>
    <w:p w:rsidR="004F3095" w:rsidRDefault="004F3095" w:rsidP="00DE157F">
      <w:pPr>
        <w:spacing w:after="0"/>
      </w:pPr>
    </w:p>
    <w:p w:rsidR="00955E8F" w:rsidRPr="004E67B3" w:rsidRDefault="004F3095" w:rsidP="00DE157F">
      <w:pPr>
        <w:jc w:val="center"/>
        <w:rPr>
          <w:b/>
          <w:sz w:val="32"/>
          <w:szCs w:val="32"/>
        </w:rPr>
      </w:pPr>
      <w:r w:rsidRPr="004E67B3">
        <w:rPr>
          <w:rFonts w:cs="Times New Roman"/>
          <w:b/>
          <w:bCs/>
          <w:sz w:val="32"/>
          <w:szCs w:val="32"/>
          <w:lang w:val="bg-BG"/>
        </w:rPr>
        <w:t xml:space="preserve">Йоана Янкулова, Петър Цветков, </w:t>
      </w:r>
      <w:r w:rsidR="00955E8F" w:rsidRPr="004E67B3">
        <w:rPr>
          <w:rFonts w:cs="Times New Roman"/>
          <w:b/>
          <w:bCs/>
          <w:sz w:val="32"/>
          <w:szCs w:val="32"/>
          <w:lang w:val="bg-BG"/>
        </w:rPr>
        <w:t>Биляна Димитрова, Дея Маркова, Елена Павлова, Максим Георгиев</w:t>
      </w:r>
    </w:p>
    <w:p w:rsidR="00955E8F" w:rsidRDefault="00955E8F" w:rsidP="00DE157F">
      <w:pPr>
        <w:spacing w:after="0"/>
      </w:pPr>
    </w:p>
    <w:p w:rsidR="00955E8F" w:rsidRDefault="00955E8F" w:rsidP="00DE157F">
      <w:pPr>
        <w:spacing w:after="0"/>
      </w:pPr>
    </w:p>
    <w:p w:rsidR="00FA171F" w:rsidRPr="00FA171F" w:rsidRDefault="00FA171F" w:rsidP="00DE1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b/>
          <w:sz w:val="32"/>
          <w:szCs w:val="32"/>
        </w:rPr>
      </w:pPr>
      <w:r w:rsidRPr="00FA171F">
        <w:rPr>
          <w:rFonts w:cs="Times New Roman"/>
          <w:b/>
          <w:sz w:val="32"/>
          <w:szCs w:val="32"/>
          <w:lang w:val="en"/>
        </w:rPr>
        <w:t>PARENTAL SUPPORT FOR AUTONOMY AS A PREDICTOR OF PSYCHOLOGICAL WELL-BEING IN ADOLESCENCE</w:t>
      </w:r>
    </w:p>
    <w:p w:rsidR="004F3095" w:rsidRDefault="004F3095" w:rsidP="00DE157F">
      <w:pPr>
        <w:spacing w:after="0"/>
      </w:pPr>
    </w:p>
    <w:p w:rsidR="004E67B3" w:rsidRPr="004E67B3" w:rsidRDefault="004F3095" w:rsidP="00DE157F">
      <w:pPr>
        <w:pStyle w:val="HTMLPreformatted"/>
        <w:jc w:val="center"/>
        <w:rPr>
          <w:rFonts w:ascii="Times New Roman" w:hAnsi="Times New Roman" w:cs="Times New Roman"/>
          <w:b/>
          <w:sz w:val="32"/>
          <w:szCs w:val="32"/>
        </w:rPr>
      </w:pPr>
      <w:r w:rsidRPr="004E67B3">
        <w:rPr>
          <w:rFonts w:ascii="Times New Roman" w:hAnsi="Times New Roman" w:cs="Times New Roman"/>
          <w:b/>
          <w:sz w:val="32"/>
          <w:szCs w:val="32"/>
          <w:lang w:val="en"/>
        </w:rPr>
        <w:t xml:space="preserve">Yoana Yankulova, Petar Tsvetkov, </w:t>
      </w:r>
      <w:r w:rsidR="004E67B3" w:rsidRPr="004E67B3">
        <w:rPr>
          <w:rStyle w:val="y2iqfc"/>
          <w:rFonts w:ascii="Times New Roman" w:hAnsi="Times New Roman" w:cs="Times New Roman"/>
          <w:b/>
          <w:sz w:val="32"/>
          <w:szCs w:val="32"/>
          <w:lang w:val="en"/>
        </w:rPr>
        <w:t>Bilyana Dimitrova, Deya Markova, Elena Pavlova, Maksim Georgiev</w:t>
      </w:r>
    </w:p>
    <w:p w:rsidR="004F3095" w:rsidRDefault="004F3095" w:rsidP="00DE157F">
      <w:pPr>
        <w:spacing w:after="0"/>
      </w:pPr>
    </w:p>
    <w:p w:rsidR="004F3095" w:rsidRDefault="004F3095" w:rsidP="00DE157F">
      <w:pPr>
        <w:spacing w:after="0"/>
      </w:pPr>
    </w:p>
    <w:p w:rsidR="0049247E" w:rsidRPr="0049247E" w:rsidRDefault="0049247E" w:rsidP="0002489F">
      <w:pPr>
        <w:spacing w:before="100" w:beforeAutospacing="1" w:after="100" w:afterAutospacing="1"/>
        <w:rPr>
          <w:rFonts w:cs="Times New Roman"/>
          <w:i/>
          <w:sz w:val="24"/>
          <w:szCs w:val="24"/>
        </w:rPr>
      </w:pPr>
      <w:r w:rsidRPr="0049247E">
        <w:rPr>
          <w:rFonts w:cs="Times New Roman"/>
          <w:i/>
          <w:sz w:val="24"/>
          <w:szCs w:val="24"/>
        </w:rPr>
        <w:t>Резюме: Изследването разглежда взаимовръзките между възприеманата родителска подкрепа за автономността и психологическото благополучие в юношеска възраст. Изследвани са 365 ученици на възраст 14</w:t>
      </w:r>
      <w:r w:rsidR="0002489F" w:rsidRPr="0002489F">
        <w:rPr>
          <w:rFonts w:cs="Times New Roman"/>
          <w:i/>
          <w:sz w:val="24"/>
          <w:szCs w:val="24"/>
          <w:lang w:val="bg-BG"/>
        </w:rPr>
        <w:t>-</w:t>
      </w:r>
      <w:r w:rsidRPr="0049247E">
        <w:rPr>
          <w:rFonts w:cs="Times New Roman"/>
          <w:i/>
          <w:sz w:val="24"/>
          <w:szCs w:val="24"/>
        </w:rPr>
        <w:t>18 години. Анализът на главните компоненти установява емпиричните структури на използваните скали. Установени са статистически значими корелации и предиктивни връзки между родителската подкрепа и психологическото благополучие.</w:t>
      </w:r>
    </w:p>
    <w:p w:rsidR="0049247E" w:rsidRPr="0049247E" w:rsidRDefault="0049247E" w:rsidP="00652610">
      <w:pPr>
        <w:spacing w:before="100" w:beforeAutospacing="1" w:after="100" w:afterAutospacing="1"/>
        <w:rPr>
          <w:rFonts w:cs="Times New Roman"/>
          <w:szCs w:val="28"/>
          <w:lang w:val="bg-BG"/>
        </w:rPr>
      </w:pPr>
    </w:p>
    <w:p w:rsidR="000D41BE" w:rsidRPr="00340943" w:rsidRDefault="00EF1DA7" w:rsidP="00652610">
      <w:pPr>
        <w:spacing w:before="100" w:beforeAutospacing="1" w:after="100" w:afterAutospacing="1"/>
        <w:rPr>
          <w:rFonts w:cs="Times New Roman"/>
          <w:i/>
          <w:sz w:val="24"/>
          <w:szCs w:val="24"/>
        </w:rPr>
      </w:pPr>
      <w:r w:rsidRPr="00EF1DA7">
        <w:rPr>
          <w:rFonts w:cs="Times New Roman"/>
          <w:i/>
          <w:sz w:val="24"/>
          <w:szCs w:val="24"/>
        </w:rPr>
        <w:t xml:space="preserve">Ключови думи: </w:t>
      </w:r>
      <w:r w:rsidR="000D41BE" w:rsidRPr="00340943">
        <w:rPr>
          <w:rFonts w:cs="Times New Roman"/>
          <w:i/>
          <w:sz w:val="24"/>
          <w:szCs w:val="24"/>
        </w:rPr>
        <w:t>родителска подкрепа за автономността, психологическо благополучие, юношество</w:t>
      </w:r>
    </w:p>
    <w:p w:rsidR="00EF1DA7" w:rsidRPr="00EF1DA7" w:rsidRDefault="00EF1DA7" w:rsidP="00652610">
      <w:pPr>
        <w:spacing w:before="100" w:beforeAutospacing="1" w:after="100" w:afterAutospacing="1"/>
        <w:rPr>
          <w:rFonts w:cs="Times New Roman"/>
          <w:szCs w:val="28"/>
        </w:rPr>
      </w:pPr>
    </w:p>
    <w:p w:rsidR="0002489F" w:rsidRPr="0002489F" w:rsidRDefault="00EF1DA7" w:rsidP="0002489F">
      <w:pPr>
        <w:pStyle w:val="NormalWeb"/>
        <w:rPr>
          <w:i/>
        </w:rPr>
      </w:pPr>
      <w:r w:rsidRPr="00EF1DA7">
        <w:rPr>
          <w:i/>
        </w:rPr>
        <w:t>Abstract</w:t>
      </w:r>
      <w:r w:rsidRPr="000D41BE">
        <w:rPr>
          <w:i/>
          <w:lang w:val="bg-BG"/>
        </w:rPr>
        <w:t xml:space="preserve">: </w:t>
      </w:r>
      <w:r w:rsidR="0002489F" w:rsidRPr="0002489F">
        <w:rPr>
          <w:i/>
        </w:rPr>
        <w:t>The study examines the relationships between perceived parental autonomy support and psychological well-being during adolescence. The study included 365 students aged 14–18 years. Principal component analysis identified the empirical structures of the scales used. Statistically significant correlations and predictive relationships were found between parental autonomy support and psychological well-being.</w:t>
      </w:r>
    </w:p>
    <w:p w:rsidR="00EF1DA7" w:rsidRPr="00EF1DA7" w:rsidRDefault="00EF1DA7" w:rsidP="00850EFA">
      <w:pPr>
        <w:spacing w:before="100" w:beforeAutospacing="1" w:after="100" w:afterAutospacing="1"/>
        <w:rPr>
          <w:rFonts w:cs="Times New Roman"/>
          <w:szCs w:val="28"/>
        </w:rPr>
      </w:pPr>
    </w:p>
    <w:p w:rsidR="00340943" w:rsidRPr="000D41BE" w:rsidRDefault="00340943" w:rsidP="00850EFA">
      <w:pPr>
        <w:spacing w:before="100" w:beforeAutospacing="1" w:after="100" w:afterAutospacing="1"/>
        <w:rPr>
          <w:rFonts w:cs="Times New Roman"/>
          <w:i/>
          <w:sz w:val="24"/>
          <w:szCs w:val="24"/>
        </w:rPr>
      </w:pPr>
      <w:r w:rsidRPr="00340943">
        <w:rPr>
          <w:rFonts w:cs="Times New Roman"/>
          <w:i/>
          <w:sz w:val="24"/>
          <w:szCs w:val="24"/>
        </w:rPr>
        <w:t>Keywords: parental autonomy support, psychological well-being, adolescence</w:t>
      </w:r>
    </w:p>
    <w:p w:rsidR="000D41BE" w:rsidRDefault="000D41BE" w:rsidP="00850EFA">
      <w:pPr>
        <w:spacing w:before="100" w:beforeAutospacing="1" w:after="100" w:afterAutospacing="1"/>
        <w:jc w:val="left"/>
        <w:rPr>
          <w:rFonts w:cs="Times New Roman"/>
          <w:szCs w:val="28"/>
        </w:rPr>
      </w:pPr>
    </w:p>
    <w:p w:rsidR="001F1A8A" w:rsidRPr="00340943" w:rsidRDefault="001F1A8A" w:rsidP="00850EFA">
      <w:pPr>
        <w:spacing w:before="100" w:beforeAutospacing="1" w:after="100" w:afterAutospacing="1"/>
        <w:jc w:val="left"/>
        <w:rPr>
          <w:rFonts w:cs="Times New Roman"/>
          <w:szCs w:val="28"/>
        </w:rPr>
      </w:pPr>
    </w:p>
    <w:p w:rsidR="001F1A8A" w:rsidRPr="00DE157F" w:rsidRDefault="00320693" w:rsidP="00850EFA">
      <w:pPr>
        <w:spacing w:before="100" w:beforeAutospacing="1" w:after="100" w:afterAutospacing="1"/>
        <w:rPr>
          <w:rFonts w:cs="Times New Roman"/>
          <w:szCs w:val="28"/>
        </w:rPr>
      </w:pPr>
      <w:r w:rsidRPr="00320693">
        <w:rPr>
          <w:rFonts w:cs="Times New Roman"/>
          <w:b/>
          <w:szCs w:val="28"/>
          <w:lang w:val="bg-BG"/>
        </w:rPr>
        <w:t>УВОД</w:t>
      </w:r>
      <w:r>
        <w:rPr>
          <w:rFonts w:cs="Times New Roman"/>
          <w:szCs w:val="28"/>
          <w:lang w:val="bg-BG"/>
        </w:rPr>
        <w:t xml:space="preserve">. </w:t>
      </w:r>
      <w:r w:rsidR="00340943" w:rsidRPr="00340943">
        <w:rPr>
          <w:rFonts w:cs="Times New Roman"/>
          <w:szCs w:val="28"/>
        </w:rPr>
        <w:t>Юношеството е период на интензивни промени в развитието, през който постепенно се увеличава стремеж</w:t>
      </w:r>
      <w:r w:rsidR="002A5491" w:rsidRPr="00DE157F">
        <w:rPr>
          <w:rFonts w:cs="Times New Roman"/>
          <w:szCs w:val="28"/>
          <w:lang w:val="bg-BG"/>
        </w:rPr>
        <w:t>ът</w:t>
      </w:r>
      <w:r w:rsidR="00340943" w:rsidRPr="00340943">
        <w:rPr>
          <w:rFonts w:cs="Times New Roman"/>
          <w:szCs w:val="28"/>
        </w:rPr>
        <w:t xml:space="preserve"> към автономност, способността за саморегулация и отговорността за собствените решения. В този контекст </w:t>
      </w:r>
      <w:r w:rsidR="002A5491" w:rsidRPr="00DE157F">
        <w:rPr>
          <w:rFonts w:cs="Times New Roman"/>
          <w:szCs w:val="28"/>
          <w:lang w:val="bg-BG"/>
        </w:rPr>
        <w:t xml:space="preserve">обаче </w:t>
      </w:r>
      <w:r w:rsidR="00340943" w:rsidRPr="00340943">
        <w:rPr>
          <w:rFonts w:cs="Times New Roman"/>
          <w:szCs w:val="28"/>
        </w:rPr>
        <w:t>семейната среда продължава да има съществено значение за психологическото функциониране на подрастващите. Особено значение придобива начинът, по който родителите съчетават предоставянето на самостоятелност с подходящи граници и насоки.</w:t>
      </w:r>
    </w:p>
    <w:p w:rsidR="00340943" w:rsidRPr="00340943" w:rsidRDefault="00340943" w:rsidP="00850EFA">
      <w:pPr>
        <w:spacing w:before="100" w:beforeAutospacing="1" w:after="100" w:afterAutospacing="1"/>
        <w:rPr>
          <w:rFonts w:cs="Times New Roman"/>
          <w:szCs w:val="28"/>
        </w:rPr>
      </w:pPr>
      <w:r w:rsidRPr="00340943">
        <w:rPr>
          <w:rFonts w:cs="Times New Roman"/>
          <w:szCs w:val="28"/>
        </w:rPr>
        <w:t>В рамките на теорията за самоопределянето подкрепата за автономността се разглежда като родителско поведение, което насърчава самостоятелността на детето, предоставя възможност за избор, обяснява причините за поставяните изисквания и признава неговите преживявания и чувства</w:t>
      </w:r>
      <w:r w:rsidR="001F1A8A" w:rsidRPr="00DE157F">
        <w:rPr>
          <w:rFonts w:cs="Times New Roman"/>
          <w:szCs w:val="28"/>
          <w:lang w:val="bg-BG"/>
        </w:rPr>
        <w:t xml:space="preserve"> </w:t>
      </w:r>
      <w:r w:rsidRPr="00340943">
        <w:rPr>
          <w:rFonts w:cs="Times New Roman"/>
          <w:szCs w:val="28"/>
        </w:rPr>
        <w:t>[1] Наред с тези практики се разграничават контролиращи родителски поведения, включително използването на заплахи и наказания, предизвикването на вина и срам и натискът за високи постижения. Mageau и съавтори разглеждат тези прояви като различни измерения на родителското поведение, които не следва да се приемат като противоположни точки на една и съща едномерна скала</w:t>
      </w:r>
      <w:r w:rsidR="001F1A8A" w:rsidRPr="00DE157F">
        <w:rPr>
          <w:rFonts w:cs="Times New Roman"/>
          <w:szCs w:val="28"/>
          <w:lang w:val="bg-BG"/>
        </w:rPr>
        <w:t xml:space="preserve"> </w:t>
      </w:r>
      <w:r w:rsidRPr="00340943">
        <w:rPr>
          <w:rFonts w:cs="Times New Roman"/>
          <w:szCs w:val="28"/>
        </w:rPr>
        <w:t>[2]</w:t>
      </w:r>
    </w:p>
    <w:p w:rsidR="00340943" w:rsidRPr="00340943" w:rsidRDefault="00340943" w:rsidP="00850EFA">
      <w:pPr>
        <w:spacing w:before="100" w:beforeAutospacing="1" w:after="100" w:afterAutospacing="1"/>
        <w:rPr>
          <w:rFonts w:cs="Times New Roman"/>
          <w:szCs w:val="28"/>
        </w:rPr>
      </w:pPr>
      <w:r w:rsidRPr="00340943">
        <w:rPr>
          <w:rFonts w:cs="Times New Roman"/>
          <w:szCs w:val="28"/>
        </w:rPr>
        <w:t xml:space="preserve">Психологическото благополучие представлява многомерен конструкт, свързан с позитивното функциониране на личността. В концептуализацията на </w:t>
      </w:r>
      <w:r w:rsidR="002A5491" w:rsidRPr="00DE157F">
        <w:rPr>
          <w:rFonts w:cs="Times New Roman"/>
          <w:szCs w:val="28"/>
          <w:lang w:val="bg-BG"/>
        </w:rPr>
        <w:t>К. Риф</w:t>
      </w:r>
      <w:r w:rsidRPr="00340943">
        <w:rPr>
          <w:rFonts w:cs="Times New Roman"/>
          <w:szCs w:val="28"/>
        </w:rPr>
        <w:t xml:space="preserve"> то включва автономност, управление на средата, личностно развитие, положителни взаимоотношения с другите, цел в живота и самоприемане</w:t>
      </w:r>
      <w:r w:rsidR="001F1A8A" w:rsidRPr="00DE157F">
        <w:rPr>
          <w:rFonts w:cs="Times New Roman"/>
          <w:szCs w:val="28"/>
          <w:lang w:val="bg-BG"/>
        </w:rPr>
        <w:t xml:space="preserve"> </w:t>
      </w:r>
      <w:r w:rsidRPr="00340943">
        <w:rPr>
          <w:rFonts w:cs="Times New Roman"/>
          <w:szCs w:val="28"/>
        </w:rPr>
        <w:t>[3] При юношите развитието на тези характеристики е тясно свързано с възможността да изграждат усещане за лична компетентност, смисъл и относителна независимост, като същевременно поддържат подкрепящи отношения със значимите възрастни.</w:t>
      </w:r>
    </w:p>
    <w:p w:rsidR="00340943" w:rsidRPr="00340943" w:rsidRDefault="00340943" w:rsidP="00850EFA">
      <w:pPr>
        <w:spacing w:before="100" w:beforeAutospacing="1" w:after="100" w:afterAutospacing="1"/>
        <w:rPr>
          <w:rFonts w:cs="Times New Roman"/>
          <w:szCs w:val="28"/>
        </w:rPr>
      </w:pPr>
      <w:r w:rsidRPr="00340943">
        <w:rPr>
          <w:rFonts w:cs="Times New Roman"/>
          <w:szCs w:val="28"/>
        </w:rPr>
        <w:t>Въз основа на тези теоретични положения целта на настоящото изследване е да се изследват статистическите връзки между възприеманата родителска подкрепа за автономността и психологическото благополучие в юношеска възраст и да се установи доколко отделни аспекти на родителското поведение са статистически значими предиктори на различните аспекти на психологическото благополучие.</w:t>
      </w:r>
    </w:p>
    <w:p w:rsidR="00340943" w:rsidRPr="00340943" w:rsidRDefault="00340943" w:rsidP="00850EFA">
      <w:pPr>
        <w:spacing w:before="100" w:beforeAutospacing="1" w:after="100" w:afterAutospacing="1"/>
        <w:rPr>
          <w:rFonts w:cs="Times New Roman"/>
          <w:szCs w:val="28"/>
        </w:rPr>
      </w:pPr>
      <w:r w:rsidRPr="00340943">
        <w:rPr>
          <w:rFonts w:cs="Times New Roman"/>
          <w:szCs w:val="28"/>
        </w:rPr>
        <w:t>Поради напречния и неекспериментален характер на изследването установените регресионни зависимости се интерпретират единствено като статистически връзки и предиктивни отношения в рамките на използваните модели и не могат да бъдат разглеждани като доказателство за причинно-следствени влияния.</w:t>
      </w:r>
    </w:p>
    <w:p w:rsidR="00340943" w:rsidRPr="00340943" w:rsidRDefault="00320693" w:rsidP="00850EFA">
      <w:pPr>
        <w:spacing w:before="100" w:beforeAutospacing="1" w:after="100" w:afterAutospacing="1"/>
        <w:rPr>
          <w:rFonts w:cs="Times New Roman"/>
          <w:szCs w:val="28"/>
        </w:rPr>
      </w:pPr>
      <w:r w:rsidRPr="00340943">
        <w:rPr>
          <w:rFonts w:cs="Times New Roman"/>
          <w:b/>
          <w:szCs w:val="28"/>
        </w:rPr>
        <w:lastRenderedPageBreak/>
        <w:t>ДИЗАЙН И ПРОЦЕДУРА</w:t>
      </w:r>
      <w:r w:rsidRPr="00DE157F">
        <w:rPr>
          <w:rFonts w:cs="Times New Roman"/>
          <w:b/>
          <w:szCs w:val="28"/>
          <w:lang w:val="bg-BG"/>
        </w:rPr>
        <w:t xml:space="preserve"> НА ИЗСЛЕДВАНЕТО</w:t>
      </w:r>
      <w:r w:rsidR="002A5491" w:rsidRPr="00DE157F">
        <w:rPr>
          <w:rFonts w:cs="Times New Roman"/>
          <w:szCs w:val="28"/>
          <w:lang w:val="bg-BG"/>
        </w:rPr>
        <w:t xml:space="preserve">. </w:t>
      </w:r>
      <w:r w:rsidR="00340943" w:rsidRPr="00340943">
        <w:rPr>
          <w:rFonts w:cs="Times New Roman"/>
          <w:szCs w:val="28"/>
        </w:rPr>
        <w:t>Изследването е проведено с неекспериментален напречен дизайн и еднократно събиране на данни през март</w:t>
      </w:r>
      <w:r w:rsidR="00BB03AF">
        <w:rPr>
          <w:rFonts w:cs="Times New Roman"/>
          <w:szCs w:val="28"/>
          <w:lang w:val="bg-BG"/>
        </w:rPr>
        <w:t>-</w:t>
      </w:r>
      <w:r w:rsidR="00340943" w:rsidRPr="00340943">
        <w:rPr>
          <w:rFonts w:cs="Times New Roman"/>
          <w:szCs w:val="28"/>
        </w:rPr>
        <w:t>април 2026 г. Данните са събрани чрез анонимно онлайн анкетиране при спазване на принципите на доброволност, конфиденциалност и приложимите етични стандарти при работа с непълнолетни лица.</w:t>
      </w:r>
    </w:p>
    <w:p w:rsidR="00340943" w:rsidRPr="00340943" w:rsidRDefault="00320693" w:rsidP="00850EFA">
      <w:pPr>
        <w:spacing w:before="100" w:beforeAutospacing="1" w:after="100" w:afterAutospacing="1"/>
        <w:rPr>
          <w:rFonts w:cs="Times New Roman"/>
          <w:szCs w:val="28"/>
        </w:rPr>
      </w:pPr>
      <w:r>
        <w:rPr>
          <w:rFonts w:cs="Times New Roman"/>
          <w:b/>
          <w:szCs w:val="28"/>
          <w:lang w:val="bg-BG"/>
        </w:rPr>
        <w:t>ПРОФИЛ НА У</w:t>
      </w:r>
      <w:r w:rsidRPr="00340943">
        <w:rPr>
          <w:rFonts w:cs="Times New Roman"/>
          <w:b/>
          <w:szCs w:val="28"/>
        </w:rPr>
        <w:t>ЧАСТНИЦИ</w:t>
      </w:r>
      <w:r>
        <w:rPr>
          <w:rFonts w:cs="Times New Roman"/>
          <w:b/>
          <w:szCs w:val="28"/>
          <w:lang w:val="bg-BG"/>
        </w:rPr>
        <w:t>ТЕ</w:t>
      </w:r>
      <w:r w:rsidR="00335E20" w:rsidRPr="00DE157F">
        <w:rPr>
          <w:rFonts w:cs="Times New Roman"/>
          <w:szCs w:val="28"/>
          <w:lang w:val="bg-BG"/>
        </w:rPr>
        <w:t xml:space="preserve">. </w:t>
      </w:r>
      <w:r w:rsidR="00340943" w:rsidRPr="00340943">
        <w:rPr>
          <w:rFonts w:cs="Times New Roman"/>
          <w:szCs w:val="28"/>
        </w:rPr>
        <w:t>В изследването участват 365 ученици от IX до XI клас на възраст между 14 и 18 години. От тях 100 са момчета (27.4%), а 265 – момичета (72.6%). В IX клас са 112 ученици (30.7%), в X клас – 136 (37.3%), а в XI клас – 117 (32.0%). По отношение на типа училище 267 участници (73.2%) са от общообразователни училища, 80 (21.9%) – от езикови училища, а останалите – от професионални училища.</w:t>
      </w:r>
    </w:p>
    <w:p w:rsidR="00340943" w:rsidRPr="00340943" w:rsidRDefault="00320693" w:rsidP="00850EFA">
      <w:pPr>
        <w:spacing w:before="100" w:beforeAutospacing="1" w:after="100" w:afterAutospacing="1"/>
        <w:rPr>
          <w:rFonts w:cs="Times New Roman"/>
          <w:b/>
          <w:szCs w:val="28"/>
        </w:rPr>
      </w:pPr>
      <w:r w:rsidRPr="00340943">
        <w:rPr>
          <w:rFonts w:cs="Times New Roman"/>
          <w:b/>
          <w:szCs w:val="28"/>
        </w:rPr>
        <w:t>ИЗМЕРВАТЕЛНИ ИНСТРУМЕНТИ</w:t>
      </w:r>
    </w:p>
    <w:p w:rsidR="00A53B07" w:rsidRDefault="001242D7" w:rsidP="00850EFA">
      <w:pPr>
        <w:spacing w:before="100" w:beforeAutospacing="1" w:after="100" w:afterAutospacing="1"/>
        <w:rPr>
          <w:szCs w:val="28"/>
        </w:rPr>
      </w:pPr>
      <w:r w:rsidRPr="00DE157F">
        <w:rPr>
          <w:szCs w:val="28"/>
        </w:rPr>
        <w:t>Възприеманата родителска подкрепа за автономността е измерена чрез „</w:t>
      </w:r>
      <w:r w:rsidRPr="00DE157F">
        <w:rPr>
          <w:b/>
          <w:szCs w:val="28"/>
        </w:rPr>
        <w:t>Скала за възприеманата родителска подкрепа за автономността</w:t>
      </w:r>
      <w:r w:rsidRPr="00DE157F">
        <w:rPr>
          <w:szCs w:val="28"/>
        </w:rPr>
        <w:t>“ (Perceived Parental Autonomy Support Scale/</w:t>
      </w:r>
      <w:r w:rsidRPr="00DE157F">
        <w:rPr>
          <w:szCs w:val="28"/>
          <w:lang w:val="bg-BG"/>
        </w:rPr>
        <w:t xml:space="preserve"> </w:t>
      </w:r>
      <w:r w:rsidRPr="00DE157F">
        <w:rPr>
          <w:szCs w:val="28"/>
        </w:rPr>
        <w:t xml:space="preserve">P-PASS) </w:t>
      </w:r>
      <w:r w:rsidRPr="00DE157F">
        <w:rPr>
          <w:rStyle w:val="text-token-text-primary"/>
          <w:szCs w:val="28"/>
        </w:rPr>
        <w:t>[2]</w:t>
      </w:r>
      <w:r w:rsidRPr="00DE157F">
        <w:rPr>
          <w:szCs w:val="28"/>
        </w:rPr>
        <w:t xml:space="preserve">. </w:t>
      </w:r>
      <w:r w:rsidR="00320693">
        <w:t xml:space="preserve">Скалата съдържа 24 айтема, които участниците оценяват поотделно по отношение на майката и бащата. За анализа на емпиричната структура са включени 48 оценки </w:t>
      </w:r>
      <w:r w:rsidR="00320693">
        <w:rPr>
          <w:lang w:val="bg-BG"/>
        </w:rPr>
        <w:t>-</w:t>
      </w:r>
      <w:r w:rsidR="00320693">
        <w:t xml:space="preserve"> по 24 за всеки родител</w:t>
      </w:r>
      <w:r w:rsidR="00320693">
        <w:rPr>
          <w:lang w:val="bg-BG"/>
        </w:rPr>
        <w:t xml:space="preserve">. </w:t>
      </w:r>
      <w:r w:rsidRPr="00DE157F">
        <w:rPr>
          <w:szCs w:val="28"/>
        </w:rPr>
        <w:t>Съдържателно скалата включва шест аспекта на родителското поведение</w:t>
      </w:r>
      <w:r w:rsidRPr="00DE157F">
        <w:rPr>
          <w:szCs w:val="28"/>
          <w:lang w:val="bg-BG"/>
        </w:rPr>
        <w:t xml:space="preserve"> и това са</w:t>
      </w:r>
      <w:r w:rsidRPr="00DE157F">
        <w:rPr>
          <w:szCs w:val="28"/>
        </w:rPr>
        <w:t>: „Предлагане на избор“, „Обясняване на причините“, „Приемане на чувствата“, „Контрол чрез заплахи и наказания“, „Контрол чрез вина и срам“ и „Натиск за представяне“. Установените шест компонента съответстват по брой и са близки по съдържание до разграничените в оригиналния инструмент аспекти на родителското поведение.</w:t>
      </w:r>
    </w:p>
    <w:p w:rsidR="00A53B07" w:rsidRPr="00DE157F" w:rsidRDefault="00A53B07" w:rsidP="00850EFA">
      <w:pPr>
        <w:spacing w:before="100" w:beforeAutospacing="1" w:after="100" w:afterAutospacing="1"/>
        <w:rPr>
          <w:rFonts w:cs="Times New Roman"/>
          <w:szCs w:val="28"/>
        </w:rPr>
      </w:pPr>
      <w:r w:rsidRPr="00A53B07">
        <w:rPr>
          <w:rFonts w:cs="Times New Roman"/>
          <w:szCs w:val="28"/>
        </w:rPr>
        <w:t>Психологическото благополучие е измерено чрез 18-айтемна кратка версия на „</w:t>
      </w:r>
      <w:r w:rsidRPr="00A53B07">
        <w:rPr>
          <w:rFonts w:cs="Times New Roman"/>
          <w:b/>
          <w:szCs w:val="28"/>
        </w:rPr>
        <w:t>Скала за психологическо благополучие</w:t>
      </w:r>
      <w:r w:rsidRPr="00A53B07">
        <w:rPr>
          <w:rFonts w:cs="Times New Roman"/>
          <w:szCs w:val="28"/>
        </w:rPr>
        <w:t xml:space="preserve">“ (Ryff's Psychological Well-Being Scale), разработена в рамките на модела на К. Риф [3]. В настоящото изследване айтемите са оценявани по 5-степенна скала от „Изобщо не съм съгласен“ до „Напълно съм съгласен“. Установената в настоящата извадка емпирична 3-компонентна структура се различава от оригиналния 6-измерен модел на К. Риф. </w:t>
      </w:r>
      <w:r w:rsidRPr="00DE157F">
        <w:rPr>
          <w:rFonts w:cs="Times New Roman"/>
          <w:szCs w:val="28"/>
          <w:lang w:val="bg-BG"/>
        </w:rPr>
        <w:t xml:space="preserve">В резултат на </w:t>
      </w:r>
      <w:r w:rsidRPr="00A53B07">
        <w:rPr>
          <w:rFonts w:cs="Times New Roman"/>
          <w:szCs w:val="28"/>
        </w:rPr>
        <w:t>това психологическото благополучие е представено чрез следните три компонента: „Позитивно психологическо функциониране“, „Емоционална и социална неудовлетвореност“ и „Цел в живота“.</w:t>
      </w:r>
    </w:p>
    <w:p w:rsidR="00A53B07" w:rsidRPr="00A53B07" w:rsidRDefault="00A53B07" w:rsidP="00850EFA">
      <w:pPr>
        <w:spacing w:before="100" w:beforeAutospacing="1" w:after="100" w:afterAutospacing="1"/>
        <w:rPr>
          <w:rFonts w:cs="Times New Roman"/>
          <w:szCs w:val="28"/>
        </w:rPr>
      </w:pPr>
      <w:r w:rsidRPr="00A53B07">
        <w:rPr>
          <w:rFonts w:cs="Times New Roman"/>
          <w:szCs w:val="28"/>
        </w:rPr>
        <w:t>Като допълнителен показател е използван „</w:t>
      </w:r>
      <w:r w:rsidRPr="00A53B07">
        <w:rPr>
          <w:rFonts w:cs="Times New Roman"/>
          <w:b/>
          <w:szCs w:val="28"/>
        </w:rPr>
        <w:t>Въпросник за проблемна употреба на интернет</w:t>
      </w:r>
      <w:r w:rsidRPr="00A53B07">
        <w:rPr>
          <w:rFonts w:cs="Times New Roman"/>
          <w:szCs w:val="28"/>
        </w:rPr>
        <w:t>“ (Problematic Internet Use Questionnaire/</w:t>
      </w:r>
      <w:r w:rsidRPr="00DE157F">
        <w:rPr>
          <w:rFonts w:cs="Times New Roman"/>
          <w:szCs w:val="28"/>
          <w:lang w:val="bg-BG"/>
        </w:rPr>
        <w:t xml:space="preserve"> </w:t>
      </w:r>
      <w:r w:rsidRPr="00A53B07">
        <w:rPr>
          <w:rFonts w:cs="Times New Roman"/>
          <w:szCs w:val="28"/>
        </w:rPr>
        <w:t xml:space="preserve">PIUQ) [4], като в настоящия доклад е разгледан единствено аспектът „Пренебрегване“. Поради </w:t>
      </w:r>
      <w:r w:rsidRPr="00A53B07">
        <w:rPr>
          <w:rFonts w:cs="Times New Roman"/>
          <w:szCs w:val="28"/>
        </w:rPr>
        <w:lastRenderedPageBreak/>
        <w:t>установените статистически значими връзки с психологическото благополучие този аспект е включен в регресионните анализи.</w:t>
      </w:r>
    </w:p>
    <w:p w:rsidR="002E79CC" w:rsidRPr="002E79CC" w:rsidRDefault="005D4A36" w:rsidP="00850EFA">
      <w:pPr>
        <w:spacing w:before="100" w:beforeAutospacing="1" w:after="100" w:afterAutospacing="1"/>
        <w:rPr>
          <w:rFonts w:cs="Times New Roman"/>
          <w:szCs w:val="28"/>
        </w:rPr>
      </w:pPr>
      <w:r w:rsidRPr="00340943">
        <w:rPr>
          <w:rFonts w:cs="Times New Roman"/>
          <w:b/>
          <w:szCs w:val="28"/>
        </w:rPr>
        <w:t>СТАТИСТИЧЕСКА ОБРАБОТКА</w:t>
      </w:r>
      <w:r w:rsidR="00F62C89" w:rsidRPr="00DE157F">
        <w:rPr>
          <w:rFonts w:cs="Times New Roman"/>
          <w:szCs w:val="28"/>
          <w:lang w:val="bg-BG"/>
        </w:rPr>
        <w:t xml:space="preserve">. </w:t>
      </w:r>
      <w:r w:rsidR="002E79CC" w:rsidRPr="002E79CC">
        <w:rPr>
          <w:rFonts w:cs="Times New Roman"/>
          <w:szCs w:val="28"/>
        </w:rPr>
        <w:t xml:space="preserve">За оценка на вътрешната съгласуваност на измервателните инструменти е изчислен коефициентът алфа на Кронбах. Емпиричната структура е изследвана чрез анализ на главните компоненти с Варимакс ротация и нормализация на Кайзер. </w:t>
      </w:r>
      <w:r w:rsidR="002E79CC" w:rsidRPr="00DE157F">
        <w:rPr>
          <w:szCs w:val="28"/>
        </w:rPr>
        <w:t>При оценката на пригодността на данните са използвани коефициентът на Кайзер</w:t>
      </w:r>
      <w:r w:rsidR="003C67C0" w:rsidRPr="00DE157F">
        <w:rPr>
          <w:szCs w:val="28"/>
          <w:lang w:val="bg-BG"/>
        </w:rPr>
        <w:t>-</w:t>
      </w:r>
      <w:r w:rsidR="002E79CC" w:rsidRPr="00DE157F">
        <w:rPr>
          <w:szCs w:val="28"/>
        </w:rPr>
        <w:t>Майер</w:t>
      </w:r>
      <w:r w:rsidR="003C67C0" w:rsidRPr="00DE157F">
        <w:rPr>
          <w:szCs w:val="28"/>
          <w:lang w:val="bg-BG"/>
        </w:rPr>
        <w:t>-</w:t>
      </w:r>
      <w:r w:rsidR="002E79CC" w:rsidRPr="00DE157F">
        <w:rPr>
          <w:szCs w:val="28"/>
        </w:rPr>
        <w:t>Олкин и тестът на Бартлет за сферичност.</w:t>
      </w:r>
      <w:r w:rsidR="002E79CC" w:rsidRPr="00DE157F">
        <w:rPr>
          <w:rFonts w:cs="Times New Roman"/>
          <w:szCs w:val="28"/>
        </w:rPr>
        <w:t xml:space="preserve"> </w:t>
      </w:r>
      <w:r w:rsidR="002E79CC" w:rsidRPr="002E79CC">
        <w:rPr>
          <w:rFonts w:cs="Times New Roman"/>
          <w:szCs w:val="28"/>
        </w:rPr>
        <w:t>Взаимовръзките между променливите са изследвани чрез коефициента на корелация на Пирсън, а за оценка на статистическите предиктори са приложени линейни регресионни анализи.</w:t>
      </w:r>
    </w:p>
    <w:p w:rsidR="00340943" w:rsidRPr="00340943" w:rsidRDefault="00340943" w:rsidP="00850EFA">
      <w:pPr>
        <w:spacing w:before="100" w:beforeAutospacing="1" w:after="100" w:afterAutospacing="1"/>
        <w:rPr>
          <w:rFonts w:cs="Times New Roman"/>
          <w:b/>
          <w:szCs w:val="28"/>
        </w:rPr>
      </w:pPr>
      <w:r w:rsidRPr="00340943">
        <w:rPr>
          <w:rFonts w:cs="Times New Roman"/>
          <w:b/>
          <w:szCs w:val="28"/>
        </w:rPr>
        <w:t>РЕЗУЛТАТИ</w:t>
      </w:r>
    </w:p>
    <w:p w:rsidR="00340943" w:rsidRPr="00340943" w:rsidRDefault="009F6F76" w:rsidP="00850EFA">
      <w:pPr>
        <w:spacing w:before="100" w:beforeAutospacing="1" w:after="100" w:afterAutospacing="1"/>
        <w:rPr>
          <w:rFonts w:cs="Times New Roman"/>
          <w:szCs w:val="28"/>
        </w:rPr>
      </w:pPr>
      <w:r w:rsidRPr="009F6F76">
        <w:rPr>
          <w:rFonts w:cs="Times New Roman"/>
          <w:b/>
          <w:szCs w:val="28"/>
        </w:rPr>
        <w:t>Емпирична структура и психометрични характеристики на измервателните инструменти</w:t>
      </w:r>
      <w:r w:rsidRPr="009F6F76">
        <w:rPr>
          <w:rFonts w:cs="Times New Roman"/>
          <w:szCs w:val="28"/>
        </w:rPr>
        <w:t>. За „Скала за възприеманата родителска подкрепа</w:t>
      </w:r>
      <w:r w:rsidR="000A2955">
        <w:rPr>
          <w:rFonts w:cs="Times New Roman"/>
          <w:szCs w:val="28"/>
          <w:lang w:val="bg-BG"/>
        </w:rPr>
        <w:t xml:space="preserve"> за автономност“ </w:t>
      </w:r>
      <w:r w:rsidR="000A2955" w:rsidRPr="009F6F76">
        <w:rPr>
          <w:rFonts w:cs="Times New Roman"/>
          <w:szCs w:val="28"/>
        </w:rPr>
        <w:t>коефициентът на вътрешна съгласуваност за цялата скала е α=.</w:t>
      </w:r>
      <w:r w:rsidR="000A2955">
        <w:rPr>
          <w:rFonts w:cs="Times New Roman"/>
          <w:szCs w:val="28"/>
          <w:lang w:val="bg-BG"/>
        </w:rPr>
        <w:t>792. К</w:t>
      </w:r>
      <w:r w:rsidRPr="009F6F76">
        <w:rPr>
          <w:rFonts w:cs="Times New Roman"/>
          <w:szCs w:val="28"/>
        </w:rPr>
        <w:t>оефициентът на Кайзер</w:t>
      </w:r>
      <w:r w:rsidRPr="00DE157F">
        <w:rPr>
          <w:rFonts w:cs="Times New Roman"/>
          <w:szCs w:val="28"/>
          <w:lang w:val="bg-BG"/>
        </w:rPr>
        <w:t>-</w:t>
      </w:r>
      <w:r w:rsidRPr="009F6F76">
        <w:rPr>
          <w:rFonts w:cs="Times New Roman"/>
          <w:szCs w:val="28"/>
        </w:rPr>
        <w:t>Майер</w:t>
      </w:r>
      <w:r w:rsidRPr="00DE157F">
        <w:rPr>
          <w:rFonts w:cs="Times New Roman"/>
          <w:szCs w:val="28"/>
          <w:lang w:val="bg-BG"/>
        </w:rPr>
        <w:t>-</w:t>
      </w:r>
      <w:r w:rsidRPr="009F6F76">
        <w:rPr>
          <w:rFonts w:cs="Times New Roman"/>
          <w:szCs w:val="28"/>
        </w:rPr>
        <w:t xml:space="preserve">Олкин е KMO=.849, а тестът на Бартлет за сферичност е статистически значим (χ²=15798.29, df=1128, p&lt;.001). Анализът на главните компоненти с ротация по метода Варимакс и нормализация по метода на Кайзер установява </w:t>
      </w:r>
      <w:r w:rsidRPr="00DE157F">
        <w:rPr>
          <w:rFonts w:cs="Times New Roman"/>
          <w:szCs w:val="28"/>
          <w:lang w:val="bg-BG"/>
        </w:rPr>
        <w:t>6-</w:t>
      </w:r>
      <w:r w:rsidRPr="009F6F76">
        <w:rPr>
          <w:rFonts w:cs="Times New Roman"/>
          <w:szCs w:val="28"/>
        </w:rPr>
        <w:t>компонентна емпирична структура, която обяснява 54.56% от общата дисперсия. Собствените стойности на компонентите са съответно 7.572, 5.893, 5.043, 3.004, 2.556 и 2.120.</w:t>
      </w:r>
      <w:r w:rsidRPr="00DE157F">
        <w:rPr>
          <w:rFonts w:cs="Times New Roman"/>
          <w:szCs w:val="28"/>
          <w:lang w:val="bg-BG"/>
        </w:rPr>
        <w:t xml:space="preserve"> </w:t>
      </w:r>
      <w:r w:rsidR="00340943" w:rsidRPr="00340943">
        <w:rPr>
          <w:rFonts w:cs="Times New Roman"/>
          <w:szCs w:val="28"/>
        </w:rPr>
        <w:t>Установените компоненти съответстват по съдържание на шестте разграничени аспекта на родителското поведение</w:t>
      </w:r>
      <w:r w:rsidRPr="00DE157F">
        <w:rPr>
          <w:rFonts w:cs="Times New Roman"/>
          <w:szCs w:val="28"/>
          <w:lang w:val="bg-BG"/>
        </w:rPr>
        <w:t>, които са съответно</w:t>
      </w:r>
      <w:r w:rsidR="00340943" w:rsidRPr="00340943">
        <w:rPr>
          <w:rFonts w:cs="Times New Roman"/>
          <w:szCs w:val="28"/>
        </w:rPr>
        <w:t>: „Контрол чрез заплахи и наказания“, „Предлагане на избор“, „Натиск за представяне“, „Обясняване на причините“, „Контрол чрез вина и срам“ и „Приемане на чувствата“. Резултатите показват относително ясна емпирична организация на родителските практики в настоящата извадка.</w:t>
      </w:r>
    </w:p>
    <w:p w:rsidR="00DB30B4" w:rsidRPr="00DE157F" w:rsidRDefault="009F6F76" w:rsidP="00850EFA">
      <w:pPr>
        <w:spacing w:before="100" w:beforeAutospacing="1" w:after="100" w:afterAutospacing="1"/>
        <w:rPr>
          <w:rFonts w:cs="Times New Roman"/>
          <w:szCs w:val="28"/>
        </w:rPr>
      </w:pPr>
      <w:r w:rsidRPr="009F6F76">
        <w:rPr>
          <w:rFonts w:cs="Times New Roman"/>
          <w:szCs w:val="28"/>
        </w:rPr>
        <w:t xml:space="preserve">За „Скала за психологическо благополучие“ коефициентът на вътрешна съгласуваност за цялата скала е α=.806. Коефициентът на Кайзер–Майер–Олкин е KMO=.851, а тестът на Бартлет за сферичност е статистически значим, χ²=1613.423, df=153, p&lt;.001. Анализът на главните компоненти извежда </w:t>
      </w:r>
      <w:r w:rsidRPr="00DE157F">
        <w:rPr>
          <w:rFonts w:cs="Times New Roman"/>
          <w:szCs w:val="28"/>
          <w:lang w:val="bg-BG"/>
        </w:rPr>
        <w:t>3-</w:t>
      </w:r>
      <w:r w:rsidRPr="009F6F76">
        <w:rPr>
          <w:rFonts w:cs="Times New Roman"/>
          <w:szCs w:val="28"/>
        </w:rPr>
        <w:t xml:space="preserve">компонентна емпирична структура със собствени стойности 3.404, 2.587 и 2.028, която обяснява 44.54% от общата дисперсия. Първият компонент е определен като „Позитивно психологическо функциониране“ и включва твърдения, свързани с личностното развитие, управлението на средата, автономността и позитивното функциониране. Вторият компонент е определен като „Емоционална и социална неудовлетвореност“ и обхваща твърдения, </w:t>
      </w:r>
      <w:r w:rsidRPr="009F6F76">
        <w:rPr>
          <w:rFonts w:cs="Times New Roman"/>
          <w:szCs w:val="28"/>
        </w:rPr>
        <w:lastRenderedPageBreak/>
        <w:t>свързани с неудовлетвореността от себе си и отношенията с другите. Третият компонент е определен като „Цел в живота“.</w:t>
      </w:r>
    </w:p>
    <w:p w:rsidR="00DB30B4" w:rsidRPr="00DB30B4" w:rsidRDefault="00DB30B4" w:rsidP="00850EFA">
      <w:pPr>
        <w:spacing w:before="100" w:beforeAutospacing="1" w:after="100" w:afterAutospacing="1"/>
        <w:rPr>
          <w:rFonts w:cs="Times New Roman"/>
          <w:szCs w:val="28"/>
        </w:rPr>
      </w:pPr>
      <w:r w:rsidRPr="00DB30B4">
        <w:rPr>
          <w:rFonts w:cs="Times New Roman"/>
          <w:szCs w:val="28"/>
        </w:rPr>
        <w:t xml:space="preserve">Установените емпирични структури в настоящото изследване показват както съответствия, така и различия спрямо оригиналните концептуални структури на използваните измервателни инструменти. При „Скала за възприеманата родителска подкрепа за автономността“ са установени шест компонента, чийто брой съответства на шестте аспекта на родителското поведение, разграничени в оригиналния инструмент. Съдържанието на компонентите в настоящата извадка също е близко до тези аспекти, поради което са запазени съответните наименования. При „Скала за психологическо благополучие“ установената </w:t>
      </w:r>
      <w:r w:rsidRPr="00DE157F">
        <w:rPr>
          <w:rFonts w:cs="Times New Roman"/>
          <w:szCs w:val="28"/>
          <w:lang w:val="bg-BG"/>
        </w:rPr>
        <w:t>3-</w:t>
      </w:r>
      <w:r w:rsidRPr="00DB30B4">
        <w:rPr>
          <w:rFonts w:cs="Times New Roman"/>
          <w:szCs w:val="28"/>
        </w:rPr>
        <w:t xml:space="preserve">компонентна емпирична структура се различава от оригиналния </w:t>
      </w:r>
      <w:r w:rsidRPr="00DE157F">
        <w:rPr>
          <w:rFonts w:cs="Times New Roman"/>
          <w:szCs w:val="28"/>
          <w:lang w:val="bg-BG"/>
        </w:rPr>
        <w:t>6-</w:t>
      </w:r>
      <w:r w:rsidRPr="00DB30B4">
        <w:rPr>
          <w:rFonts w:cs="Times New Roman"/>
          <w:szCs w:val="28"/>
        </w:rPr>
        <w:t>измерен модел на К. Риф. Поради това наименованията на компонентите в настоящия доклад са формулирани въз основа на съдържанието на включените в тях твърдения и отразяват структурата, установена в българската извадка.</w:t>
      </w:r>
    </w:p>
    <w:p w:rsidR="00FE1C9E" w:rsidRPr="00DE157F" w:rsidRDefault="00340943" w:rsidP="00850EFA">
      <w:pPr>
        <w:pStyle w:val="NormalWeb"/>
        <w:ind w:firstLine="0"/>
        <w:rPr>
          <w:sz w:val="28"/>
          <w:szCs w:val="28"/>
        </w:rPr>
      </w:pPr>
      <w:r w:rsidRPr="00340943">
        <w:rPr>
          <w:b/>
          <w:sz w:val="28"/>
          <w:szCs w:val="28"/>
        </w:rPr>
        <w:t>Връзки между родителското поведение и психологическото благополучие</w:t>
      </w:r>
      <w:r w:rsidR="009F6F76" w:rsidRPr="00DE157F">
        <w:rPr>
          <w:sz w:val="28"/>
          <w:szCs w:val="28"/>
          <w:lang w:val="bg-BG"/>
        </w:rPr>
        <w:t xml:space="preserve">. </w:t>
      </w:r>
      <w:r w:rsidR="00FE1C9E" w:rsidRPr="00DE157F">
        <w:rPr>
          <w:sz w:val="28"/>
          <w:szCs w:val="28"/>
        </w:rPr>
        <w:t>Резултатите от извършения корелационен анализ показват статистически значими отношения между различните аспекти на „Възприемана родителска подкрепа за автономността“ и „Психологическо благополучие“. При подкрепящите родителски практики се установява сходен модел на връзки с двата разглеждани аспекта на психологическото благополучие. „Предлагане на избор“, „Обясняване на причините“ и „Приемане на чувствата“ са положително свързани с „Позитивно психологическо функциониране“, като при майката корелациите са съответно r=.455, r=.352 и r=.445 (p&lt;.001), а при бащата – r=.440, r=.359 и r=.429 (p&lt;.001). Същевременно и трите практики показват отрицателни връзки с „Емоционална и социална неудовлетвореност“. При майката корелациите са съответно r=-.293 (p&lt;.001), r=-.168 (p&lt;.01) и r=-.358 (p&lt;.001), а при бащата – r=-.295, r=-.196 и r=-.350 (p&lt;.001).</w:t>
      </w:r>
    </w:p>
    <w:p w:rsidR="00FE1C9E" w:rsidRPr="00DE157F" w:rsidRDefault="00FE1C9E" w:rsidP="00850EFA">
      <w:pPr>
        <w:pStyle w:val="NormalWeb"/>
        <w:ind w:firstLine="0"/>
        <w:rPr>
          <w:sz w:val="28"/>
          <w:szCs w:val="28"/>
        </w:rPr>
      </w:pPr>
      <w:r w:rsidRPr="00FE1C9E">
        <w:rPr>
          <w:sz w:val="28"/>
          <w:szCs w:val="28"/>
        </w:rPr>
        <w:t>При контролиращите родителски практики се установява противоположен модел на връзки с „Позитивно психологическо функциониране“. „Контрол чрез заплахи и наказания“ и „Контрол чрез вина и срам“ показват отрицателни статистически връзки с този аспект както при майката, така и при бащата. За „Контрол чрез заплахи и наказания“ корелациите са съответно r=-.337 и r=-.314, а за „Контрол чрез вина и срам“ – r=-.389 и r=-.420 (p&lt;.001). „Натиск за представяне“ също е отрицателно свързан с „Позитивно психологическо функциониране“, макар и с по-ниска сила на връзката – r=-.167 при майката и r=-.177 при бащата (p&lt;.01).</w:t>
      </w:r>
    </w:p>
    <w:p w:rsidR="00FE1C9E" w:rsidRPr="00DE157F" w:rsidRDefault="00FE1C9E" w:rsidP="00850EFA">
      <w:pPr>
        <w:pStyle w:val="NormalWeb"/>
        <w:ind w:firstLine="0"/>
        <w:rPr>
          <w:sz w:val="28"/>
          <w:szCs w:val="28"/>
        </w:rPr>
      </w:pPr>
      <w:r w:rsidRPr="00FE1C9E">
        <w:rPr>
          <w:sz w:val="28"/>
          <w:szCs w:val="28"/>
        </w:rPr>
        <w:lastRenderedPageBreak/>
        <w:t>Сходен, но противоположен по посока модел</w:t>
      </w:r>
      <w:r w:rsidRPr="00DE157F">
        <w:rPr>
          <w:sz w:val="28"/>
          <w:szCs w:val="28"/>
          <w:lang w:val="bg-BG"/>
        </w:rPr>
        <w:t>,</w:t>
      </w:r>
      <w:r w:rsidRPr="00FE1C9E">
        <w:rPr>
          <w:sz w:val="28"/>
          <w:szCs w:val="28"/>
        </w:rPr>
        <w:t xml:space="preserve"> се установява при „Емоционална и социална неудовлетвореност“. „Контрол чрез вина и срам“ показва положителни статистически връзки както при майката (r=.430, p&lt;.001), така и при бащата (r=.434, p&lt;.001). Положителни са и връзките с „Контрол чрез заплахи и наказания“ – съответно r=.353 и r=.361 (p&lt;.001). За разлика от тези контролиращи практики, „Приемане на чувствата“ е отрицателно свързано с „Емоционална и социална неудовлетвореност“, като корелациите са r=-.358 при майката и r=-.350 при бащата (p&lt;.001).</w:t>
      </w:r>
    </w:p>
    <w:p w:rsidR="00FE1C9E" w:rsidRPr="00FE1C9E" w:rsidRDefault="00FE1C9E" w:rsidP="00850EFA">
      <w:pPr>
        <w:pStyle w:val="NormalWeb"/>
        <w:ind w:firstLine="0"/>
        <w:rPr>
          <w:sz w:val="28"/>
          <w:szCs w:val="28"/>
        </w:rPr>
      </w:pPr>
      <w:r w:rsidRPr="00FE1C9E">
        <w:rPr>
          <w:sz w:val="28"/>
          <w:szCs w:val="28"/>
        </w:rPr>
        <w:t>По отношение на „Цел в живота“ се установяват статистически значими връзки както с подкрепящите автономността, така и с контролиращите родителски практики. Поради зависимостта на посоката на някои от тези отношения от начина на кодиране на включените твърдения, резултатите следва да се интерпретират с оглед на приложеното кодиране, без допълнително съдържателно преобръщане на установените статистически зависимости.</w:t>
      </w:r>
    </w:p>
    <w:p w:rsidR="005F1A54" w:rsidRPr="005F1A54" w:rsidRDefault="005F1A54" w:rsidP="00850EFA">
      <w:pPr>
        <w:spacing w:before="100" w:beforeAutospacing="1" w:after="100" w:afterAutospacing="1"/>
        <w:rPr>
          <w:rFonts w:cs="Times New Roman"/>
          <w:szCs w:val="28"/>
        </w:rPr>
      </w:pPr>
      <w:r w:rsidRPr="005F1A54">
        <w:rPr>
          <w:rFonts w:cs="Times New Roman"/>
          <w:b/>
          <w:szCs w:val="28"/>
        </w:rPr>
        <w:t>Регресионни анализи на психологическото благополучие</w:t>
      </w:r>
      <w:r w:rsidRPr="005F1A54">
        <w:rPr>
          <w:rFonts w:cs="Times New Roman"/>
          <w:szCs w:val="28"/>
        </w:rPr>
        <w:t>. За допълнително изследване на статистическите отношения са проведени линейни регресионни анализи, при които отделните аспекти на родителското поведение са разгледани като статистически предиктори на аспектите на психологическото благополучие. В анализа е включен и показателят „Пренебрегване“ от „Въпросник за проблемна употреба на интернет“, тъй като показва статистически значими връзки с психологическото благополучие.</w:t>
      </w:r>
      <w:r w:rsidR="000D0019" w:rsidRPr="00DE157F">
        <w:rPr>
          <w:rFonts w:cs="Times New Roman"/>
          <w:szCs w:val="28"/>
          <w:lang w:val="bg-BG"/>
        </w:rPr>
        <w:t xml:space="preserve"> </w:t>
      </w:r>
      <w:r w:rsidRPr="005F1A54">
        <w:rPr>
          <w:rFonts w:cs="Times New Roman"/>
          <w:szCs w:val="28"/>
        </w:rPr>
        <w:t>По отношение на „Позитивно психологическо функциониране“ всички разгледани подкрепящи родителски практики се очертават като статистически значими положителни предиктори. „Предлагане на избор“ показва най-силна предиктивна връзка както при майката (β=.455, p&lt;.001; коригиран R²=.205), така и при бащата (β=.440, p&lt;.001; коригиран R²=.191). „Приемане на чувствата“ също е статистически значим положителен предиктор, като стойностите са β=.445, p&lt;.001; коригиран R²=.196 при майката и β=.429, p&lt;.001; коригиран R²=.181 при бащата. „Обясняване на причините“ показва съответно β=.352, p&lt;.001; коригиран R²=.122 при майката и β=.359, p&lt;.001; коригиран R²=.126 при бащата.</w:t>
      </w:r>
    </w:p>
    <w:p w:rsidR="005F1A54" w:rsidRPr="005F1A54" w:rsidRDefault="005F1A54" w:rsidP="00850EFA">
      <w:pPr>
        <w:spacing w:before="100" w:beforeAutospacing="1" w:after="100" w:afterAutospacing="1"/>
        <w:rPr>
          <w:rFonts w:cs="Times New Roman"/>
          <w:szCs w:val="28"/>
        </w:rPr>
      </w:pPr>
      <w:r w:rsidRPr="005F1A54">
        <w:rPr>
          <w:rFonts w:cs="Times New Roman"/>
          <w:szCs w:val="28"/>
        </w:rPr>
        <w:t xml:space="preserve">Контролиращите родителски практики показват обратен модел на статистически предиктивни отношения с „Позитивно психологическо функциониране“. „Контрол чрез вина и срам“ е отрицателен статистически предиктор както при майката (β=-.389, p&lt;.001; коригиран R²=.149), така и при бащата (β=-.420, p&lt;.001; коригиран R²=.174). Същата посока се установява при „Контрол чрез заплахи и наказания“ – β=-.337, p&lt;.001; коригиран R²=.111 при </w:t>
      </w:r>
      <w:r w:rsidRPr="005F1A54">
        <w:rPr>
          <w:rFonts w:cs="Times New Roman"/>
          <w:szCs w:val="28"/>
        </w:rPr>
        <w:lastRenderedPageBreak/>
        <w:t>майката и β=-.314, p&lt;.001; коригиран R²=.096 при бащата. „Натиск за представяне“ също е статистически значим отрицателен предиктор, макар и с по-ниска стойност на стандартизирания регресионен коефициент – β=-.167, p&lt;.01 при майката и β=-.177, p&lt;.01 при бащата.</w:t>
      </w:r>
      <w:r w:rsidR="000D0019" w:rsidRPr="00DE157F">
        <w:rPr>
          <w:rFonts w:cs="Times New Roman"/>
          <w:szCs w:val="28"/>
          <w:lang w:val="bg-BG"/>
        </w:rPr>
        <w:t xml:space="preserve"> </w:t>
      </w:r>
      <w:r w:rsidRPr="005F1A54">
        <w:rPr>
          <w:rFonts w:cs="Times New Roman"/>
          <w:szCs w:val="28"/>
        </w:rPr>
        <w:t>„Пренебрегване“ също се очертава като статистически значим отрицателен предиктор на „Позитивно психологическо функциониране“ (β=-.331, p&lt;.001; коригиран R²=.107). По-високите стойности на „Пренебрегване“ са статистически свързани с по-ниски стойности на „Позитивно психологическо функциониране“.</w:t>
      </w:r>
      <w:r w:rsidR="000D0019" w:rsidRPr="00DE157F">
        <w:rPr>
          <w:rFonts w:cs="Times New Roman"/>
          <w:szCs w:val="28"/>
          <w:lang w:val="bg-BG"/>
        </w:rPr>
        <w:t xml:space="preserve"> </w:t>
      </w:r>
      <w:r w:rsidRPr="005F1A54">
        <w:rPr>
          <w:rFonts w:cs="Times New Roman"/>
          <w:szCs w:val="28"/>
        </w:rPr>
        <w:t>При „Емоционална и социална неудовлетвореност“ се установява обратна посока на предиктивните отношения. „Пренебрегване“ е статистически значим положителен предиктор (β=.391, p&lt;.001; коригиран R²=.151). „Контрол чрез вина и срам“ също показва положителна предиктивна връзка както при бащата (β=.434, p&lt;.001), така и при майката (β=.430, p&lt;.001). Същата посока се установява при „Контрол чрез заплахи и наказания“ – β=.361, p&lt;.001 при бащата и β=.353, p&lt;.001 при майката. За разлика от контролиращите практики, „Приемане на чувствата“ е отрицателен статистически предиктор на „Емоционална и социална неудовлетвореност“ – β=-.350, p&lt;.001 при бащата и β=-.358, p&lt;.001 при майката. „Обясняване на причините“ от страна на майката също е отрицателен статистически предиктор (β=-.168, p=.002; коригиран R²=.025).</w:t>
      </w:r>
    </w:p>
    <w:p w:rsidR="005F1A54" w:rsidRPr="00DE157F" w:rsidRDefault="005F1A54" w:rsidP="00850EFA">
      <w:pPr>
        <w:spacing w:before="100" w:beforeAutospacing="1" w:after="100" w:afterAutospacing="1"/>
        <w:rPr>
          <w:rFonts w:cs="Times New Roman"/>
          <w:szCs w:val="28"/>
        </w:rPr>
      </w:pPr>
      <w:r w:rsidRPr="005F1A54">
        <w:rPr>
          <w:rFonts w:cs="Times New Roman"/>
          <w:szCs w:val="28"/>
        </w:rPr>
        <w:t>При „Цел в живота“ статистически значими предиктивни отношения се установяват както за подкрепящи автономността, така и за контролиращи родителски практики. „Контрол чрез вина и срам“ е положителен статистически предиктор както при бащата (β=.322, p&lt;.001; коригиран R²=.101), така и при майката (β=.283, p&lt;.001). „Контрол чрез заплахи и наказания“ също показва статистически значима положителна предиктивна връзка при бащата (β=.259, p&lt;.001) и при майката (β=.251, p&lt;.001). „Приемане на чувствата“ е отрицателен статистически предиктор при бащата (β=-.314, p&lt;.001) и при майката (β=-.298, p&lt;.001). „Обясняване на причините“ също показва отрицателна предиктивна връзка – β=-.314, p&lt;.001 при бащата и β=-.295, p&lt;.001 при майката.</w:t>
      </w:r>
    </w:p>
    <w:p w:rsidR="005F1A54" w:rsidRPr="005F1A54" w:rsidRDefault="005F1A54" w:rsidP="00850EFA">
      <w:pPr>
        <w:spacing w:before="100" w:beforeAutospacing="1" w:after="100" w:afterAutospacing="1"/>
        <w:rPr>
          <w:rFonts w:cs="Times New Roman"/>
          <w:szCs w:val="28"/>
        </w:rPr>
      </w:pPr>
      <w:r w:rsidRPr="00DE157F">
        <w:rPr>
          <w:szCs w:val="28"/>
        </w:rPr>
        <w:t xml:space="preserve">Като цяло </w:t>
      </w:r>
      <w:r w:rsidR="0051356A" w:rsidRPr="00DE157F">
        <w:rPr>
          <w:szCs w:val="28"/>
          <w:lang w:val="bg-BG"/>
        </w:rPr>
        <w:t xml:space="preserve">резултатите от </w:t>
      </w:r>
      <w:r w:rsidRPr="00DE157F">
        <w:rPr>
          <w:szCs w:val="28"/>
        </w:rPr>
        <w:t xml:space="preserve">регресионните анализи показват последователен модел на статистически значими предиктивни отношения между възприеманото родителско поведение и аспектите на психологическото благополучие. Подкрепящите автономността практики са положителни статистически предиктори на „Позитивно психологическо функциониране“, докато контролиращите практики са отрицателни предиктори на този аспект и положителни предиктори на „Емоционална и социална неудовлетвореност“. </w:t>
      </w:r>
      <w:r w:rsidRPr="00DE157F">
        <w:rPr>
          <w:szCs w:val="28"/>
        </w:rPr>
        <w:lastRenderedPageBreak/>
        <w:t>„Пренебрегване“ показва отрицателна предиктивна връзка с „Позитивно психологическо функциониране“ и положителна с „Емоционална и социална неудовлетвореност“. Тези резултати се установяват както при възприеман</w:t>
      </w:r>
      <w:r w:rsidR="0051356A" w:rsidRPr="00DE157F">
        <w:rPr>
          <w:szCs w:val="28"/>
          <w:lang w:val="bg-BG"/>
        </w:rPr>
        <w:t xml:space="preserve">ата подкрепа от страна </w:t>
      </w:r>
      <w:r w:rsidRPr="00DE157F">
        <w:rPr>
          <w:szCs w:val="28"/>
        </w:rPr>
        <w:t xml:space="preserve">на майката, така и при </w:t>
      </w:r>
      <w:r w:rsidR="0051356A" w:rsidRPr="00DE157F">
        <w:rPr>
          <w:szCs w:val="28"/>
          <w:lang w:val="bg-BG"/>
        </w:rPr>
        <w:t>това</w:t>
      </w:r>
      <w:r w:rsidRPr="00DE157F">
        <w:rPr>
          <w:szCs w:val="28"/>
        </w:rPr>
        <w:t xml:space="preserve"> на бащата.</w:t>
      </w:r>
    </w:p>
    <w:p w:rsidR="00340943" w:rsidRPr="00340943" w:rsidRDefault="00340943" w:rsidP="00850EFA">
      <w:pPr>
        <w:spacing w:before="100" w:beforeAutospacing="1" w:after="100" w:afterAutospacing="1"/>
        <w:rPr>
          <w:rFonts w:cs="Times New Roman"/>
          <w:b/>
          <w:szCs w:val="28"/>
        </w:rPr>
      </w:pPr>
      <w:r w:rsidRPr="00340943">
        <w:rPr>
          <w:rFonts w:cs="Times New Roman"/>
          <w:b/>
          <w:szCs w:val="28"/>
        </w:rPr>
        <w:t>ОБСЪЖДАНЕ</w:t>
      </w:r>
    </w:p>
    <w:p w:rsidR="00412BAB" w:rsidRPr="00DE157F" w:rsidRDefault="00412BAB" w:rsidP="00850EFA">
      <w:pPr>
        <w:spacing w:before="100" w:beforeAutospacing="1" w:after="100" w:afterAutospacing="1"/>
        <w:rPr>
          <w:rFonts w:cs="Times New Roman"/>
          <w:szCs w:val="28"/>
        </w:rPr>
      </w:pPr>
      <w:r w:rsidRPr="00DE157F">
        <w:rPr>
          <w:rFonts w:cs="Times New Roman"/>
          <w:szCs w:val="28"/>
          <w:lang w:val="bg-BG"/>
        </w:rPr>
        <w:t>Получените в настоящото изследване резултати</w:t>
      </w:r>
      <w:r w:rsidRPr="00412BAB">
        <w:rPr>
          <w:rFonts w:cs="Times New Roman"/>
          <w:szCs w:val="28"/>
        </w:rPr>
        <w:t xml:space="preserve"> очертават последователен модел на статистически значими отношения между възприеманите родителски практики и психологическото благополучие в юношеска възраст. Най-ясно изразени са положителните връзки на „Предлагане на избор“, „Приемане на чувствата“ и „Обясняване на причините“ с „Позитивно психологическо функциониране“. Тези резултати са в съответствие с разбирането за подкрепата за автономността като родителска практика, която създава пространство за самостоятелност, признава емоционалните преживявания на юношата и подпомага разбирането на основанията за родителските очаквания.</w:t>
      </w:r>
      <w:r w:rsidRPr="00DE157F">
        <w:rPr>
          <w:rFonts w:cs="Times New Roman"/>
          <w:szCs w:val="28"/>
          <w:lang w:val="bg-BG"/>
        </w:rPr>
        <w:t xml:space="preserve"> </w:t>
      </w:r>
      <w:r w:rsidRPr="00412BAB">
        <w:rPr>
          <w:rFonts w:cs="Times New Roman"/>
          <w:szCs w:val="28"/>
        </w:rPr>
        <w:t>Обратен модел се установява при контролиращите практики. „Контрол чрез вина и срам“ и „Контрол чрез заплахи и наказания“ са отрицателни статистически предиктори на „Позитивно психологическо функциониране“ и положителни предиктори на „Емоционална и социална неудовлетвореност“. Най-силната от установените предиктивни връзки е между „Контрол чрез вина и срам“ и „Позитивно психологическо функциониране“ при бащата (β=-.420, p&lt;.001), следвана от същата връзка при майката (β=-.389, p&lt;.001). Сходният модел при възприеман</w:t>
      </w:r>
      <w:r w:rsidRPr="00DE157F">
        <w:rPr>
          <w:rFonts w:cs="Times New Roman"/>
          <w:szCs w:val="28"/>
          <w:lang w:val="bg-BG"/>
        </w:rPr>
        <w:t xml:space="preserve">ата подкрепа от страна </w:t>
      </w:r>
      <w:r w:rsidRPr="00412BAB">
        <w:rPr>
          <w:rFonts w:cs="Times New Roman"/>
          <w:szCs w:val="28"/>
        </w:rPr>
        <w:t>на майката и</w:t>
      </w:r>
      <w:r w:rsidRPr="00DE157F">
        <w:rPr>
          <w:rFonts w:cs="Times New Roman"/>
          <w:szCs w:val="28"/>
          <w:lang w:val="bg-BG"/>
        </w:rPr>
        <w:t xml:space="preserve"> на</w:t>
      </w:r>
      <w:r w:rsidRPr="00412BAB">
        <w:rPr>
          <w:rFonts w:cs="Times New Roman"/>
          <w:szCs w:val="28"/>
        </w:rPr>
        <w:t xml:space="preserve"> бащата показва, че в настоящата извадка характерът на родителската практика е по-съществен за разграничаването на показателите на психологическото благополучие от това кой е родителят.</w:t>
      </w:r>
    </w:p>
    <w:p w:rsidR="00412BAB" w:rsidRPr="00412BAB" w:rsidRDefault="00412BAB" w:rsidP="00850EFA">
      <w:pPr>
        <w:spacing w:before="100" w:beforeAutospacing="1" w:after="100" w:afterAutospacing="1"/>
        <w:rPr>
          <w:rFonts w:cs="Times New Roman"/>
          <w:szCs w:val="28"/>
        </w:rPr>
      </w:pPr>
      <w:r w:rsidRPr="00412BAB">
        <w:rPr>
          <w:rFonts w:cs="Times New Roman"/>
          <w:szCs w:val="28"/>
        </w:rPr>
        <w:t>Допълнителният анализ на „Пренебрегване“ показва статистически значими отрицателни отношения с „Позитивно психологическо функциониране“ и положителни отношения с „Емоционална и социална неудовлетвореност“. Този резултат допълва основния модел, като показва, че проблемните характеристики на употребата на интернет също са статистически свързани с показателите на психологическото благополучие.</w:t>
      </w:r>
    </w:p>
    <w:p w:rsidR="00412BAB" w:rsidRPr="00412BAB" w:rsidRDefault="00B82A35" w:rsidP="00850EFA">
      <w:pPr>
        <w:spacing w:before="100" w:beforeAutospacing="1" w:after="100" w:afterAutospacing="1"/>
        <w:rPr>
          <w:rFonts w:cs="Times New Roman"/>
          <w:szCs w:val="28"/>
        </w:rPr>
      </w:pPr>
      <w:r w:rsidRPr="00B82A35">
        <w:rPr>
          <w:rFonts w:cs="Times New Roman"/>
          <w:b/>
          <w:szCs w:val="28"/>
          <w:lang w:val="bg-BG"/>
        </w:rPr>
        <w:t>ОГРАНИЧЕНИЯ НА ИЗСЛЕДВАНЕТО</w:t>
      </w:r>
      <w:r>
        <w:rPr>
          <w:rFonts w:cs="Times New Roman"/>
          <w:szCs w:val="28"/>
          <w:lang w:val="bg-BG"/>
        </w:rPr>
        <w:t xml:space="preserve">. </w:t>
      </w:r>
      <w:r w:rsidR="00412BAB" w:rsidRPr="00412BAB">
        <w:rPr>
          <w:rFonts w:cs="Times New Roman"/>
          <w:szCs w:val="28"/>
        </w:rPr>
        <w:t xml:space="preserve">Напречният дизайн не позволява установяване на причинно-следствени отношения и не изключва възможността психологическото функциониране на юношите да влияе върху начина, по който те възприемат родителското поведение. Поради това терминът „предиктор“ обозначава статистическото участие на съответната променлива в </w:t>
      </w:r>
      <w:r w:rsidR="00412BAB" w:rsidRPr="00412BAB">
        <w:rPr>
          <w:rFonts w:cs="Times New Roman"/>
          <w:szCs w:val="28"/>
        </w:rPr>
        <w:lastRenderedPageBreak/>
        <w:t>регресионния модел, а не доказано причинно влияние.</w:t>
      </w:r>
      <w:r w:rsidR="00EF5FF6">
        <w:rPr>
          <w:rFonts w:cs="Times New Roman"/>
          <w:szCs w:val="28"/>
          <w:lang w:val="bg-BG"/>
        </w:rPr>
        <w:t xml:space="preserve"> </w:t>
      </w:r>
      <w:r w:rsidR="00412BAB" w:rsidRPr="00412BAB">
        <w:rPr>
          <w:rFonts w:cs="Times New Roman"/>
          <w:szCs w:val="28"/>
        </w:rPr>
        <w:t>Като цяло резултатите подчертават значението на качеството на родителските взаимодействия за психологическото функциониране в юношеска възраст. Практиките, свързани с предоставяне на избор, приемане на чувствата и обясняване на причините, се асоциират с по-благоприятни показатели, докато контролирането чрез вина, срам, заплахи и наказания е свързано с по-неблагоприятен профил на психологическото благополучие. Необходими са надлъжни и експериментални изследвания за по-надеждно изясняване на посоката и механизмите на тези отношения.</w:t>
      </w:r>
    </w:p>
    <w:p w:rsidR="001F1A8A" w:rsidRPr="00DE157F" w:rsidRDefault="001F1A8A" w:rsidP="00850EFA">
      <w:pPr>
        <w:spacing w:before="100" w:beforeAutospacing="1" w:after="100" w:afterAutospacing="1"/>
        <w:rPr>
          <w:rFonts w:cs="Times New Roman"/>
          <w:szCs w:val="28"/>
        </w:rPr>
      </w:pPr>
    </w:p>
    <w:p w:rsidR="001F1A8A" w:rsidRPr="00DE157F" w:rsidRDefault="001F1A8A" w:rsidP="00850EFA">
      <w:pPr>
        <w:autoSpaceDE w:val="0"/>
        <w:autoSpaceDN w:val="0"/>
        <w:adjustRightInd w:val="0"/>
        <w:spacing w:after="0"/>
        <w:rPr>
          <w:rFonts w:cs="Times New Roman"/>
          <w:szCs w:val="28"/>
          <w:lang w:val="bg-BG"/>
        </w:rPr>
      </w:pPr>
      <w:r w:rsidRPr="00EF1DA7">
        <w:rPr>
          <w:rFonts w:cs="Times New Roman"/>
          <w:b/>
          <w:szCs w:val="28"/>
        </w:rPr>
        <w:t>ФИНАНСИРАНЕ</w:t>
      </w:r>
      <w:r w:rsidRPr="00DE157F">
        <w:rPr>
          <w:rFonts w:cs="Times New Roman"/>
          <w:szCs w:val="28"/>
          <w:lang w:val="bg-BG"/>
        </w:rPr>
        <w:t xml:space="preserve">. Настоящото изследване е реализирано по проект </w:t>
      </w:r>
      <w:r w:rsidRPr="00DE157F">
        <w:rPr>
          <w:rFonts w:cs="Times New Roman"/>
          <w:szCs w:val="28"/>
        </w:rPr>
        <w:t>№ 80-10-2/</w:t>
      </w:r>
      <w:r w:rsidRPr="00DE157F">
        <w:rPr>
          <w:rFonts w:cs="Times New Roman"/>
          <w:szCs w:val="28"/>
          <w:lang w:val="bg-BG"/>
        </w:rPr>
        <w:t xml:space="preserve"> </w:t>
      </w:r>
      <w:r w:rsidRPr="00DE157F">
        <w:rPr>
          <w:rFonts w:cs="Times New Roman"/>
          <w:szCs w:val="28"/>
        </w:rPr>
        <w:t>27.03.202</w:t>
      </w:r>
      <w:r w:rsidRPr="00DE157F">
        <w:rPr>
          <w:rFonts w:cs="Times New Roman"/>
          <w:szCs w:val="28"/>
          <w:lang w:val="bg-BG"/>
        </w:rPr>
        <w:t>6</w:t>
      </w:r>
      <w:r w:rsidRPr="00DE157F">
        <w:rPr>
          <w:rFonts w:cs="Times New Roman"/>
          <w:szCs w:val="28"/>
        </w:rPr>
        <w:t xml:space="preserve"> г.</w:t>
      </w:r>
      <w:r w:rsidRPr="00DE157F">
        <w:rPr>
          <w:rFonts w:cs="Times New Roman"/>
          <w:szCs w:val="28"/>
          <w:lang w:val="bg-BG"/>
        </w:rPr>
        <w:t xml:space="preserve"> на тема: </w:t>
      </w:r>
      <w:r w:rsidRPr="00DE157F">
        <w:rPr>
          <w:rFonts w:cs="Times New Roman"/>
          <w:szCs w:val="28"/>
        </w:rPr>
        <w:t>„</w:t>
      </w:r>
      <w:r w:rsidRPr="00DE157F">
        <w:rPr>
          <w:rFonts w:cs="Times New Roman"/>
          <w:i/>
          <w:szCs w:val="28"/>
        </w:rPr>
        <w:t>Семейната подкрепа и дигиталните навици на юношите като</w:t>
      </w:r>
      <w:r w:rsidRPr="00DE157F">
        <w:rPr>
          <w:rFonts w:cs="Times New Roman"/>
          <w:i/>
          <w:szCs w:val="28"/>
          <w:lang w:val="bg-BG"/>
        </w:rPr>
        <w:t xml:space="preserve"> </w:t>
      </w:r>
      <w:r w:rsidRPr="00DE157F">
        <w:rPr>
          <w:rFonts w:cs="Times New Roman"/>
          <w:i/>
          <w:szCs w:val="28"/>
        </w:rPr>
        <w:t>предиктори на академичната мотивация и психичното благополучие</w:t>
      </w:r>
      <w:r w:rsidRPr="00DE157F">
        <w:rPr>
          <w:rFonts w:cs="Times New Roman"/>
          <w:szCs w:val="28"/>
        </w:rPr>
        <w:t>“</w:t>
      </w:r>
      <w:r w:rsidRPr="00DE157F">
        <w:rPr>
          <w:rFonts w:cs="Times New Roman"/>
          <w:szCs w:val="28"/>
          <w:lang w:val="bg-BG"/>
        </w:rPr>
        <w:t xml:space="preserve"> с научен ръководител проф. дпсн Й. Янкулова. Проектът е финансиран по линия на ФНИ на ФФ на СУ „Св. Кл. Охридски“.</w:t>
      </w:r>
    </w:p>
    <w:p w:rsidR="001F1A8A" w:rsidRPr="00DE157F" w:rsidRDefault="001F1A8A" w:rsidP="00850EFA">
      <w:pPr>
        <w:spacing w:before="100" w:beforeAutospacing="1" w:after="100" w:afterAutospacing="1"/>
        <w:rPr>
          <w:rFonts w:cs="Times New Roman"/>
          <w:szCs w:val="28"/>
        </w:rPr>
      </w:pPr>
    </w:p>
    <w:p w:rsidR="00AD358F" w:rsidRPr="00AD358F" w:rsidRDefault="00AD358F" w:rsidP="00850EFA">
      <w:pPr>
        <w:spacing w:before="100" w:beforeAutospacing="1" w:after="100" w:afterAutospacing="1"/>
        <w:jc w:val="left"/>
        <w:rPr>
          <w:rFonts w:cs="Times New Roman"/>
          <w:b/>
          <w:szCs w:val="28"/>
        </w:rPr>
      </w:pPr>
      <w:r w:rsidRPr="00AD358F">
        <w:rPr>
          <w:rFonts w:cs="Times New Roman"/>
          <w:b/>
          <w:szCs w:val="28"/>
        </w:rPr>
        <w:t>БЕЛЕЖКИ</w:t>
      </w:r>
    </w:p>
    <w:p w:rsidR="00AD358F" w:rsidRPr="00AD358F" w:rsidRDefault="00AD358F" w:rsidP="00850EFA">
      <w:pPr>
        <w:spacing w:before="100" w:beforeAutospacing="1" w:after="100" w:afterAutospacing="1"/>
        <w:rPr>
          <w:rFonts w:cs="Times New Roman"/>
          <w:szCs w:val="28"/>
        </w:rPr>
      </w:pPr>
      <w:r w:rsidRPr="00AD358F">
        <w:rPr>
          <w:rFonts w:cs="Times New Roman"/>
          <w:szCs w:val="28"/>
        </w:rPr>
        <w:t xml:space="preserve">[1] Deci, E. L. &amp; Ryan, R. M. (2000). The “what” and “why” of goal pursuits: Human needs and the self-determination of behavior. </w:t>
      </w:r>
      <w:r w:rsidRPr="00DE157F">
        <w:rPr>
          <w:rFonts w:cs="Times New Roman"/>
          <w:i/>
          <w:iCs/>
          <w:szCs w:val="28"/>
        </w:rPr>
        <w:t>Psychological Inquiry, 11</w:t>
      </w:r>
      <w:r w:rsidRPr="00AD358F">
        <w:rPr>
          <w:rFonts w:cs="Times New Roman"/>
          <w:szCs w:val="28"/>
        </w:rPr>
        <w:t xml:space="preserve"> (4), pp. 227</w:t>
      </w:r>
      <w:r w:rsidR="00FF7F46">
        <w:rPr>
          <w:rFonts w:cs="Times New Roman"/>
          <w:szCs w:val="28"/>
          <w:lang w:val="bg-BG"/>
        </w:rPr>
        <w:t>-</w:t>
      </w:r>
      <w:r w:rsidRPr="00AD358F">
        <w:rPr>
          <w:rFonts w:cs="Times New Roman"/>
          <w:szCs w:val="28"/>
        </w:rPr>
        <w:t>268.</w:t>
      </w:r>
    </w:p>
    <w:p w:rsidR="00AD358F" w:rsidRPr="00AD358F" w:rsidRDefault="00AD358F" w:rsidP="00850EFA">
      <w:pPr>
        <w:spacing w:before="100" w:beforeAutospacing="1" w:after="100" w:afterAutospacing="1"/>
        <w:rPr>
          <w:rFonts w:cs="Times New Roman"/>
          <w:szCs w:val="28"/>
        </w:rPr>
      </w:pPr>
      <w:r w:rsidRPr="00AD358F">
        <w:rPr>
          <w:rFonts w:cs="Times New Roman"/>
          <w:szCs w:val="28"/>
        </w:rPr>
        <w:t xml:space="preserve">[2] Mageau, G. A., Ranger, F., Joussemet, M., Koestner, R., Moreau, E. &amp; Forest, J. (2015). Validation of the Perceived Parental Autonomy Support Scale (P-PASS). </w:t>
      </w:r>
      <w:r w:rsidRPr="00DE157F">
        <w:rPr>
          <w:rFonts w:cs="Times New Roman"/>
          <w:i/>
          <w:iCs/>
          <w:szCs w:val="28"/>
        </w:rPr>
        <w:t>Canadian Journal of Behavioural Science / Revue canadienne des sciences du comportement, 47</w:t>
      </w:r>
      <w:r w:rsidRPr="00AD358F">
        <w:rPr>
          <w:rFonts w:cs="Times New Roman"/>
          <w:szCs w:val="28"/>
        </w:rPr>
        <w:t xml:space="preserve"> (3), pp. 251</w:t>
      </w:r>
      <w:r w:rsidR="00FF7F46">
        <w:rPr>
          <w:rFonts w:cs="Times New Roman"/>
          <w:szCs w:val="28"/>
          <w:lang w:val="bg-BG"/>
        </w:rPr>
        <w:t>-</w:t>
      </w:r>
      <w:r w:rsidRPr="00AD358F">
        <w:rPr>
          <w:rFonts w:cs="Times New Roman"/>
          <w:szCs w:val="28"/>
        </w:rPr>
        <w:t>262.</w:t>
      </w:r>
    </w:p>
    <w:p w:rsidR="00AD358F" w:rsidRPr="00AD358F" w:rsidRDefault="00AD358F" w:rsidP="00850EFA">
      <w:pPr>
        <w:spacing w:before="100" w:beforeAutospacing="1" w:after="100" w:afterAutospacing="1"/>
        <w:rPr>
          <w:rFonts w:cs="Times New Roman"/>
          <w:szCs w:val="28"/>
        </w:rPr>
      </w:pPr>
      <w:r w:rsidRPr="00AD358F">
        <w:rPr>
          <w:rFonts w:cs="Times New Roman"/>
          <w:szCs w:val="28"/>
        </w:rPr>
        <w:t xml:space="preserve">[3] Ryff, C. D. (1989). Happiness is everything, or is it? Explorations on the meaning of psychological well-being. </w:t>
      </w:r>
      <w:r w:rsidRPr="00DE157F">
        <w:rPr>
          <w:rFonts w:cs="Times New Roman"/>
          <w:i/>
          <w:iCs/>
          <w:szCs w:val="28"/>
        </w:rPr>
        <w:t>Journal of Personality and Social Psychology, 57</w:t>
      </w:r>
      <w:r w:rsidRPr="00AD358F">
        <w:rPr>
          <w:rFonts w:cs="Times New Roman"/>
          <w:szCs w:val="28"/>
        </w:rPr>
        <w:t xml:space="preserve"> (6), pp. 1069</w:t>
      </w:r>
      <w:r w:rsidR="00FF7F46">
        <w:rPr>
          <w:rFonts w:cs="Times New Roman"/>
          <w:szCs w:val="28"/>
          <w:lang w:val="bg-BG"/>
        </w:rPr>
        <w:t>-</w:t>
      </w:r>
      <w:r w:rsidRPr="00AD358F">
        <w:rPr>
          <w:rFonts w:cs="Times New Roman"/>
          <w:szCs w:val="28"/>
        </w:rPr>
        <w:t>1081.</w:t>
      </w:r>
    </w:p>
    <w:p w:rsidR="00AD358F" w:rsidRPr="00DE157F" w:rsidRDefault="00AD358F" w:rsidP="00850EFA">
      <w:pPr>
        <w:spacing w:before="100" w:beforeAutospacing="1" w:after="100" w:afterAutospacing="1"/>
        <w:rPr>
          <w:rFonts w:cs="Times New Roman"/>
          <w:szCs w:val="28"/>
        </w:rPr>
      </w:pPr>
      <w:r w:rsidRPr="00AD358F">
        <w:rPr>
          <w:rFonts w:cs="Times New Roman"/>
          <w:szCs w:val="28"/>
        </w:rPr>
        <w:t xml:space="preserve">[4] Demetrovics, Z., Szeredi, B. &amp; Rózsa, S. (2008). The three-factor model of Internet addiction: The development of the Problematic Internet Use Questionnaire. </w:t>
      </w:r>
      <w:r w:rsidRPr="00DE157F">
        <w:rPr>
          <w:rFonts w:cs="Times New Roman"/>
          <w:i/>
          <w:iCs/>
          <w:szCs w:val="28"/>
        </w:rPr>
        <w:t>Behavior Research Methods, 40</w:t>
      </w:r>
      <w:r w:rsidRPr="00AD358F">
        <w:rPr>
          <w:rFonts w:cs="Times New Roman"/>
          <w:szCs w:val="28"/>
        </w:rPr>
        <w:t xml:space="preserve"> (2), pp. 563</w:t>
      </w:r>
      <w:r w:rsidR="00FF7F46">
        <w:rPr>
          <w:rFonts w:cs="Times New Roman"/>
          <w:szCs w:val="28"/>
          <w:lang w:val="bg-BG"/>
        </w:rPr>
        <w:t>-</w:t>
      </w:r>
      <w:r w:rsidRPr="00AD358F">
        <w:rPr>
          <w:rFonts w:cs="Times New Roman"/>
          <w:szCs w:val="28"/>
        </w:rPr>
        <w:t>574.</w:t>
      </w:r>
    </w:p>
    <w:p w:rsidR="00AD358F" w:rsidRPr="00AD358F" w:rsidRDefault="00AD358F" w:rsidP="00850EFA">
      <w:pPr>
        <w:spacing w:before="100" w:beforeAutospacing="1" w:after="100" w:afterAutospacing="1"/>
        <w:rPr>
          <w:rFonts w:cs="Times New Roman"/>
          <w:szCs w:val="28"/>
        </w:rPr>
      </w:pPr>
    </w:p>
    <w:p w:rsidR="00AD358F" w:rsidRPr="00AD358F" w:rsidRDefault="00AD358F" w:rsidP="00850EFA">
      <w:pPr>
        <w:spacing w:before="100" w:beforeAutospacing="1" w:after="100" w:afterAutospacing="1"/>
        <w:rPr>
          <w:rFonts w:cs="Times New Roman"/>
          <w:b/>
          <w:szCs w:val="28"/>
        </w:rPr>
      </w:pPr>
      <w:r w:rsidRPr="00AD358F">
        <w:rPr>
          <w:rFonts w:cs="Times New Roman"/>
          <w:b/>
          <w:szCs w:val="28"/>
        </w:rPr>
        <w:lastRenderedPageBreak/>
        <w:t>ИЗПОЛЗВАНИ ИЗТОЧНИЦИ</w:t>
      </w:r>
    </w:p>
    <w:p w:rsidR="00AD358F" w:rsidRPr="00AD358F" w:rsidRDefault="00AD358F" w:rsidP="00850EFA">
      <w:pPr>
        <w:numPr>
          <w:ilvl w:val="0"/>
          <w:numId w:val="24"/>
        </w:numPr>
        <w:spacing w:before="100" w:beforeAutospacing="1" w:after="100" w:afterAutospacing="1"/>
        <w:ind w:left="0" w:firstLine="0"/>
        <w:rPr>
          <w:rFonts w:cs="Times New Roman"/>
          <w:szCs w:val="28"/>
        </w:rPr>
      </w:pPr>
      <w:r w:rsidRPr="00AD358F">
        <w:rPr>
          <w:rFonts w:cs="Times New Roman"/>
          <w:szCs w:val="28"/>
        </w:rPr>
        <w:t xml:space="preserve">Deci, E. L. &amp; Ryan, R. M. (2000). The “what” and “why” of goal pursuits: Human needs and the self-determination of behavior. </w:t>
      </w:r>
      <w:r w:rsidRPr="00DE157F">
        <w:rPr>
          <w:rFonts w:cs="Times New Roman"/>
          <w:i/>
          <w:iCs/>
          <w:szCs w:val="28"/>
        </w:rPr>
        <w:t>Psychological Inquiry, 11</w:t>
      </w:r>
      <w:r w:rsidRPr="00AD358F">
        <w:rPr>
          <w:rFonts w:cs="Times New Roman"/>
          <w:szCs w:val="28"/>
        </w:rPr>
        <w:t xml:space="preserve"> (4), pp. 227</w:t>
      </w:r>
      <w:r w:rsidR="00FF7F46">
        <w:rPr>
          <w:rFonts w:cs="Times New Roman"/>
          <w:szCs w:val="28"/>
          <w:lang w:val="bg-BG"/>
        </w:rPr>
        <w:t>-</w:t>
      </w:r>
      <w:r w:rsidRPr="00AD358F">
        <w:rPr>
          <w:rFonts w:cs="Times New Roman"/>
          <w:szCs w:val="28"/>
        </w:rPr>
        <w:t>268.</w:t>
      </w:r>
    </w:p>
    <w:p w:rsidR="00AD358F" w:rsidRPr="00AD358F" w:rsidRDefault="00AD358F" w:rsidP="00850EFA">
      <w:pPr>
        <w:numPr>
          <w:ilvl w:val="0"/>
          <w:numId w:val="24"/>
        </w:numPr>
        <w:spacing w:before="100" w:beforeAutospacing="1" w:after="100" w:afterAutospacing="1"/>
        <w:ind w:left="0" w:firstLine="0"/>
        <w:rPr>
          <w:rFonts w:cs="Times New Roman"/>
          <w:szCs w:val="28"/>
        </w:rPr>
      </w:pPr>
      <w:r w:rsidRPr="00AD358F">
        <w:rPr>
          <w:rFonts w:cs="Times New Roman"/>
          <w:szCs w:val="28"/>
        </w:rPr>
        <w:t xml:space="preserve">Demetrovics, Z., Szeredi, B. &amp; Rózsa, S. (2008). The three-factor model of Internet addiction: The development of the Problematic Internet Use Questionnaire. </w:t>
      </w:r>
      <w:r w:rsidRPr="00DE157F">
        <w:rPr>
          <w:rFonts w:cs="Times New Roman"/>
          <w:i/>
          <w:iCs/>
          <w:szCs w:val="28"/>
        </w:rPr>
        <w:t>Behavior Research Methods, 40</w:t>
      </w:r>
      <w:r w:rsidRPr="00AD358F">
        <w:rPr>
          <w:rFonts w:cs="Times New Roman"/>
          <w:szCs w:val="28"/>
        </w:rPr>
        <w:t xml:space="preserve"> (2), pp. 563</w:t>
      </w:r>
      <w:r w:rsidR="00FF7F46">
        <w:rPr>
          <w:rFonts w:cs="Times New Roman"/>
          <w:szCs w:val="28"/>
          <w:lang w:val="bg-BG"/>
        </w:rPr>
        <w:t>-</w:t>
      </w:r>
      <w:r w:rsidRPr="00AD358F">
        <w:rPr>
          <w:rFonts w:cs="Times New Roman"/>
          <w:szCs w:val="28"/>
        </w:rPr>
        <w:t>574.</w:t>
      </w:r>
    </w:p>
    <w:p w:rsidR="00AD358F" w:rsidRPr="00AD358F" w:rsidRDefault="00AD358F" w:rsidP="00850EFA">
      <w:pPr>
        <w:numPr>
          <w:ilvl w:val="0"/>
          <w:numId w:val="24"/>
        </w:numPr>
        <w:spacing w:before="100" w:beforeAutospacing="1" w:after="100" w:afterAutospacing="1"/>
        <w:ind w:left="0" w:firstLine="0"/>
        <w:rPr>
          <w:rFonts w:cs="Times New Roman"/>
          <w:szCs w:val="28"/>
        </w:rPr>
      </w:pPr>
      <w:r w:rsidRPr="00AD358F">
        <w:rPr>
          <w:rFonts w:cs="Times New Roman"/>
          <w:szCs w:val="28"/>
        </w:rPr>
        <w:t xml:space="preserve">Mageau, G. A., Ranger, F., Joussemet, M., Koestner, R., Moreau, E. &amp; Forest, J. (2015). Validation of the Perceived Parental Autonomy Support Scale (P-PASS). </w:t>
      </w:r>
      <w:r w:rsidRPr="00DE157F">
        <w:rPr>
          <w:rFonts w:cs="Times New Roman"/>
          <w:i/>
          <w:iCs/>
          <w:szCs w:val="28"/>
        </w:rPr>
        <w:t>Canadian Journal of Behavioural Science / Revue canadienne des sciences du comportement, 47</w:t>
      </w:r>
      <w:r w:rsidRPr="00AD358F">
        <w:rPr>
          <w:rFonts w:cs="Times New Roman"/>
          <w:szCs w:val="28"/>
        </w:rPr>
        <w:t xml:space="preserve"> (3), pp. 251</w:t>
      </w:r>
      <w:r w:rsidR="00FF7F46">
        <w:rPr>
          <w:rFonts w:cs="Times New Roman"/>
          <w:szCs w:val="28"/>
          <w:lang w:val="bg-BG"/>
        </w:rPr>
        <w:t>-</w:t>
      </w:r>
      <w:r w:rsidRPr="00AD358F">
        <w:rPr>
          <w:rFonts w:cs="Times New Roman"/>
          <w:szCs w:val="28"/>
        </w:rPr>
        <w:t>262.</w:t>
      </w:r>
    </w:p>
    <w:p w:rsidR="00AD358F" w:rsidRPr="00AD358F" w:rsidRDefault="00AD358F" w:rsidP="00850EFA">
      <w:pPr>
        <w:numPr>
          <w:ilvl w:val="0"/>
          <w:numId w:val="24"/>
        </w:numPr>
        <w:spacing w:before="100" w:beforeAutospacing="1" w:after="100" w:afterAutospacing="1"/>
        <w:ind w:left="0" w:firstLine="0"/>
        <w:rPr>
          <w:rFonts w:cs="Times New Roman"/>
          <w:szCs w:val="28"/>
        </w:rPr>
      </w:pPr>
      <w:r w:rsidRPr="00AD358F">
        <w:rPr>
          <w:rFonts w:cs="Times New Roman"/>
          <w:szCs w:val="28"/>
        </w:rPr>
        <w:t xml:space="preserve">Ryff, C. D. (1989). Happiness is everything, or is it? Explorations on the meaning of psychological well-being. </w:t>
      </w:r>
      <w:r w:rsidRPr="00DE157F">
        <w:rPr>
          <w:rFonts w:cs="Times New Roman"/>
          <w:i/>
          <w:iCs/>
          <w:szCs w:val="28"/>
        </w:rPr>
        <w:t>Journal of Personality and Social Psychology, 57</w:t>
      </w:r>
      <w:r w:rsidRPr="00AD358F">
        <w:rPr>
          <w:rFonts w:cs="Times New Roman"/>
          <w:szCs w:val="28"/>
        </w:rPr>
        <w:t xml:space="preserve"> (6), pp. 1069</w:t>
      </w:r>
      <w:r w:rsidR="00FF7F46">
        <w:rPr>
          <w:rFonts w:cs="Times New Roman"/>
          <w:szCs w:val="28"/>
          <w:lang w:val="bg-BG"/>
        </w:rPr>
        <w:t>-</w:t>
      </w:r>
      <w:r w:rsidRPr="00AD358F">
        <w:rPr>
          <w:rFonts w:cs="Times New Roman"/>
          <w:szCs w:val="28"/>
        </w:rPr>
        <w:t>1081.</w:t>
      </w:r>
    </w:p>
    <w:p w:rsidR="00AD358F" w:rsidRPr="00AD358F" w:rsidRDefault="00AD358F" w:rsidP="00DE157F">
      <w:pPr>
        <w:spacing w:before="100" w:beforeAutospacing="1" w:after="100" w:afterAutospacing="1"/>
        <w:rPr>
          <w:rFonts w:cs="Times New Roman"/>
          <w:szCs w:val="28"/>
        </w:rPr>
      </w:pPr>
    </w:p>
    <w:p w:rsidR="001F1A8A" w:rsidRPr="00A50E8B" w:rsidRDefault="001F1A8A" w:rsidP="00DE157F">
      <w:pPr>
        <w:ind w:firstLine="567"/>
        <w:jc w:val="right"/>
        <w:rPr>
          <w:rFonts w:cs="Times New Roman"/>
          <w:i/>
          <w:iCs/>
          <w:sz w:val="24"/>
          <w:lang w:val="bg-BG"/>
        </w:rPr>
      </w:pPr>
      <w:r w:rsidRPr="008E62B4">
        <w:rPr>
          <w:rFonts w:cs="Times New Roman"/>
          <w:i/>
          <w:iCs/>
          <w:sz w:val="24"/>
        </w:rPr>
        <w:t>Трите имена на автора</w:t>
      </w:r>
      <w:r>
        <w:rPr>
          <w:rFonts w:cs="Times New Roman"/>
          <w:i/>
          <w:iCs/>
          <w:sz w:val="24"/>
          <w:lang w:val="bg-BG"/>
        </w:rPr>
        <w:t>: Йоана Димитрова Янкулова</w:t>
      </w:r>
    </w:p>
    <w:p w:rsidR="001F1A8A" w:rsidRPr="00A50E8B" w:rsidRDefault="001F1A8A" w:rsidP="00DE157F">
      <w:pPr>
        <w:ind w:firstLine="567"/>
        <w:jc w:val="right"/>
        <w:rPr>
          <w:rFonts w:cs="Times New Roman"/>
          <w:i/>
          <w:iCs/>
          <w:sz w:val="24"/>
          <w:lang w:val="bg-BG"/>
        </w:rPr>
      </w:pPr>
      <w:r w:rsidRPr="008E62B4">
        <w:rPr>
          <w:rFonts w:cs="Times New Roman"/>
          <w:i/>
          <w:iCs/>
          <w:sz w:val="24"/>
        </w:rPr>
        <w:t>Институцията, в която работи</w:t>
      </w:r>
      <w:r>
        <w:rPr>
          <w:rFonts w:cs="Times New Roman"/>
          <w:i/>
          <w:iCs/>
          <w:sz w:val="24"/>
          <w:lang w:val="bg-BG"/>
        </w:rPr>
        <w:t>: СУ „Св. Кл. Охридски“</w:t>
      </w:r>
    </w:p>
    <w:p w:rsidR="001F1A8A" w:rsidRPr="00A50E8B" w:rsidRDefault="001F1A8A" w:rsidP="00DE157F">
      <w:pPr>
        <w:ind w:firstLine="567"/>
        <w:jc w:val="right"/>
        <w:rPr>
          <w:rFonts w:eastAsiaTheme="majorEastAsia" w:cs="Times New Roman"/>
          <w:sz w:val="32"/>
          <w:szCs w:val="32"/>
          <w:lang w:val="bg-BG"/>
        </w:rPr>
      </w:pPr>
      <w:r w:rsidRPr="008E62B4">
        <w:rPr>
          <w:rFonts w:cs="Times New Roman"/>
          <w:i/>
          <w:iCs/>
          <w:sz w:val="24"/>
        </w:rPr>
        <w:t>Адрес за кореспонденция, телефон и e-mail</w:t>
      </w:r>
      <w:r>
        <w:rPr>
          <w:rFonts w:cs="Times New Roman"/>
          <w:i/>
          <w:iCs/>
          <w:sz w:val="24"/>
          <w:lang w:val="bg-BG"/>
        </w:rPr>
        <w:t xml:space="preserve">: </w:t>
      </w:r>
      <w:hyperlink r:id="rId7" w:history="1">
        <w:r w:rsidRPr="007C7CB3">
          <w:rPr>
            <w:rStyle w:val="Hyperlink"/>
            <w:rFonts w:cs="Times New Roman"/>
            <w:sz w:val="24"/>
            <w:lang w:val="bg-BG"/>
          </w:rPr>
          <w:t>jankulova@phls.uni-sofia.bg</w:t>
        </w:r>
      </w:hyperlink>
    </w:p>
    <w:sectPr w:rsidR="001F1A8A" w:rsidRPr="00A50E8B">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4424" w:rsidRDefault="00FE4424" w:rsidP="0055526A">
      <w:pPr>
        <w:spacing w:after="0"/>
      </w:pPr>
      <w:r>
        <w:separator/>
      </w:r>
    </w:p>
  </w:endnote>
  <w:endnote w:type="continuationSeparator" w:id="0">
    <w:p w:rsidR="00FE4424" w:rsidRDefault="00FE4424" w:rsidP="005552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Neue">
    <w:altName w:val="Arial"/>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4424" w:rsidRDefault="00FE4424" w:rsidP="0055526A">
      <w:pPr>
        <w:spacing w:after="0"/>
      </w:pPr>
      <w:r>
        <w:separator/>
      </w:r>
    </w:p>
  </w:footnote>
  <w:footnote w:type="continuationSeparator" w:id="0">
    <w:p w:rsidR="00FE4424" w:rsidRDefault="00FE4424" w:rsidP="0055526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2698A"/>
    <w:multiLevelType w:val="multilevel"/>
    <w:tmpl w:val="49862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144BC"/>
    <w:multiLevelType w:val="multilevel"/>
    <w:tmpl w:val="60A29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6058D"/>
    <w:multiLevelType w:val="multilevel"/>
    <w:tmpl w:val="50A64C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B5A64"/>
    <w:multiLevelType w:val="multilevel"/>
    <w:tmpl w:val="CB8415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7E0175"/>
    <w:multiLevelType w:val="multilevel"/>
    <w:tmpl w:val="3D565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50494"/>
    <w:multiLevelType w:val="multilevel"/>
    <w:tmpl w:val="93B4F1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6D103C"/>
    <w:multiLevelType w:val="multilevel"/>
    <w:tmpl w:val="FD2C1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EC559B"/>
    <w:multiLevelType w:val="multilevel"/>
    <w:tmpl w:val="B7EC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B48D5"/>
    <w:multiLevelType w:val="multilevel"/>
    <w:tmpl w:val="8AB23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01137D"/>
    <w:multiLevelType w:val="multilevel"/>
    <w:tmpl w:val="A5BA55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CB5251"/>
    <w:multiLevelType w:val="multilevel"/>
    <w:tmpl w:val="4352F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F145C6"/>
    <w:multiLevelType w:val="multilevel"/>
    <w:tmpl w:val="ECC01A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066855"/>
    <w:multiLevelType w:val="multilevel"/>
    <w:tmpl w:val="9D2408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A5146A"/>
    <w:multiLevelType w:val="hybridMultilevel"/>
    <w:tmpl w:val="B48CE4F2"/>
    <w:lvl w:ilvl="0" w:tplc="0409000F">
      <w:start w:val="1"/>
      <w:numFmt w:val="decimal"/>
      <w:lvlText w:val="%1."/>
      <w:lvlJc w:val="left"/>
      <w:pPr>
        <w:ind w:left="720" w:hanging="360"/>
      </w:pPr>
    </w:lvl>
    <w:lvl w:ilvl="1" w:tplc="644ADF64">
      <w:start w:val="3"/>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DD6005"/>
    <w:multiLevelType w:val="multilevel"/>
    <w:tmpl w:val="CD9207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902C72"/>
    <w:multiLevelType w:val="multilevel"/>
    <w:tmpl w:val="86FAC3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E323FE"/>
    <w:multiLevelType w:val="multilevel"/>
    <w:tmpl w:val="F4FAB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91430"/>
    <w:multiLevelType w:val="multilevel"/>
    <w:tmpl w:val="665898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8F0474"/>
    <w:multiLevelType w:val="hybridMultilevel"/>
    <w:tmpl w:val="17D82636"/>
    <w:lvl w:ilvl="0" w:tplc="38FEE86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9A409E"/>
    <w:multiLevelType w:val="multilevel"/>
    <w:tmpl w:val="4FEECF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7C75FB"/>
    <w:multiLevelType w:val="multilevel"/>
    <w:tmpl w:val="D71CD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E4469F"/>
    <w:multiLevelType w:val="multilevel"/>
    <w:tmpl w:val="13BC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E10B1C"/>
    <w:multiLevelType w:val="multilevel"/>
    <w:tmpl w:val="D258F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2502DF"/>
    <w:multiLevelType w:val="multilevel"/>
    <w:tmpl w:val="C728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2"/>
  </w:num>
  <w:num w:numId="3">
    <w:abstractNumId w:val="7"/>
  </w:num>
  <w:num w:numId="4">
    <w:abstractNumId w:val="1"/>
  </w:num>
  <w:num w:numId="5">
    <w:abstractNumId w:val="6"/>
  </w:num>
  <w:num w:numId="6">
    <w:abstractNumId w:val="9"/>
  </w:num>
  <w:num w:numId="7">
    <w:abstractNumId w:val="12"/>
  </w:num>
  <w:num w:numId="8">
    <w:abstractNumId w:val="15"/>
  </w:num>
  <w:num w:numId="9">
    <w:abstractNumId w:val="10"/>
  </w:num>
  <w:num w:numId="10">
    <w:abstractNumId w:val="8"/>
  </w:num>
  <w:num w:numId="11">
    <w:abstractNumId w:val="4"/>
  </w:num>
  <w:num w:numId="12">
    <w:abstractNumId w:val="14"/>
  </w:num>
  <w:num w:numId="13">
    <w:abstractNumId w:val="3"/>
  </w:num>
  <w:num w:numId="14">
    <w:abstractNumId w:val="17"/>
  </w:num>
  <w:num w:numId="15">
    <w:abstractNumId w:val="13"/>
  </w:num>
  <w:num w:numId="16">
    <w:abstractNumId w:val="23"/>
  </w:num>
  <w:num w:numId="17">
    <w:abstractNumId w:val="20"/>
  </w:num>
  <w:num w:numId="18">
    <w:abstractNumId w:val="2"/>
  </w:num>
  <w:num w:numId="19">
    <w:abstractNumId w:val="5"/>
  </w:num>
  <w:num w:numId="20">
    <w:abstractNumId w:val="19"/>
  </w:num>
  <w:num w:numId="21">
    <w:abstractNumId w:val="11"/>
  </w:num>
  <w:num w:numId="22">
    <w:abstractNumId w:val="16"/>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26A"/>
    <w:rsid w:val="00003CF0"/>
    <w:rsid w:val="0002489F"/>
    <w:rsid w:val="00071AF5"/>
    <w:rsid w:val="000A2955"/>
    <w:rsid w:val="000B3A01"/>
    <w:rsid w:val="000D0019"/>
    <w:rsid w:val="000D41BE"/>
    <w:rsid w:val="000E7F22"/>
    <w:rsid w:val="000F3CC1"/>
    <w:rsid w:val="001242D7"/>
    <w:rsid w:val="0018002B"/>
    <w:rsid w:val="00180CC0"/>
    <w:rsid w:val="001D2BC1"/>
    <w:rsid w:val="001D787A"/>
    <w:rsid w:val="001F1A8A"/>
    <w:rsid w:val="002561F9"/>
    <w:rsid w:val="00274B66"/>
    <w:rsid w:val="002A5491"/>
    <w:rsid w:val="002C7EB2"/>
    <w:rsid w:val="002E44A5"/>
    <w:rsid w:val="002E79CC"/>
    <w:rsid w:val="00320693"/>
    <w:rsid w:val="00335E20"/>
    <w:rsid w:val="00340943"/>
    <w:rsid w:val="0039066A"/>
    <w:rsid w:val="003A4ACA"/>
    <w:rsid w:val="003C16A9"/>
    <w:rsid w:val="003C67C0"/>
    <w:rsid w:val="003D1347"/>
    <w:rsid w:val="00412BAB"/>
    <w:rsid w:val="004731F9"/>
    <w:rsid w:val="0049247E"/>
    <w:rsid w:val="004B7ECB"/>
    <w:rsid w:val="004E39DE"/>
    <w:rsid w:val="004E67B3"/>
    <w:rsid w:val="004F3095"/>
    <w:rsid w:val="0051356A"/>
    <w:rsid w:val="00547269"/>
    <w:rsid w:val="0055299E"/>
    <w:rsid w:val="0055526A"/>
    <w:rsid w:val="005D4A36"/>
    <w:rsid w:val="005E4051"/>
    <w:rsid w:val="005F1A54"/>
    <w:rsid w:val="00606E4E"/>
    <w:rsid w:val="00611C14"/>
    <w:rsid w:val="00651428"/>
    <w:rsid w:val="00651A20"/>
    <w:rsid w:val="00652610"/>
    <w:rsid w:val="006618A3"/>
    <w:rsid w:val="006A2B4A"/>
    <w:rsid w:val="006A4819"/>
    <w:rsid w:val="00706529"/>
    <w:rsid w:val="00717BB8"/>
    <w:rsid w:val="00760DC3"/>
    <w:rsid w:val="00773E70"/>
    <w:rsid w:val="00795DCE"/>
    <w:rsid w:val="007D790E"/>
    <w:rsid w:val="00850EFA"/>
    <w:rsid w:val="00852271"/>
    <w:rsid w:val="008E79BA"/>
    <w:rsid w:val="00954EE8"/>
    <w:rsid w:val="00955E8F"/>
    <w:rsid w:val="0095794D"/>
    <w:rsid w:val="009829C3"/>
    <w:rsid w:val="009F6F76"/>
    <w:rsid w:val="00A0509E"/>
    <w:rsid w:val="00A259AD"/>
    <w:rsid w:val="00A53B07"/>
    <w:rsid w:val="00A560C1"/>
    <w:rsid w:val="00A75251"/>
    <w:rsid w:val="00AA4A8F"/>
    <w:rsid w:val="00AD358F"/>
    <w:rsid w:val="00AF49FB"/>
    <w:rsid w:val="00B50EBB"/>
    <w:rsid w:val="00B51D63"/>
    <w:rsid w:val="00B82A35"/>
    <w:rsid w:val="00BB03AF"/>
    <w:rsid w:val="00C00DBA"/>
    <w:rsid w:val="00C133FC"/>
    <w:rsid w:val="00C32F8E"/>
    <w:rsid w:val="00CD416D"/>
    <w:rsid w:val="00D36D00"/>
    <w:rsid w:val="00D7639C"/>
    <w:rsid w:val="00DB30B4"/>
    <w:rsid w:val="00DE157F"/>
    <w:rsid w:val="00DF0A52"/>
    <w:rsid w:val="00E859C4"/>
    <w:rsid w:val="00EB76F5"/>
    <w:rsid w:val="00ED0E24"/>
    <w:rsid w:val="00ED4509"/>
    <w:rsid w:val="00EE4E75"/>
    <w:rsid w:val="00EF1DA7"/>
    <w:rsid w:val="00EF5FF6"/>
    <w:rsid w:val="00F22237"/>
    <w:rsid w:val="00F62C89"/>
    <w:rsid w:val="00FA171F"/>
    <w:rsid w:val="00FD6F9D"/>
    <w:rsid w:val="00FE1C20"/>
    <w:rsid w:val="00FE1C9E"/>
    <w:rsid w:val="00FE4424"/>
    <w:rsid w:val="00FF7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DFF3B-BC81-482F-BD9E-9DB2DD570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526A"/>
    <w:pPr>
      <w:spacing w:after="200" w:line="240" w:lineRule="auto"/>
      <w:jc w:val="both"/>
    </w:pPr>
    <w:rPr>
      <w:rFonts w:ascii="Times New Roman" w:eastAsia="Times New Roman" w:hAnsi="Times New Roman"/>
      <w:sz w:val="28"/>
    </w:rPr>
  </w:style>
  <w:style w:type="paragraph" w:styleId="Heading1">
    <w:name w:val="heading 1"/>
    <w:basedOn w:val="Normal"/>
    <w:link w:val="Heading1Char"/>
    <w:uiPriority w:val="9"/>
    <w:qFormat/>
    <w:rsid w:val="004F3095"/>
    <w:pPr>
      <w:spacing w:before="100" w:beforeAutospacing="1" w:after="100" w:afterAutospacing="1"/>
      <w:jc w:val="left"/>
      <w:outlineLvl w:val="0"/>
    </w:pPr>
    <w:rPr>
      <w:rFonts w:cs="Times New Roman"/>
      <w:b/>
      <w:bCs/>
      <w:kern w:val="36"/>
      <w:sz w:val="48"/>
      <w:szCs w:val="48"/>
    </w:rPr>
  </w:style>
  <w:style w:type="paragraph" w:styleId="Heading2">
    <w:name w:val="heading 2"/>
    <w:basedOn w:val="Normal"/>
    <w:link w:val="Heading2Char"/>
    <w:uiPriority w:val="9"/>
    <w:qFormat/>
    <w:rsid w:val="004F3095"/>
    <w:pPr>
      <w:spacing w:before="100" w:beforeAutospacing="1" w:after="100" w:afterAutospacing="1"/>
      <w:jc w:val="left"/>
      <w:outlineLvl w:val="1"/>
    </w:pPr>
    <w:rPr>
      <w:rFonts w:cs="Times New Roman"/>
      <w:b/>
      <w:bCs/>
      <w:sz w:val="36"/>
      <w:szCs w:val="36"/>
    </w:rPr>
  </w:style>
  <w:style w:type="paragraph" w:styleId="Heading3">
    <w:name w:val="heading 3"/>
    <w:basedOn w:val="Normal"/>
    <w:link w:val="Heading3Char"/>
    <w:uiPriority w:val="9"/>
    <w:qFormat/>
    <w:rsid w:val="004F3095"/>
    <w:pPr>
      <w:spacing w:before="100" w:beforeAutospacing="1" w:after="100" w:afterAutospacing="1"/>
      <w:jc w:val="left"/>
      <w:outlineLvl w:val="2"/>
    </w:pPr>
    <w:rPr>
      <w:rFonts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26A"/>
    <w:pPr>
      <w:ind w:left="720"/>
      <w:contextualSpacing/>
    </w:pPr>
  </w:style>
  <w:style w:type="character" w:styleId="Strong">
    <w:name w:val="Strong"/>
    <w:basedOn w:val="DefaultParagraphFont"/>
    <w:uiPriority w:val="22"/>
    <w:qFormat/>
    <w:rsid w:val="0055526A"/>
    <w:rPr>
      <w:b/>
      <w:bCs/>
    </w:rPr>
  </w:style>
  <w:style w:type="table" w:styleId="TableGrid">
    <w:name w:val="Table Grid"/>
    <w:basedOn w:val="TableNormal"/>
    <w:uiPriority w:val="59"/>
    <w:rsid w:val="0055526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526A"/>
    <w:pPr>
      <w:spacing w:before="100" w:beforeAutospacing="1" w:after="100" w:afterAutospacing="1"/>
      <w:ind w:firstLine="397"/>
    </w:pPr>
    <w:rPr>
      <w:rFonts w:cs="Times New Roman"/>
      <w:sz w:val="24"/>
      <w:szCs w:val="24"/>
    </w:rPr>
  </w:style>
  <w:style w:type="character" w:styleId="FootnoteReference">
    <w:name w:val="footnote reference"/>
    <w:basedOn w:val="DefaultParagraphFont"/>
    <w:uiPriority w:val="99"/>
    <w:semiHidden/>
    <w:unhideWhenUsed/>
    <w:rsid w:val="0055526A"/>
    <w:rPr>
      <w:vertAlign w:val="superscript"/>
    </w:rPr>
  </w:style>
  <w:style w:type="paragraph" w:customStyle="1" w:styleId="Default">
    <w:name w:val="Default"/>
    <w:rsid w:val="0055526A"/>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paragraph" w:customStyle="1" w:styleId="TableStyle2">
    <w:name w:val="Table Style 2"/>
    <w:rsid w:val="0055526A"/>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4F309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F309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F3095"/>
    <w:rPr>
      <w:rFonts w:ascii="Times New Roman" w:eastAsia="Times New Roman" w:hAnsi="Times New Roman" w:cs="Times New Roman"/>
      <w:b/>
      <w:bCs/>
      <w:sz w:val="27"/>
      <w:szCs w:val="27"/>
    </w:rPr>
  </w:style>
  <w:style w:type="paragraph" w:customStyle="1" w:styleId="isselectedend">
    <w:name w:val="isselectedend"/>
    <w:basedOn w:val="Normal"/>
    <w:rsid w:val="000F3CC1"/>
    <w:pPr>
      <w:spacing w:before="100" w:beforeAutospacing="1" w:after="100" w:afterAutospacing="1"/>
      <w:jc w:val="left"/>
    </w:pPr>
    <w:rPr>
      <w:rFonts w:cs="Times New Roman"/>
      <w:sz w:val="24"/>
      <w:szCs w:val="24"/>
    </w:rPr>
  </w:style>
  <w:style w:type="character" w:customStyle="1" w:styleId="text-token-text-primary">
    <w:name w:val="text-token-text-primary"/>
    <w:basedOn w:val="DefaultParagraphFont"/>
    <w:rsid w:val="000F3CC1"/>
  </w:style>
  <w:style w:type="paragraph" w:styleId="HTMLPreformatted">
    <w:name w:val="HTML Preformatted"/>
    <w:basedOn w:val="Normal"/>
    <w:link w:val="HTMLPreformattedChar"/>
    <w:uiPriority w:val="99"/>
    <w:semiHidden/>
    <w:unhideWhenUsed/>
    <w:rsid w:val="00FA1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A171F"/>
    <w:rPr>
      <w:rFonts w:ascii="Courier New" w:eastAsia="Times New Roman" w:hAnsi="Courier New" w:cs="Courier New"/>
      <w:sz w:val="20"/>
      <w:szCs w:val="20"/>
    </w:rPr>
  </w:style>
  <w:style w:type="character" w:customStyle="1" w:styleId="y2iqfc">
    <w:name w:val="y2iqfc"/>
    <w:basedOn w:val="DefaultParagraphFont"/>
    <w:rsid w:val="00FA171F"/>
  </w:style>
  <w:style w:type="character" w:styleId="HTMLCode">
    <w:name w:val="HTML Code"/>
    <w:basedOn w:val="DefaultParagraphFont"/>
    <w:uiPriority w:val="99"/>
    <w:semiHidden/>
    <w:unhideWhenUsed/>
    <w:rsid w:val="00795DCE"/>
    <w:rPr>
      <w:rFonts w:ascii="Courier New" w:eastAsia="Times New Roman" w:hAnsi="Courier New" w:cs="Courier New"/>
      <w:sz w:val="20"/>
      <w:szCs w:val="20"/>
    </w:rPr>
  </w:style>
  <w:style w:type="character" w:styleId="Hyperlink">
    <w:name w:val="Hyperlink"/>
    <w:basedOn w:val="DefaultParagraphFont"/>
    <w:uiPriority w:val="99"/>
    <w:unhideWhenUsed/>
    <w:rsid w:val="00003CF0"/>
    <w:rPr>
      <w:color w:val="0563C1" w:themeColor="hyperlink"/>
      <w:u w:val="single"/>
    </w:rPr>
  </w:style>
  <w:style w:type="character" w:styleId="Emphasis">
    <w:name w:val="Emphasis"/>
    <w:basedOn w:val="DefaultParagraphFont"/>
    <w:uiPriority w:val="20"/>
    <w:qFormat/>
    <w:rsid w:val="006514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38616">
      <w:bodyDiv w:val="1"/>
      <w:marLeft w:val="0"/>
      <w:marRight w:val="0"/>
      <w:marTop w:val="0"/>
      <w:marBottom w:val="0"/>
      <w:divBdr>
        <w:top w:val="none" w:sz="0" w:space="0" w:color="auto"/>
        <w:left w:val="none" w:sz="0" w:space="0" w:color="auto"/>
        <w:bottom w:val="none" w:sz="0" w:space="0" w:color="auto"/>
        <w:right w:val="none" w:sz="0" w:space="0" w:color="auto"/>
      </w:divBdr>
    </w:div>
    <w:div w:id="167449923">
      <w:bodyDiv w:val="1"/>
      <w:marLeft w:val="0"/>
      <w:marRight w:val="0"/>
      <w:marTop w:val="0"/>
      <w:marBottom w:val="0"/>
      <w:divBdr>
        <w:top w:val="none" w:sz="0" w:space="0" w:color="auto"/>
        <w:left w:val="none" w:sz="0" w:space="0" w:color="auto"/>
        <w:bottom w:val="none" w:sz="0" w:space="0" w:color="auto"/>
        <w:right w:val="none" w:sz="0" w:space="0" w:color="auto"/>
      </w:divBdr>
    </w:div>
    <w:div w:id="401373320">
      <w:bodyDiv w:val="1"/>
      <w:marLeft w:val="0"/>
      <w:marRight w:val="0"/>
      <w:marTop w:val="0"/>
      <w:marBottom w:val="0"/>
      <w:divBdr>
        <w:top w:val="none" w:sz="0" w:space="0" w:color="auto"/>
        <w:left w:val="none" w:sz="0" w:space="0" w:color="auto"/>
        <w:bottom w:val="none" w:sz="0" w:space="0" w:color="auto"/>
        <w:right w:val="none" w:sz="0" w:space="0" w:color="auto"/>
      </w:divBdr>
    </w:div>
    <w:div w:id="518543414">
      <w:bodyDiv w:val="1"/>
      <w:marLeft w:val="0"/>
      <w:marRight w:val="0"/>
      <w:marTop w:val="0"/>
      <w:marBottom w:val="0"/>
      <w:divBdr>
        <w:top w:val="none" w:sz="0" w:space="0" w:color="auto"/>
        <w:left w:val="none" w:sz="0" w:space="0" w:color="auto"/>
        <w:bottom w:val="none" w:sz="0" w:space="0" w:color="auto"/>
        <w:right w:val="none" w:sz="0" w:space="0" w:color="auto"/>
      </w:divBdr>
    </w:div>
    <w:div w:id="551158384">
      <w:bodyDiv w:val="1"/>
      <w:marLeft w:val="0"/>
      <w:marRight w:val="0"/>
      <w:marTop w:val="0"/>
      <w:marBottom w:val="0"/>
      <w:divBdr>
        <w:top w:val="none" w:sz="0" w:space="0" w:color="auto"/>
        <w:left w:val="none" w:sz="0" w:space="0" w:color="auto"/>
        <w:bottom w:val="none" w:sz="0" w:space="0" w:color="auto"/>
        <w:right w:val="none" w:sz="0" w:space="0" w:color="auto"/>
      </w:divBdr>
    </w:div>
    <w:div w:id="556740721">
      <w:bodyDiv w:val="1"/>
      <w:marLeft w:val="0"/>
      <w:marRight w:val="0"/>
      <w:marTop w:val="0"/>
      <w:marBottom w:val="0"/>
      <w:divBdr>
        <w:top w:val="none" w:sz="0" w:space="0" w:color="auto"/>
        <w:left w:val="none" w:sz="0" w:space="0" w:color="auto"/>
        <w:bottom w:val="none" w:sz="0" w:space="0" w:color="auto"/>
        <w:right w:val="none" w:sz="0" w:space="0" w:color="auto"/>
      </w:divBdr>
    </w:div>
    <w:div w:id="711609547">
      <w:bodyDiv w:val="1"/>
      <w:marLeft w:val="0"/>
      <w:marRight w:val="0"/>
      <w:marTop w:val="0"/>
      <w:marBottom w:val="0"/>
      <w:divBdr>
        <w:top w:val="none" w:sz="0" w:space="0" w:color="auto"/>
        <w:left w:val="none" w:sz="0" w:space="0" w:color="auto"/>
        <w:bottom w:val="none" w:sz="0" w:space="0" w:color="auto"/>
        <w:right w:val="none" w:sz="0" w:space="0" w:color="auto"/>
      </w:divBdr>
    </w:div>
    <w:div w:id="752312629">
      <w:bodyDiv w:val="1"/>
      <w:marLeft w:val="0"/>
      <w:marRight w:val="0"/>
      <w:marTop w:val="0"/>
      <w:marBottom w:val="0"/>
      <w:divBdr>
        <w:top w:val="none" w:sz="0" w:space="0" w:color="auto"/>
        <w:left w:val="none" w:sz="0" w:space="0" w:color="auto"/>
        <w:bottom w:val="none" w:sz="0" w:space="0" w:color="auto"/>
        <w:right w:val="none" w:sz="0" w:space="0" w:color="auto"/>
      </w:divBdr>
    </w:div>
    <w:div w:id="845634116">
      <w:bodyDiv w:val="1"/>
      <w:marLeft w:val="0"/>
      <w:marRight w:val="0"/>
      <w:marTop w:val="0"/>
      <w:marBottom w:val="0"/>
      <w:divBdr>
        <w:top w:val="none" w:sz="0" w:space="0" w:color="auto"/>
        <w:left w:val="none" w:sz="0" w:space="0" w:color="auto"/>
        <w:bottom w:val="none" w:sz="0" w:space="0" w:color="auto"/>
        <w:right w:val="none" w:sz="0" w:space="0" w:color="auto"/>
      </w:divBdr>
    </w:div>
    <w:div w:id="873467001">
      <w:bodyDiv w:val="1"/>
      <w:marLeft w:val="0"/>
      <w:marRight w:val="0"/>
      <w:marTop w:val="0"/>
      <w:marBottom w:val="0"/>
      <w:divBdr>
        <w:top w:val="none" w:sz="0" w:space="0" w:color="auto"/>
        <w:left w:val="none" w:sz="0" w:space="0" w:color="auto"/>
        <w:bottom w:val="none" w:sz="0" w:space="0" w:color="auto"/>
        <w:right w:val="none" w:sz="0" w:space="0" w:color="auto"/>
      </w:divBdr>
    </w:div>
    <w:div w:id="902568641">
      <w:bodyDiv w:val="1"/>
      <w:marLeft w:val="0"/>
      <w:marRight w:val="0"/>
      <w:marTop w:val="0"/>
      <w:marBottom w:val="0"/>
      <w:divBdr>
        <w:top w:val="none" w:sz="0" w:space="0" w:color="auto"/>
        <w:left w:val="none" w:sz="0" w:space="0" w:color="auto"/>
        <w:bottom w:val="none" w:sz="0" w:space="0" w:color="auto"/>
        <w:right w:val="none" w:sz="0" w:space="0" w:color="auto"/>
      </w:divBdr>
    </w:div>
    <w:div w:id="973220193">
      <w:bodyDiv w:val="1"/>
      <w:marLeft w:val="0"/>
      <w:marRight w:val="0"/>
      <w:marTop w:val="0"/>
      <w:marBottom w:val="0"/>
      <w:divBdr>
        <w:top w:val="none" w:sz="0" w:space="0" w:color="auto"/>
        <w:left w:val="none" w:sz="0" w:space="0" w:color="auto"/>
        <w:bottom w:val="none" w:sz="0" w:space="0" w:color="auto"/>
        <w:right w:val="none" w:sz="0" w:space="0" w:color="auto"/>
      </w:divBdr>
    </w:div>
    <w:div w:id="1011907328">
      <w:bodyDiv w:val="1"/>
      <w:marLeft w:val="0"/>
      <w:marRight w:val="0"/>
      <w:marTop w:val="0"/>
      <w:marBottom w:val="0"/>
      <w:divBdr>
        <w:top w:val="none" w:sz="0" w:space="0" w:color="auto"/>
        <w:left w:val="none" w:sz="0" w:space="0" w:color="auto"/>
        <w:bottom w:val="none" w:sz="0" w:space="0" w:color="auto"/>
        <w:right w:val="none" w:sz="0" w:space="0" w:color="auto"/>
      </w:divBdr>
    </w:div>
    <w:div w:id="1022897775">
      <w:bodyDiv w:val="1"/>
      <w:marLeft w:val="0"/>
      <w:marRight w:val="0"/>
      <w:marTop w:val="0"/>
      <w:marBottom w:val="0"/>
      <w:divBdr>
        <w:top w:val="none" w:sz="0" w:space="0" w:color="auto"/>
        <w:left w:val="none" w:sz="0" w:space="0" w:color="auto"/>
        <w:bottom w:val="none" w:sz="0" w:space="0" w:color="auto"/>
        <w:right w:val="none" w:sz="0" w:space="0" w:color="auto"/>
      </w:divBdr>
    </w:div>
    <w:div w:id="1027098142">
      <w:bodyDiv w:val="1"/>
      <w:marLeft w:val="0"/>
      <w:marRight w:val="0"/>
      <w:marTop w:val="0"/>
      <w:marBottom w:val="0"/>
      <w:divBdr>
        <w:top w:val="none" w:sz="0" w:space="0" w:color="auto"/>
        <w:left w:val="none" w:sz="0" w:space="0" w:color="auto"/>
        <w:bottom w:val="none" w:sz="0" w:space="0" w:color="auto"/>
        <w:right w:val="none" w:sz="0" w:space="0" w:color="auto"/>
      </w:divBdr>
    </w:div>
    <w:div w:id="1031494390">
      <w:bodyDiv w:val="1"/>
      <w:marLeft w:val="0"/>
      <w:marRight w:val="0"/>
      <w:marTop w:val="0"/>
      <w:marBottom w:val="0"/>
      <w:divBdr>
        <w:top w:val="none" w:sz="0" w:space="0" w:color="auto"/>
        <w:left w:val="none" w:sz="0" w:space="0" w:color="auto"/>
        <w:bottom w:val="none" w:sz="0" w:space="0" w:color="auto"/>
        <w:right w:val="none" w:sz="0" w:space="0" w:color="auto"/>
      </w:divBdr>
    </w:div>
    <w:div w:id="1057389950">
      <w:bodyDiv w:val="1"/>
      <w:marLeft w:val="0"/>
      <w:marRight w:val="0"/>
      <w:marTop w:val="0"/>
      <w:marBottom w:val="0"/>
      <w:divBdr>
        <w:top w:val="none" w:sz="0" w:space="0" w:color="auto"/>
        <w:left w:val="none" w:sz="0" w:space="0" w:color="auto"/>
        <w:bottom w:val="none" w:sz="0" w:space="0" w:color="auto"/>
        <w:right w:val="none" w:sz="0" w:space="0" w:color="auto"/>
      </w:divBdr>
    </w:div>
    <w:div w:id="1103502681">
      <w:bodyDiv w:val="1"/>
      <w:marLeft w:val="0"/>
      <w:marRight w:val="0"/>
      <w:marTop w:val="0"/>
      <w:marBottom w:val="0"/>
      <w:divBdr>
        <w:top w:val="none" w:sz="0" w:space="0" w:color="auto"/>
        <w:left w:val="none" w:sz="0" w:space="0" w:color="auto"/>
        <w:bottom w:val="none" w:sz="0" w:space="0" w:color="auto"/>
        <w:right w:val="none" w:sz="0" w:space="0" w:color="auto"/>
      </w:divBdr>
    </w:div>
    <w:div w:id="1197542305">
      <w:bodyDiv w:val="1"/>
      <w:marLeft w:val="0"/>
      <w:marRight w:val="0"/>
      <w:marTop w:val="0"/>
      <w:marBottom w:val="0"/>
      <w:divBdr>
        <w:top w:val="none" w:sz="0" w:space="0" w:color="auto"/>
        <w:left w:val="none" w:sz="0" w:space="0" w:color="auto"/>
        <w:bottom w:val="none" w:sz="0" w:space="0" w:color="auto"/>
        <w:right w:val="none" w:sz="0" w:space="0" w:color="auto"/>
      </w:divBdr>
    </w:div>
    <w:div w:id="1235436717">
      <w:bodyDiv w:val="1"/>
      <w:marLeft w:val="0"/>
      <w:marRight w:val="0"/>
      <w:marTop w:val="0"/>
      <w:marBottom w:val="0"/>
      <w:divBdr>
        <w:top w:val="none" w:sz="0" w:space="0" w:color="auto"/>
        <w:left w:val="none" w:sz="0" w:space="0" w:color="auto"/>
        <w:bottom w:val="none" w:sz="0" w:space="0" w:color="auto"/>
        <w:right w:val="none" w:sz="0" w:space="0" w:color="auto"/>
      </w:divBdr>
    </w:div>
    <w:div w:id="1244535577">
      <w:bodyDiv w:val="1"/>
      <w:marLeft w:val="0"/>
      <w:marRight w:val="0"/>
      <w:marTop w:val="0"/>
      <w:marBottom w:val="0"/>
      <w:divBdr>
        <w:top w:val="none" w:sz="0" w:space="0" w:color="auto"/>
        <w:left w:val="none" w:sz="0" w:space="0" w:color="auto"/>
        <w:bottom w:val="none" w:sz="0" w:space="0" w:color="auto"/>
        <w:right w:val="none" w:sz="0" w:space="0" w:color="auto"/>
      </w:divBdr>
    </w:div>
    <w:div w:id="1298222312">
      <w:bodyDiv w:val="1"/>
      <w:marLeft w:val="0"/>
      <w:marRight w:val="0"/>
      <w:marTop w:val="0"/>
      <w:marBottom w:val="0"/>
      <w:divBdr>
        <w:top w:val="none" w:sz="0" w:space="0" w:color="auto"/>
        <w:left w:val="none" w:sz="0" w:space="0" w:color="auto"/>
        <w:bottom w:val="none" w:sz="0" w:space="0" w:color="auto"/>
        <w:right w:val="none" w:sz="0" w:space="0" w:color="auto"/>
      </w:divBdr>
    </w:div>
    <w:div w:id="1320767071">
      <w:bodyDiv w:val="1"/>
      <w:marLeft w:val="0"/>
      <w:marRight w:val="0"/>
      <w:marTop w:val="0"/>
      <w:marBottom w:val="0"/>
      <w:divBdr>
        <w:top w:val="none" w:sz="0" w:space="0" w:color="auto"/>
        <w:left w:val="none" w:sz="0" w:space="0" w:color="auto"/>
        <w:bottom w:val="none" w:sz="0" w:space="0" w:color="auto"/>
        <w:right w:val="none" w:sz="0" w:space="0" w:color="auto"/>
      </w:divBdr>
    </w:div>
    <w:div w:id="1362172785">
      <w:bodyDiv w:val="1"/>
      <w:marLeft w:val="0"/>
      <w:marRight w:val="0"/>
      <w:marTop w:val="0"/>
      <w:marBottom w:val="0"/>
      <w:divBdr>
        <w:top w:val="none" w:sz="0" w:space="0" w:color="auto"/>
        <w:left w:val="none" w:sz="0" w:space="0" w:color="auto"/>
        <w:bottom w:val="none" w:sz="0" w:space="0" w:color="auto"/>
        <w:right w:val="none" w:sz="0" w:space="0" w:color="auto"/>
      </w:divBdr>
    </w:div>
    <w:div w:id="1384862804">
      <w:bodyDiv w:val="1"/>
      <w:marLeft w:val="0"/>
      <w:marRight w:val="0"/>
      <w:marTop w:val="0"/>
      <w:marBottom w:val="0"/>
      <w:divBdr>
        <w:top w:val="none" w:sz="0" w:space="0" w:color="auto"/>
        <w:left w:val="none" w:sz="0" w:space="0" w:color="auto"/>
        <w:bottom w:val="none" w:sz="0" w:space="0" w:color="auto"/>
        <w:right w:val="none" w:sz="0" w:space="0" w:color="auto"/>
      </w:divBdr>
    </w:div>
    <w:div w:id="1392996899">
      <w:bodyDiv w:val="1"/>
      <w:marLeft w:val="0"/>
      <w:marRight w:val="0"/>
      <w:marTop w:val="0"/>
      <w:marBottom w:val="0"/>
      <w:divBdr>
        <w:top w:val="none" w:sz="0" w:space="0" w:color="auto"/>
        <w:left w:val="none" w:sz="0" w:space="0" w:color="auto"/>
        <w:bottom w:val="none" w:sz="0" w:space="0" w:color="auto"/>
        <w:right w:val="none" w:sz="0" w:space="0" w:color="auto"/>
      </w:divBdr>
    </w:div>
    <w:div w:id="1406730288">
      <w:bodyDiv w:val="1"/>
      <w:marLeft w:val="0"/>
      <w:marRight w:val="0"/>
      <w:marTop w:val="0"/>
      <w:marBottom w:val="0"/>
      <w:divBdr>
        <w:top w:val="none" w:sz="0" w:space="0" w:color="auto"/>
        <w:left w:val="none" w:sz="0" w:space="0" w:color="auto"/>
        <w:bottom w:val="none" w:sz="0" w:space="0" w:color="auto"/>
        <w:right w:val="none" w:sz="0" w:space="0" w:color="auto"/>
      </w:divBdr>
    </w:div>
    <w:div w:id="1626618326">
      <w:bodyDiv w:val="1"/>
      <w:marLeft w:val="0"/>
      <w:marRight w:val="0"/>
      <w:marTop w:val="0"/>
      <w:marBottom w:val="0"/>
      <w:divBdr>
        <w:top w:val="none" w:sz="0" w:space="0" w:color="auto"/>
        <w:left w:val="none" w:sz="0" w:space="0" w:color="auto"/>
        <w:bottom w:val="none" w:sz="0" w:space="0" w:color="auto"/>
        <w:right w:val="none" w:sz="0" w:space="0" w:color="auto"/>
      </w:divBdr>
    </w:div>
    <w:div w:id="1743288685">
      <w:bodyDiv w:val="1"/>
      <w:marLeft w:val="0"/>
      <w:marRight w:val="0"/>
      <w:marTop w:val="0"/>
      <w:marBottom w:val="0"/>
      <w:divBdr>
        <w:top w:val="none" w:sz="0" w:space="0" w:color="auto"/>
        <w:left w:val="none" w:sz="0" w:space="0" w:color="auto"/>
        <w:bottom w:val="none" w:sz="0" w:space="0" w:color="auto"/>
        <w:right w:val="none" w:sz="0" w:space="0" w:color="auto"/>
      </w:divBdr>
    </w:div>
    <w:div w:id="1769815929">
      <w:bodyDiv w:val="1"/>
      <w:marLeft w:val="0"/>
      <w:marRight w:val="0"/>
      <w:marTop w:val="0"/>
      <w:marBottom w:val="0"/>
      <w:divBdr>
        <w:top w:val="none" w:sz="0" w:space="0" w:color="auto"/>
        <w:left w:val="none" w:sz="0" w:space="0" w:color="auto"/>
        <w:bottom w:val="none" w:sz="0" w:space="0" w:color="auto"/>
        <w:right w:val="none" w:sz="0" w:space="0" w:color="auto"/>
      </w:divBdr>
    </w:div>
    <w:div w:id="1797403967">
      <w:bodyDiv w:val="1"/>
      <w:marLeft w:val="0"/>
      <w:marRight w:val="0"/>
      <w:marTop w:val="0"/>
      <w:marBottom w:val="0"/>
      <w:divBdr>
        <w:top w:val="none" w:sz="0" w:space="0" w:color="auto"/>
        <w:left w:val="none" w:sz="0" w:space="0" w:color="auto"/>
        <w:bottom w:val="none" w:sz="0" w:space="0" w:color="auto"/>
        <w:right w:val="none" w:sz="0" w:space="0" w:color="auto"/>
      </w:divBdr>
    </w:div>
    <w:div w:id="1812670771">
      <w:bodyDiv w:val="1"/>
      <w:marLeft w:val="0"/>
      <w:marRight w:val="0"/>
      <w:marTop w:val="0"/>
      <w:marBottom w:val="0"/>
      <w:divBdr>
        <w:top w:val="none" w:sz="0" w:space="0" w:color="auto"/>
        <w:left w:val="none" w:sz="0" w:space="0" w:color="auto"/>
        <w:bottom w:val="none" w:sz="0" w:space="0" w:color="auto"/>
        <w:right w:val="none" w:sz="0" w:space="0" w:color="auto"/>
      </w:divBdr>
    </w:div>
    <w:div w:id="1880824995">
      <w:bodyDiv w:val="1"/>
      <w:marLeft w:val="0"/>
      <w:marRight w:val="0"/>
      <w:marTop w:val="0"/>
      <w:marBottom w:val="0"/>
      <w:divBdr>
        <w:top w:val="none" w:sz="0" w:space="0" w:color="auto"/>
        <w:left w:val="none" w:sz="0" w:space="0" w:color="auto"/>
        <w:bottom w:val="none" w:sz="0" w:space="0" w:color="auto"/>
        <w:right w:val="none" w:sz="0" w:space="0" w:color="auto"/>
      </w:divBdr>
    </w:div>
    <w:div w:id="189708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nkulova@phls.uni-sofi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3182</Words>
  <Characters>18140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2026-09-12T12:30:00Z</dcterms:created>
  <dcterms:modified xsi:type="dcterms:W3CDTF">2026-09-12T12:30:00Z</dcterms:modified>
</cp:coreProperties>
</file>