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7E26" w14:textId="5D74E9B2" w:rsidR="008D1109" w:rsidRPr="00471759" w:rsidRDefault="00A84459" w:rsidP="00471759">
      <w:pPr>
        <w:jc w:val="center"/>
        <w:rPr>
          <w:b/>
          <w:bCs/>
          <w:sz w:val="32"/>
          <w:szCs w:val="32"/>
        </w:rPr>
      </w:pPr>
      <w:r>
        <w:rPr>
          <w:b/>
          <w:bCs/>
          <w:sz w:val="32"/>
          <w:szCs w:val="32"/>
        </w:rPr>
        <w:t>ТЕХНИЧЕСКИ</w:t>
      </w:r>
      <w:r w:rsidR="00F627B5" w:rsidRPr="00F627B5">
        <w:rPr>
          <w:b/>
          <w:bCs/>
          <w:sz w:val="32"/>
          <w:szCs w:val="32"/>
        </w:rPr>
        <w:t xml:space="preserve"> МЕРКИ ЗА ЗАЩИТА </w:t>
      </w:r>
      <w:r w:rsidR="00471759" w:rsidRPr="00471759">
        <w:rPr>
          <w:b/>
          <w:bCs/>
          <w:sz w:val="32"/>
          <w:szCs w:val="32"/>
        </w:rPr>
        <w:t>НА НАЦИОНАЛНАТА СИСТЕМА 112</w:t>
      </w:r>
    </w:p>
    <w:p w14:paraId="2E7EBC72" w14:textId="77777777" w:rsidR="003B4BBC" w:rsidRDefault="003B4BBC" w:rsidP="00E019C5">
      <w:pPr>
        <w:jc w:val="center"/>
        <w:rPr>
          <w:szCs w:val="28"/>
        </w:rPr>
      </w:pPr>
    </w:p>
    <w:p w14:paraId="0D80780B" w14:textId="7B988FE5" w:rsidR="008D1109" w:rsidRDefault="00471759" w:rsidP="00E019C5">
      <w:pPr>
        <w:jc w:val="center"/>
        <w:rPr>
          <w:b/>
          <w:bCs/>
          <w:sz w:val="32"/>
          <w:szCs w:val="32"/>
        </w:rPr>
      </w:pPr>
      <w:r>
        <w:rPr>
          <w:b/>
          <w:bCs/>
          <w:sz w:val="32"/>
          <w:szCs w:val="32"/>
        </w:rPr>
        <w:t>Нефизе Мехмедали</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291CB32" w14:textId="6269B867" w:rsidR="003B4BBC" w:rsidRPr="006B025F" w:rsidRDefault="00A84459" w:rsidP="00471759">
      <w:pPr>
        <w:jc w:val="center"/>
        <w:rPr>
          <w:b/>
          <w:bCs/>
          <w:sz w:val="32"/>
          <w:szCs w:val="32"/>
        </w:rPr>
      </w:pPr>
      <w:r>
        <w:rPr>
          <w:b/>
          <w:bCs/>
          <w:sz w:val="32"/>
          <w:szCs w:val="32"/>
          <w:lang w:val="en-US"/>
        </w:rPr>
        <w:t>TECHNICAL</w:t>
      </w:r>
      <w:r w:rsidR="006B025F" w:rsidRPr="006B025F">
        <w:rPr>
          <w:b/>
          <w:bCs/>
          <w:sz w:val="32"/>
          <w:szCs w:val="32"/>
        </w:rPr>
        <w:t xml:space="preserve"> MEASURES FOR THE PROTECTION OF THE NATIONAL 112 SYSTEM</w:t>
      </w:r>
    </w:p>
    <w:p w14:paraId="22751C3F" w14:textId="2A3FBF33" w:rsidR="008D1109" w:rsidRDefault="008D1109" w:rsidP="00E019C5">
      <w:pPr>
        <w:jc w:val="center"/>
        <w:rPr>
          <w:szCs w:val="28"/>
          <w:lang w:val="en-US"/>
        </w:rPr>
      </w:pPr>
    </w:p>
    <w:p w14:paraId="0539B7B2" w14:textId="15062672" w:rsidR="003B4BBC" w:rsidRPr="0010060B" w:rsidRDefault="00471759" w:rsidP="003B4BBC">
      <w:pPr>
        <w:spacing w:before="100" w:beforeAutospacing="1" w:after="100" w:afterAutospacing="1"/>
        <w:contextualSpacing/>
        <w:jc w:val="center"/>
        <w:rPr>
          <w:szCs w:val="28"/>
        </w:rPr>
      </w:pPr>
      <w:r>
        <w:rPr>
          <w:b/>
          <w:bCs/>
          <w:sz w:val="32"/>
          <w:szCs w:val="32"/>
          <w:lang w:val="en-US"/>
        </w:rPr>
        <w:t>Nefize Mehmedali</w:t>
      </w:r>
      <w:r w:rsidR="003B4BBC">
        <w:rPr>
          <w:b/>
          <w:bCs/>
          <w:sz w:val="32"/>
          <w:szCs w:val="32"/>
          <w:lang w:val="en-US"/>
        </w:rPr>
        <w:t xml:space="preserve"> </w:t>
      </w:r>
    </w:p>
    <w:p w14:paraId="1072AA97" w14:textId="1A070D58" w:rsidR="00274819" w:rsidRDefault="00274819" w:rsidP="00E019C5">
      <w:pPr>
        <w:jc w:val="center"/>
        <w:rPr>
          <w:szCs w:val="28"/>
          <w:lang w:val="en-US"/>
        </w:rPr>
      </w:pPr>
    </w:p>
    <w:p w14:paraId="0DB4CE9C" w14:textId="11A451D8" w:rsidR="00943D2E" w:rsidRPr="00943D2E" w:rsidRDefault="003B4BBC" w:rsidP="00943D2E">
      <w:pPr>
        <w:ind w:firstLine="567"/>
        <w:jc w:val="both"/>
        <w:rPr>
          <w:i/>
          <w:iCs/>
          <w:sz w:val="24"/>
        </w:rPr>
      </w:pPr>
      <w:r w:rsidRPr="0010060B">
        <w:rPr>
          <w:b/>
          <w:bCs/>
          <w:i/>
          <w:iCs/>
          <w:sz w:val="24"/>
        </w:rPr>
        <w:t>Резюме:</w:t>
      </w:r>
      <w:r w:rsidRPr="0010060B">
        <w:rPr>
          <w:i/>
          <w:iCs/>
          <w:sz w:val="24"/>
        </w:rPr>
        <w:t xml:space="preserve"> </w:t>
      </w:r>
      <w:r w:rsidR="00943D2E" w:rsidRPr="00943D2E">
        <w:rPr>
          <w:i/>
          <w:iCs/>
          <w:sz w:val="24"/>
        </w:rPr>
        <w:t xml:space="preserve">Настоящият доклад разглежда техническите мерки за защита на Националната система за спешни повиквания с единен европейски номер 112 като критична информационна и комуникационна инфраструктура. Анализирани са технологичната архитектура на системата, основните </w:t>
      </w:r>
      <w:proofErr w:type="spellStart"/>
      <w:r w:rsidR="00943D2E" w:rsidRPr="00943D2E">
        <w:rPr>
          <w:i/>
          <w:iCs/>
          <w:sz w:val="24"/>
        </w:rPr>
        <w:t>киберзаплахи</w:t>
      </w:r>
      <w:proofErr w:type="spellEnd"/>
      <w:r w:rsidR="00943D2E" w:rsidRPr="00943D2E">
        <w:rPr>
          <w:i/>
          <w:iCs/>
          <w:sz w:val="24"/>
        </w:rPr>
        <w:t xml:space="preserve"> и векторите на атака, включително </w:t>
      </w:r>
      <w:proofErr w:type="spellStart"/>
      <w:r w:rsidR="00943D2E" w:rsidRPr="00943D2E">
        <w:rPr>
          <w:i/>
          <w:iCs/>
          <w:sz w:val="24"/>
        </w:rPr>
        <w:t>DoS</w:t>
      </w:r>
      <w:proofErr w:type="spellEnd"/>
      <w:r w:rsidR="00943D2E" w:rsidRPr="00943D2E">
        <w:rPr>
          <w:i/>
          <w:iCs/>
          <w:sz w:val="24"/>
        </w:rPr>
        <w:t>/</w:t>
      </w:r>
      <w:proofErr w:type="spellStart"/>
      <w:r w:rsidR="00943D2E" w:rsidRPr="00943D2E">
        <w:rPr>
          <w:i/>
          <w:iCs/>
          <w:sz w:val="24"/>
        </w:rPr>
        <w:t>DDoS</w:t>
      </w:r>
      <w:proofErr w:type="spellEnd"/>
      <w:r w:rsidR="00943D2E" w:rsidRPr="00943D2E">
        <w:rPr>
          <w:i/>
          <w:iCs/>
          <w:sz w:val="24"/>
        </w:rPr>
        <w:t xml:space="preserve"> и </w:t>
      </w:r>
      <w:proofErr w:type="spellStart"/>
      <w:r w:rsidR="00943D2E" w:rsidRPr="00943D2E">
        <w:rPr>
          <w:i/>
          <w:iCs/>
          <w:sz w:val="24"/>
        </w:rPr>
        <w:t>TDoS</w:t>
      </w:r>
      <w:proofErr w:type="spellEnd"/>
      <w:r w:rsidR="00943D2E" w:rsidRPr="00943D2E">
        <w:rPr>
          <w:i/>
          <w:iCs/>
          <w:sz w:val="24"/>
        </w:rPr>
        <w:t xml:space="preserve"> атаки, зловреден софтуер, компрометиране на комуникациите и вътрешни заплахи. Изследвани са механизмите за мрежова и </w:t>
      </w:r>
      <w:proofErr w:type="spellStart"/>
      <w:r w:rsidR="00943D2E" w:rsidRPr="00943D2E">
        <w:rPr>
          <w:i/>
          <w:iCs/>
          <w:sz w:val="24"/>
        </w:rPr>
        <w:t>периметрова</w:t>
      </w:r>
      <w:proofErr w:type="spellEnd"/>
      <w:r w:rsidR="00943D2E" w:rsidRPr="00943D2E">
        <w:rPr>
          <w:i/>
          <w:iCs/>
          <w:sz w:val="24"/>
        </w:rPr>
        <w:t xml:space="preserve"> защита, сегментация, управление на идентичността и достъпа, </w:t>
      </w:r>
      <w:proofErr w:type="spellStart"/>
      <w:r w:rsidR="00943D2E" w:rsidRPr="00943D2E">
        <w:rPr>
          <w:i/>
          <w:iCs/>
          <w:sz w:val="24"/>
        </w:rPr>
        <w:t>криптографска</w:t>
      </w:r>
      <w:proofErr w:type="spellEnd"/>
      <w:r w:rsidR="00943D2E" w:rsidRPr="00943D2E">
        <w:rPr>
          <w:i/>
          <w:iCs/>
          <w:sz w:val="24"/>
        </w:rPr>
        <w:t xml:space="preserve"> защита на данните и физическа сигурност на инфраструктурата. Разгледана е ролята на SIEM, SOC и SOAR при мониторинга, откриването и реагирането на инциденти. Обоснована е необходимостта от интегриран подход, съчетаващ превенция, техническа устойчивост, непрекъснат контрол и своевременно възстановяване за гарантиране надеждността и непрекъсваемото функциониране на НССО 112.</w:t>
      </w:r>
    </w:p>
    <w:p w14:paraId="6C66DE3B" w14:textId="77777777" w:rsidR="00943D2E" w:rsidRPr="00943D2E" w:rsidRDefault="00943D2E" w:rsidP="00943D2E">
      <w:pPr>
        <w:ind w:firstLine="567"/>
        <w:jc w:val="both"/>
        <w:rPr>
          <w:i/>
          <w:iCs/>
          <w:sz w:val="24"/>
        </w:rPr>
      </w:pPr>
    </w:p>
    <w:p w14:paraId="2461AA37" w14:textId="110E72AF" w:rsidR="00274819" w:rsidRPr="005022FD" w:rsidRDefault="00274819" w:rsidP="003004BD">
      <w:pPr>
        <w:ind w:firstLine="567"/>
        <w:jc w:val="both"/>
        <w:rPr>
          <w:i/>
          <w:iCs/>
          <w:sz w:val="24"/>
          <w:lang w:val="en-US"/>
        </w:rPr>
      </w:pPr>
      <w:r>
        <w:rPr>
          <w:b/>
          <w:bCs/>
          <w:i/>
          <w:iCs/>
          <w:sz w:val="24"/>
        </w:rPr>
        <w:t>Ключови думи:</w:t>
      </w:r>
      <w:r>
        <w:rPr>
          <w:i/>
          <w:iCs/>
          <w:sz w:val="24"/>
        </w:rPr>
        <w:t xml:space="preserve"> </w:t>
      </w:r>
      <w:r w:rsidR="00943D2E" w:rsidRPr="00943D2E">
        <w:rPr>
          <w:i/>
          <w:iCs/>
          <w:sz w:val="24"/>
        </w:rPr>
        <w:t xml:space="preserve">НССО 112, техническа защита, </w:t>
      </w:r>
      <w:proofErr w:type="spellStart"/>
      <w:r w:rsidR="00943D2E" w:rsidRPr="00943D2E">
        <w:rPr>
          <w:i/>
          <w:iCs/>
          <w:sz w:val="24"/>
        </w:rPr>
        <w:t>киберсигурност</w:t>
      </w:r>
      <w:proofErr w:type="spellEnd"/>
      <w:r w:rsidR="00943D2E" w:rsidRPr="00943D2E">
        <w:rPr>
          <w:i/>
          <w:iCs/>
          <w:sz w:val="24"/>
        </w:rPr>
        <w:t xml:space="preserve">, </w:t>
      </w:r>
      <w:proofErr w:type="spellStart"/>
      <w:r w:rsidR="00943D2E" w:rsidRPr="00943D2E">
        <w:rPr>
          <w:i/>
          <w:iCs/>
          <w:sz w:val="24"/>
        </w:rPr>
        <w:t>Zero</w:t>
      </w:r>
      <w:proofErr w:type="spellEnd"/>
      <w:r w:rsidR="00943D2E" w:rsidRPr="00943D2E">
        <w:rPr>
          <w:i/>
          <w:iCs/>
          <w:sz w:val="24"/>
        </w:rPr>
        <w:t xml:space="preserve"> </w:t>
      </w:r>
      <w:proofErr w:type="spellStart"/>
      <w:r w:rsidR="00943D2E" w:rsidRPr="00943D2E">
        <w:rPr>
          <w:i/>
          <w:iCs/>
          <w:sz w:val="24"/>
        </w:rPr>
        <w:t>Trust</w:t>
      </w:r>
      <w:proofErr w:type="spellEnd"/>
      <w:r w:rsidR="00943D2E">
        <w:rPr>
          <w:i/>
          <w:iCs/>
          <w:sz w:val="24"/>
        </w:rPr>
        <w:t>, непрекъсваемост на дейността</w:t>
      </w:r>
    </w:p>
    <w:p w14:paraId="14068DE0" w14:textId="5A7D97ED" w:rsidR="00274819" w:rsidRDefault="00274819" w:rsidP="003004BD">
      <w:pPr>
        <w:ind w:firstLine="567"/>
        <w:jc w:val="both"/>
        <w:rPr>
          <w:szCs w:val="28"/>
        </w:rPr>
      </w:pPr>
    </w:p>
    <w:p w14:paraId="1F3A38DD" w14:textId="6547EFB4" w:rsidR="00274819" w:rsidRPr="00471759" w:rsidRDefault="003B4BBC" w:rsidP="003004BD">
      <w:pPr>
        <w:ind w:firstLine="567"/>
        <w:jc w:val="both"/>
        <w:rPr>
          <w:i/>
          <w:iCs/>
          <w:sz w:val="24"/>
        </w:rPr>
      </w:pPr>
      <w:r w:rsidRPr="003B4BBC">
        <w:rPr>
          <w:b/>
          <w:bCs/>
          <w:i/>
          <w:iCs/>
          <w:sz w:val="24"/>
          <w:lang w:val="en-US"/>
        </w:rPr>
        <w:t xml:space="preserve">Abstract: </w:t>
      </w:r>
      <w:r w:rsidR="00283127" w:rsidRPr="00283127">
        <w:rPr>
          <w:bCs/>
          <w:i/>
          <w:iCs/>
          <w:sz w:val="24"/>
          <w:lang w:val="en-US"/>
        </w:rPr>
        <w:t>This report examines the technical protection measures for the National Emergency Call System (using the single European number 112) as a critical information and communication infrastructure. It analyzes the system's technological architecture, key cyber threats, and attack vectors—including DoS/DDoS and TDoS attacks, malware, communication compromise, and insider threats. The report investigates mechanisms for network and perimeter protection, segmentation, identity and access management, cryptographic data protection, and physical infrastructure security</w:t>
      </w:r>
      <w:r w:rsidR="00A41931">
        <w:rPr>
          <w:bCs/>
          <w:i/>
          <w:iCs/>
          <w:sz w:val="24"/>
        </w:rPr>
        <w:t xml:space="preserve">. </w:t>
      </w:r>
      <w:r w:rsidR="00283127" w:rsidRPr="00283127">
        <w:rPr>
          <w:bCs/>
          <w:i/>
          <w:iCs/>
          <w:sz w:val="24"/>
          <w:lang w:val="en-US"/>
        </w:rPr>
        <w:t>The roles of SIEM, SOC, and SOAR in monitoring, detection, and incident response are also discussed. Finally, the report substantiates the need for an integrated approach—combining prevention, technical resilience, continuous monitoring, and timely recovery—to guarantee the reliability and uninterrupted operation of the 112 emergency system.</w:t>
      </w:r>
    </w:p>
    <w:p w14:paraId="42E0ACE4" w14:textId="405591FA" w:rsidR="00274819" w:rsidRPr="00274819" w:rsidRDefault="00274819" w:rsidP="003004BD">
      <w:pPr>
        <w:ind w:firstLine="567"/>
        <w:jc w:val="both"/>
        <w:rPr>
          <w:szCs w:val="28"/>
          <w:lang w:val="en-US"/>
        </w:rPr>
      </w:pPr>
    </w:p>
    <w:p w14:paraId="023C3CE7" w14:textId="6300FD0F" w:rsidR="00274819" w:rsidRDefault="00274819" w:rsidP="0072391F">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72391F" w:rsidRPr="0072391F">
        <w:rPr>
          <w:i/>
          <w:iCs/>
          <w:sz w:val="24"/>
        </w:rPr>
        <w:t xml:space="preserve">National 112 </w:t>
      </w:r>
      <w:proofErr w:type="spellStart"/>
      <w:r w:rsidR="0072391F" w:rsidRPr="0072391F">
        <w:rPr>
          <w:i/>
          <w:iCs/>
          <w:sz w:val="24"/>
        </w:rPr>
        <w:t>System</w:t>
      </w:r>
      <w:proofErr w:type="spellEnd"/>
      <w:r w:rsidR="0072391F" w:rsidRPr="0072391F">
        <w:rPr>
          <w:i/>
          <w:iCs/>
          <w:sz w:val="24"/>
        </w:rPr>
        <w:t xml:space="preserve">, </w:t>
      </w:r>
      <w:proofErr w:type="spellStart"/>
      <w:r w:rsidR="00283127" w:rsidRPr="00283127">
        <w:rPr>
          <w:i/>
          <w:iCs/>
          <w:sz w:val="24"/>
        </w:rPr>
        <w:t>technical</w:t>
      </w:r>
      <w:proofErr w:type="spellEnd"/>
      <w:r w:rsidR="00283127" w:rsidRPr="00283127">
        <w:rPr>
          <w:i/>
          <w:iCs/>
          <w:sz w:val="24"/>
        </w:rPr>
        <w:t xml:space="preserve"> </w:t>
      </w:r>
      <w:proofErr w:type="spellStart"/>
      <w:r w:rsidR="00283127" w:rsidRPr="00283127">
        <w:rPr>
          <w:i/>
          <w:iCs/>
          <w:sz w:val="24"/>
        </w:rPr>
        <w:t>protection</w:t>
      </w:r>
      <w:proofErr w:type="spellEnd"/>
      <w:r w:rsidR="00283127" w:rsidRPr="00283127">
        <w:rPr>
          <w:i/>
          <w:iCs/>
          <w:sz w:val="24"/>
        </w:rPr>
        <w:t xml:space="preserve">, </w:t>
      </w:r>
      <w:proofErr w:type="spellStart"/>
      <w:r w:rsidR="00283127" w:rsidRPr="00283127">
        <w:rPr>
          <w:i/>
          <w:iCs/>
          <w:sz w:val="24"/>
        </w:rPr>
        <w:t>cybersecurity</w:t>
      </w:r>
      <w:proofErr w:type="spellEnd"/>
      <w:r w:rsidR="00283127" w:rsidRPr="00283127">
        <w:rPr>
          <w:i/>
          <w:iCs/>
          <w:sz w:val="24"/>
        </w:rPr>
        <w:t xml:space="preserve">, </w:t>
      </w:r>
      <w:proofErr w:type="spellStart"/>
      <w:r w:rsidR="00283127" w:rsidRPr="00283127">
        <w:rPr>
          <w:i/>
          <w:iCs/>
          <w:sz w:val="24"/>
        </w:rPr>
        <w:t>Zero</w:t>
      </w:r>
      <w:proofErr w:type="spellEnd"/>
      <w:r w:rsidR="00283127" w:rsidRPr="00283127">
        <w:rPr>
          <w:i/>
          <w:iCs/>
          <w:sz w:val="24"/>
        </w:rPr>
        <w:t xml:space="preserve"> </w:t>
      </w:r>
      <w:proofErr w:type="spellStart"/>
      <w:r w:rsidR="00283127" w:rsidRPr="00283127">
        <w:rPr>
          <w:i/>
          <w:iCs/>
          <w:sz w:val="24"/>
        </w:rPr>
        <w:t>Trust</w:t>
      </w:r>
      <w:proofErr w:type="spellEnd"/>
      <w:r w:rsidR="00283127" w:rsidRPr="00283127">
        <w:rPr>
          <w:i/>
          <w:iCs/>
          <w:sz w:val="24"/>
        </w:rPr>
        <w:t xml:space="preserve">, </w:t>
      </w:r>
      <w:proofErr w:type="spellStart"/>
      <w:r w:rsidR="00283127" w:rsidRPr="00283127">
        <w:rPr>
          <w:i/>
          <w:iCs/>
          <w:sz w:val="24"/>
        </w:rPr>
        <w:t>business</w:t>
      </w:r>
      <w:proofErr w:type="spellEnd"/>
      <w:r w:rsidR="00283127" w:rsidRPr="00283127">
        <w:rPr>
          <w:i/>
          <w:iCs/>
          <w:sz w:val="24"/>
        </w:rPr>
        <w:t xml:space="preserve"> </w:t>
      </w:r>
      <w:proofErr w:type="spellStart"/>
      <w:r w:rsidR="00283127" w:rsidRPr="00283127">
        <w:rPr>
          <w:i/>
          <w:iCs/>
          <w:sz w:val="24"/>
        </w:rPr>
        <w:t>continuity</w:t>
      </w:r>
      <w:proofErr w:type="spellEnd"/>
    </w:p>
    <w:p w14:paraId="580006BD" w14:textId="77777777" w:rsidR="00A41931" w:rsidRDefault="00A41931" w:rsidP="0072391F">
      <w:pPr>
        <w:ind w:firstLine="567"/>
        <w:jc w:val="both"/>
        <w:rPr>
          <w:b/>
          <w:bCs/>
          <w:szCs w:val="28"/>
        </w:rPr>
      </w:pPr>
    </w:p>
    <w:p w14:paraId="29C6DC07" w14:textId="77777777" w:rsidR="005044C9" w:rsidRDefault="005044C9" w:rsidP="0072391F">
      <w:pPr>
        <w:ind w:firstLine="567"/>
        <w:jc w:val="both"/>
        <w:rPr>
          <w:b/>
          <w:bCs/>
          <w:szCs w:val="28"/>
        </w:rPr>
      </w:pPr>
    </w:p>
    <w:p w14:paraId="2F1B9C8B" w14:textId="72F12FE2" w:rsidR="00D45D68" w:rsidRPr="00D45D68" w:rsidRDefault="00D45D68" w:rsidP="005044C9">
      <w:pPr>
        <w:ind w:firstLine="567"/>
        <w:jc w:val="both"/>
        <w:rPr>
          <w:b/>
          <w:bCs/>
          <w:szCs w:val="28"/>
        </w:rPr>
      </w:pPr>
      <w:r w:rsidRPr="00D45D68">
        <w:rPr>
          <w:b/>
          <w:bCs/>
          <w:szCs w:val="28"/>
        </w:rPr>
        <w:t>Въведение</w:t>
      </w:r>
    </w:p>
    <w:p w14:paraId="71DAACB3" w14:textId="77777777" w:rsidR="005044C9" w:rsidRPr="005044C9" w:rsidRDefault="005044C9" w:rsidP="005044C9">
      <w:pPr>
        <w:pStyle w:val="af1"/>
        <w:spacing w:before="0" w:beforeAutospacing="0"/>
        <w:ind w:firstLine="546"/>
        <w:contextualSpacing/>
        <w:jc w:val="both"/>
        <w:rPr>
          <w:sz w:val="28"/>
          <w:szCs w:val="28"/>
        </w:rPr>
      </w:pPr>
      <w:r w:rsidRPr="005044C9">
        <w:rPr>
          <w:sz w:val="28"/>
          <w:szCs w:val="28"/>
        </w:rPr>
        <w:t>Развитието на информационните и комуникационните технологии и нарастващата зависимост на обществено значимите услуги от цифрова инфраструктура поставят нови изисквания към тяхната сигурност, надеждност и устойчивост. Националната система за спешни повиквания с единен европейски номер 112 изпълнява особено значима обществена функция, като осигурява достъп на гражданите до компетентните служби за спешно реагиране. Нарушаването на нейната работоспособност може да затрудни приемането, обработването и предаването на информация за възникнали инциденти, поради което техническата защита следва да бъде разглеждана като съществен компонент от цялостното управление на сигурността на системата [1].</w:t>
      </w:r>
    </w:p>
    <w:p w14:paraId="07B5486A" w14:textId="77777777" w:rsidR="005044C9" w:rsidRPr="005044C9" w:rsidRDefault="005044C9" w:rsidP="005044C9">
      <w:pPr>
        <w:pStyle w:val="af1"/>
        <w:ind w:firstLine="546"/>
        <w:contextualSpacing/>
        <w:jc w:val="both"/>
        <w:rPr>
          <w:sz w:val="28"/>
          <w:szCs w:val="28"/>
        </w:rPr>
      </w:pPr>
      <w:r w:rsidRPr="005044C9">
        <w:rPr>
          <w:sz w:val="28"/>
          <w:szCs w:val="28"/>
        </w:rPr>
        <w:t xml:space="preserve">Нормативната основа за функционирането и защитата на НССО 112 се формира от национални и европейски нормативни актове, свързани с функционирането на системата, </w:t>
      </w:r>
      <w:proofErr w:type="spellStart"/>
      <w:r w:rsidRPr="005044C9">
        <w:rPr>
          <w:sz w:val="28"/>
          <w:szCs w:val="28"/>
        </w:rPr>
        <w:t>киберсигурността</w:t>
      </w:r>
      <w:proofErr w:type="spellEnd"/>
      <w:r w:rsidRPr="005044C9">
        <w:rPr>
          <w:sz w:val="28"/>
          <w:szCs w:val="28"/>
        </w:rPr>
        <w:t xml:space="preserve"> и защитата на личните данни. Законът за Националната система за спешни повиквания с единен европейски номер 112 регламентира организацията и функционирането ѝ [1]. Законът за </w:t>
      </w:r>
      <w:proofErr w:type="spellStart"/>
      <w:r w:rsidRPr="005044C9">
        <w:rPr>
          <w:sz w:val="28"/>
          <w:szCs w:val="28"/>
        </w:rPr>
        <w:t>киберсигурност</w:t>
      </w:r>
      <w:proofErr w:type="spellEnd"/>
      <w:r w:rsidRPr="005044C9">
        <w:rPr>
          <w:sz w:val="28"/>
          <w:szCs w:val="28"/>
        </w:rPr>
        <w:t xml:space="preserve"> и Наредбата за минималните изисквания за мрежова и информационна сигурност формират част от националната нормативна рамка за управление на мрежовата и информационната сигурност [2, 3]. На европейско равнище Директива (ЕС) 2022/2555 (NIS 2) развива изискванията относно управлението на рисковете в областта на </w:t>
      </w:r>
      <w:proofErr w:type="spellStart"/>
      <w:r w:rsidRPr="005044C9">
        <w:rPr>
          <w:sz w:val="28"/>
          <w:szCs w:val="28"/>
        </w:rPr>
        <w:t>киберсигурността</w:t>
      </w:r>
      <w:proofErr w:type="spellEnd"/>
      <w:r w:rsidRPr="005044C9">
        <w:rPr>
          <w:sz w:val="28"/>
          <w:szCs w:val="28"/>
        </w:rPr>
        <w:t xml:space="preserve"> и реагирането при инциденти [4]. Обработването на лични данни в цифрова среда следва да бъде съобразено и с изискванията на Регламент (ЕС) 2016/679 [5].</w:t>
      </w:r>
    </w:p>
    <w:p w14:paraId="4DAC042B" w14:textId="77777777" w:rsidR="005044C9" w:rsidRPr="005044C9" w:rsidRDefault="005044C9" w:rsidP="005044C9">
      <w:pPr>
        <w:pStyle w:val="af1"/>
        <w:ind w:firstLine="546"/>
        <w:contextualSpacing/>
        <w:jc w:val="both"/>
        <w:rPr>
          <w:sz w:val="28"/>
          <w:szCs w:val="28"/>
        </w:rPr>
      </w:pPr>
      <w:r w:rsidRPr="005044C9">
        <w:rPr>
          <w:sz w:val="28"/>
          <w:szCs w:val="28"/>
        </w:rPr>
        <w:t xml:space="preserve">Актуалността на изследвания проблем се определя от разширяването на цифровата свързаност и от разнообразието на заплахите срещу информационните и комуникационните системи. </w:t>
      </w:r>
      <w:proofErr w:type="spellStart"/>
      <w:r w:rsidRPr="005044C9">
        <w:rPr>
          <w:sz w:val="28"/>
          <w:szCs w:val="28"/>
        </w:rPr>
        <w:t>DoS</w:t>
      </w:r>
      <w:proofErr w:type="spellEnd"/>
      <w:r w:rsidRPr="005044C9">
        <w:rPr>
          <w:sz w:val="28"/>
          <w:szCs w:val="28"/>
        </w:rPr>
        <w:t>/</w:t>
      </w:r>
      <w:proofErr w:type="spellStart"/>
      <w:r w:rsidRPr="005044C9">
        <w:rPr>
          <w:sz w:val="28"/>
          <w:szCs w:val="28"/>
        </w:rPr>
        <w:t>DDoS</w:t>
      </w:r>
      <w:proofErr w:type="spellEnd"/>
      <w:r w:rsidRPr="005044C9">
        <w:rPr>
          <w:sz w:val="28"/>
          <w:szCs w:val="28"/>
        </w:rPr>
        <w:t xml:space="preserve"> и </w:t>
      </w:r>
      <w:proofErr w:type="spellStart"/>
      <w:r w:rsidRPr="005044C9">
        <w:rPr>
          <w:sz w:val="28"/>
          <w:szCs w:val="28"/>
        </w:rPr>
        <w:t>TDoS</w:t>
      </w:r>
      <w:proofErr w:type="spellEnd"/>
      <w:r w:rsidRPr="005044C9">
        <w:rPr>
          <w:sz w:val="28"/>
          <w:szCs w:val="28"/>
        </w:rPr>
        <w:t xml:space="preserve"> атаки, зловреден софтуер, </w:t>
      </w:r>
      <w:proofErr w:type="spellStart"/>
      <w:r w:rsidRPr="005044C9">
        <w:rPr>
          <w:sz w:val="28"/>
          <w:szCs w:val="28"/>
        </w:rPr>
        <w:t>ransomware</w:t>
      </w:r>
      <w:proofErr w:type="spellEnd"/>
      <w:r w:rsidRPr="005044C9">
        <w:rPr>
          <w:sz w:val="28"/>
          <w:szCs w:val="28"/>
        </w:rPr>
        <w:t xml:space="preserve">, компрометиране на комуникационни канали, неправомерен достъп и вътрешни заплахи са сред разглежданите в доклада рискови сценарии. Това налага техническата защита да се изгражда като съвкупност от взаимно допълващи се механизми, обхващащи мрежова сегментация, контрол на достъпа, </w:t>
      </w:r>
      <w:proofErr w:type="spellStart"/>
      <w:r w:rsidRPr="005044C9">
        <w:rPr>
          <w:sz w:val="28"/>
          <w:szCs w:val="28"/>
        </w:rPr>
        <w:t>криптографска</w:t>
      </w:r>
      <w:proofErr w:type="spellEnd"/>
      <w:r w:rsidRPr="005044C9">
        <w:rPr>
          <w:sz w:val="28"/>
          <w:szCs w:val="28"/>
        </w:rPr>
        <w:t xml:space="preserve"> защита, мониторинг, резервираност и възстановяване.</w:t>
      </w:r>
    </w:p>
    <w:p w14:paraId="44DE6832" w14:textId="4D33C812" w:rsidR="005044C9" w:rsidRPr="005044C9" w:rsidRDefault="005044C9" w:rsidP="005044C9">
      <w:pPr>
        <w:pStyle w:val="af1"/>
        <w:ind w:firstLine="546"/>
        <w:contextualSpacing/>
        <w:jc w:val="both"/>
        <w:rPr>
          <w:sz w:val="28"/>
          <w:szCs w:val="28"/>
        </w:rPr>
      </w:pPr>
      <w:r w:rsidRPr="005044C9">
        <w:rPr>
          <w:sz w:val="28"/>
          <w:szCs w:val="28"/>
        </w:rPr>
        <w:t xml:space="preserve">Особено значение придобива прилагането на концепцията </w:t>
      </w:r>
      <w:proofErr w:type="spellStart"/>
      <w:r w:rsidRPr="005044C9">
        <w:rPr>
          <w:sz w:val="28"/>
          <w:szCs w:val="28"/>
        </w:rPr>
        <w:t>Defense-in-Depth</w:t>
      </w:r>
      <w:proofErr w:type="spellEnd"/>
      <w:r w:rsidRPr="005044C9">
        <w:rPr>
          <w:sz w:val="28"/>
          <w:szCs w:val="28"/>
        </w:rPr>
        <w:t xml:space="preserve">, при която сигурността се изгражда чрез последователни и взаимно допълващи се защитни нива. В тази логика се вписва и моделът </w:t>
      </w:r>
      <w:proofErr w:type="spellStart"/>
      <w:r w:rsidRPr="005044C9">
        <w:rPr>
          <w:sz w:val="28"/>
          <w:szCs w:val="28"/>
        </w:rPr>
        <w:t>Zero</w:t>
      </w:r>
      <w:proofErr w:type="spellEnd"/>
      <w:r w:rsidRPr="005044C9">
        <w:rPr>
          <w:sz w:val="28"/>
          <w:szCs w:val="28"/>
        </w:rPr>
        <w:t xml:space="preserve"> </w:t>
      </w:r>
      <w:proofErr w:type="spellStart"/>
      <w:r w:rsidRPr="005044C9">
        <w:rPr>
          <w:sz w:val="28"/>
          <w:szCs w:val="28"/>
        </w:rPr>
        <w:t>Trust</w:t>
      </w:r>
      <w:proofErr w:type="spellEnd"/>
      <w:r w:rsidRPr="005044C9">
        <w:rPr>
          <w:sz w:val="28"/>
          <w:szCs w:val="28"/>
        </w:rPr>
        <w:t>, основан на непрекъсната проверка на идентичността, контекста и правата за достъп вместо на автоматично доверие, произтичащо единствено от местоположението в мрежовата среда. Системният подход към информационната сигурност и непрекъсваемостта на дейността намира методологична опора и в ISO/IEC 27001:2022 и ISO 22301:2019 [6, 8].</w:t>
      </w:r>
    </w:p>
    <w:p w14:paraId="5313E19B" w14:textId="521C2D1B" w:rsidR="005044C9" w:rsidRPr="005044C9" w:rsidRDefault="005044C9" w:rsidP="005044C9">
      <w:pPr>
        <w:pStyle w:val="af1"/>
        <w:ind w:firstLine="546"/>
        <w:contextualSpacing/>
        <w:jc w:val="both"/>
        <w:rPr>
          <w:sz w:val="28"/>
          <w:szCs w:val="28"/>
        </w:rPr>
      </w:pPr>
      <w:r w:rsidRPr="005044C9">
        <w:rPr>
          <w:sz w:val="28"/>
          <w:szCs w:val="28"/>
        </w:rPr>
        <w:t>Целта на доклада е да бъдат анализирани основните технически мерки и механизми за защита на НССО 112 и тяхното значение за осигуряване на сигурността, устойчивостта и непрекъсваемостта на критичните процеси.</w:t>
      </w:r>
    </w:p>
    <w:p w14:paraId="1882749E" w14:textId="51C6D721" w:rsidR="005044C9" w:rsidRPr="005044C9" w:rsidRDefault="005044C9" w:rsidP="005044C9">
      <w:pPr>
        <w:pStyle w:val="af1"/>
        <w:ind w:firstLine="546"/>
        <w:contextualSpacing/>
        <w:jc w:val="both"/>
        <w:rPr>
          <w:sz w:val="28"/>
          <w:szCs w:val="28"/>
        </w:rPr>
      </w:pPr>
      <w:r w:rsidRPr="005044C9">
        <w:rPr>
          <w:sz w:val="28"/>
          <w:szCs w:val="28"/>
        </w:rPr>
        <w:t>Обект на изследването е Националната система за спешни повиквания с единен европейски номер 112 като информационно-комуникационна и технологична система.</w:t>
      </w:r>
    </w:p>
    <w:p w14:paraId="7A28FADA" w14:textId="78111006" w:rsidR="005044C9" w:rsidRPr="005044C9" w:rsidRDefault="005044C9" w:rsidP="005044C9">
      <w:pPr>
        <w:pStyle w:val="af1"/>
        <w:ind w:firstLine="546"/>
        <w:contextualSpacing/>
        <w:jc w:val="both"/>
        <w:rPr>
          <w:sz w:val="28"/>
          <w:szCs w:val="28"/>
        </w:rPr>
      </w:pPr>
      <w:r w:rsidRPr="005044C9">
        <w:rPr>
          <w:sz w:val="28"/>
          <w:szCs w:val="28"/>
        </w:rPr>
        <w:t xml:space="preserve">Предмет на изследването са техническите средства, архитектурните решения и механизмите за мрежова и информационна защита, управление на достъпа, </w:t>
      </w:r>
      <w:proofErr w:type="spellStart"/>
      <w:r w:rsidRPr="005044C9">
        <w:rPr>
          <w:sz w:val="28"/>
          <w:szCs w:val="28"/>
        </w:rPr>
        <w:t>криптографска</w:t>
      </w:r>
      <w:proofErr w:type="spellEnd"/>
      <w:r w:rsidRPr="005044C9">
        <w:rPr>
          <w:sz w:val="28"/>
          <w:szCs w:val="28"/>
        </w:rPr>
        <w:t xml:space="preserve"> защита, противодействие на атаки за отказ от обслужване, физическа защита, резервираност, мониторинг и реагиране при инциденти.</w:t>
      </w:r>
    </w:p>
    <w:p w14:paraId="36E76A18" w14:textId="77387164" w:rsidR="003B4BBC" w:rsidRDefault="005044C9" w:rsidP="005044C9">
      <w:pPr>
        <w:pStyle w:val="af1"/>
        <w:spacing w:before="0" w:beforeAutospacing="0" w:after="0" w:afterAutospacing="0"/>
        <w:ind w:firstLine="546"/>
        <w:contextualSpacing/>
        <w:jc w:val="both"/>
        <w:rPr>
          <w:sz w:val="28"/>
          <w:szCs w:val="28"/>
        </w:rPr>
      </w:pPr>
      <w:r w:rsidRPr="005044C9">
        <w:rPr>
          <w:sz w:val="28"/>
          <w:szCs w:val="28"/>
        </w:rPr>
        <w:t>За постигане на поставената цел са приложени системен, структурно-функционален, сравнителен и риск-базиран подход, чрез които техническите механизми за защита се разглеждат като взаимосвързани елементи на единна архитектура за сигурност. Изследването е структурирано в три основни направления: архитектура и заплахи за сигурността; технически мерки за мрежова, информационна и физическа защита; техническа устойчивост, непрекъсваемост и реагиране при инциденти.</w:t>
      </w:r>
    </w:p>
    <w:p w14:paraId="494EA7E4" w14:textId="77777777" w:rsidR="00192717" w:rsidRDefault="00192717" w:rsidP="00192717">
      <w:pPr>
        <w:ind w:firstLine="567"/>
        <w:jc w:val="both"/>
        <w:rPr>
          <w:szCs w:val="28"/>
        </w:rPr>
      </w:pPr>
    </w:p>
    <w:p w14:paraId="08027757" w14:textId="6F7DF5E6" w:rsidR="004C7433" w:rsidRPr="004C7433" w:rsidRDefault="004C7433" w:rsidP="004C7433">
      <w:pPr>
        <w:ind w:firstLine="567"/>
        <w:jc w:val="both"/>
        <w:rPr>
          <w:rStyle w:val="af2"/>
          <w:rFonts w:eastAsiaTheme="majorEastAsia"/>
          <w:szCs w:val="28"/>
        </w:rPr>
      </w:pPr>
      <w:r w:rsidRPr="004C7433">
        <w:rPr>
          <w:rStyle w:val="af2"/>
          <w:rFonts w:eastAsiaTheme="majorEastAsia"/>
          <w:szCs w:val="28"/>
        </w:rPr>
        <w:t xml:space="preserve">1. </w:t>
      </w:r>
      <w:r w:rsidR="00A645CF">
        <w:rPr>
          <w:rStyle w:val="af2"/>
          <w:rFonts w:eastAsiaTheme="majorEastAsia"/>
          <w:szCs w:val="28"/>
        </w:rPr>
        <w:t>А</w:t>
      </w:r>
      <w:r w:rsidR="00A645CF" w:rsidRPr="00A645CF">
        <w:rPr>
          <w:rStyle w:val="af2"/>
          <w:rFonts w:eastAsiaTheme="majorEastAsia"/>
          <w:szCs w:val="28"/>
        </w:rPr>
        <w:t xml:space="preserve">рхитектура на </w:t>
      </w:r>
      <w:proofErr w:type="spellStart"/>
      <w:r w:rsidR="00A645CF" w:rsidRPr="00A645CF">
        <w:rPr>
          <w:rStyle w:val="af2"/>
          <w:rFonts w:eastAsiaTheme="majorEastAsia"/>
          <w:szCs w:val="28"/>
        </w:rPr>
        <w:t>нссо</w:t>
      </w:r>
      <w:proofErr w:type="spellEnd"/>
      <w:r w:rsidR="00A645CF" w:rsidRPr="00A645CF">
        <w:rPr>
          <w:rStyle w:val="af2"/>
          <w:rFonts w:eastAsiaTheme="majorEastAsia"/>
          <w:szCs w:val="28"/>
        </w:rPr>
        <w:t xml:space="preserve"> 112 и анализ на заплахите за сигурността</w:t>
      </w:r>
      <w:r w:rsidR="007E0E0A">
        <w:rPr>
          <w:rStyle w:val="af2"/>
          <w:rFonts w:eastAsiaTheme="majorEastAsia"/>
          <w:szCs w:val="28"/>
        </w:rPr>
        <w:t>.</w:t>
      </w:r>
    </w:p>
    <w:p w14:paraId="0DDC6F00"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Техническата архитектура на Националната система за спешни повиквания с единен европейски номер 112 определя не само начина на приемане и обработване на спешните комуникации, но и възможностите за осигуряване на тяхната сигурност и непрекъсваемост. Представеният в доклада модел разглежда НССО 112 като географски разпределена информационно-комуникационна среда, в която взаимодействат районни центрове 112, телекомуникационни компоненти, системи за обработване на инциденти, географски информационни услуги и интерфейси към службите за спешно реагиране.</w:t>
      </w:r>
    </w:p>
    <w:p w14:paraId="5C9B1DC7" w14:textId="6323803D" w:rsidR="00A645CF" w:rsidRPr="00A645CF" w:rsidRDefault="00A645CF" w:rsidP="00A645CF">
      <w:pPr>
        <w:pStyle w:val="af1"/>
        <w:spacing w:before="0" w:beforeAutospacing="0" w:after="0" w:afterAutospacing="0"/>
        <w:ind w:firstLine="546"/>
        <w:contextualSpacing/>
        <w:jc w:val="both"/>
        <w:rPr>
          <w:b/>
          <w:sz w:val="28"/>
          <w:szCs w:val="28"/>
        </w:rPr>
      </w:pPr>
      <w:r w:rsidRPr="00A645CF">
        <w:rPr>
          <w:b/>
          <w:sz w:val="28"/>
          <w:szCs w:val="28"/>
        </w:rPr>
        <w:t>1.1. Технологична архитектура и основни компоненти</w:t>
      </w:r>
      <w:r>
        <w:rPr>
          <w:b/>
          <w:sz w:val="28"/>
          <w:szCs w:val="28"/>
        </w:rPr>
        <w:t>.</w:t>
      </w:r>
    </w:p>
    <w:p w14:paraId="45D23FC6"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В технологично отношение системата обединява няколко функционално свързани компонента. В представения модел </w:t>
      </w:r>
      <w:proofErr w:type="spellStart"/>
      <w:r w:rsidRPr="00A645CF">
        <w:rPr>
          <w:b/>
          <w:bCs/>
          <w:sz w:val="28"/>
          <w:szCs w:val="28"/>
        </w:rPr>
        <w:t>Core</w:t>
      </w:r>
      <w:proofErr w:type="spellEnd"/>
      <w:r w:rsidRPr="00A645CF">
        <w:rPr>
          <w:b/>
          <w:bCs/>
          <w:sz w:val="28"/>
          <w:szCs w:val="28"/>
        </w:rPr>
        <w:t xml:space="preserve"> </w:t>
      </w:r>
      <w:proofErr w:type="spellStart"/>
      <w:r w:rsidRPr="00A645CF">
        <w:rPr>
          <w:b/>
          <w:bCs/>
          <w:sz w:val="28"/>
          <w:szCs w:val="28"/>
        </w:rPr>
        <w:t>Telephony</w:t>
      </w:r>
      <w:proofErr w:type="spellEnd"/>
      <w:r w:rsidRPr="00A645CF">
        <w:rPr>
          <w:b/>
          <w:bCs/>
          <w:sz w:val="28"/>
          <w:szCs w:val="28"/>
        </w:rPr>
        <w:t>/</w:t>
      </w:r>
      <w:proofErr w:type="spellStart"/>
      <w:r w:rsidRPr="00A645CF">
        <w:rPr>
          <w:b/>
          <w:bCs/>
          <w:sz w:val="28"/>
          <w:szCs w:val="28"/>
        </w:rPr>
        <w:t>VoIP</w:t>
      </w:r>
      <w:proofErr w:type="spellEnd"/>
      <w:r w:rsidRPr="00A645CF">
        <w:rPr>
          <w:sz w:val="28"/>
          <w:szCs w:val="28"/>
        </w:rPr>
        <w:t xml:space="preserve"> осигурява приемането и </w:t>
      </w:r>
      <w:proofErr w:type="spellStart"/>
      <w:r w:rsidRPr="00A645CF">
        <w:rPr>
          <w:sz w:val="28"/>
          <w:szCs w:val="28"/>
        </w:rPr>
        <w:t>маршрутизирането</w:t>
      </w:r>
      <w:proofErr w:type="spellEnd"/>
      <w:r w:rsidRPr="00A645CF">
        <w:rPr>
          <w:sz w:val="28"/>
          <w:szCs w:val="28"/>
        </w:rPr>
        <w:t xml:space="preserve"> на гласови повиквания; </w:t>
      </w:r>
      <w:r w:rsidRPr="00A645CF">
        <w:rPr>
          <w:b/>
          <w:bCs/>
          <w:sz w:val="28"/>
          <w:szCs w:val="28"/>
        </w:rPr>
        <w:t>CAD (</w:t>
      </w:r>
      <w:proofErr w:type="spellStart"/>
      <w:r w:rsidRPr="00A645CF">
        <w:rPr>
          <w:b/>
          <w:bCs/>
          <w:sz w:val="28"/>
          <w:szCs w:val="28"/>
        </w:rPr>
        <w:t>Computer-Aided</w:t>
      </w:r>
      <w:proofErr w:type="spellEnd"/>
      <w:r w:rsidRPr="00A645CF">
        <w:rPr>
          <w:b/>
          <w:bCs/>
          <w:sz w:val="28"/>
          <w:szCs w:val="28"/>
        </w:rPr>
        <w:t xml:space="preserve"> </w:t>
      </w:r>
      <w:proofErr w:type="spellStart"/>
      <w:r w:rsidRPr="00A645CF">
        <w:rPr>
          <w:b/>
          <w:bCs/>
          <w:sz w:val="28"/>
          <w:szCs w:val="28"/>
        </w:rPr>
        <w:t>Dispatch</w:t>
      </w:r>
      <w:proofErr w:type="spellEnd"/>
      <w:r w:rsidRPr="00A645CF">
        <w:rPr>
          <w:b/>
          <w:bCs/>
          <w:sz w:val="28"/>
          <w:szCs w:val="28"/>
        </w:rPr>
        <w:t>)</w:t>
      </w:r>
      <w:r w:rsidRPr="00A645CF">
        <w:rPr>
          <w:sz w:val="28"/>
          <w:szCs w:val="28"/>
        </w:rPr>
        <w:t xml:space="preserve"> подпомага обработването на информацията за инцидентите; </w:t>
      </w:r>
      <w:r w:rsidRPr="00A645CF">
        <w:rPr>
          <w:b/>
          <w:bCs/>
          <w:sz w:val="28"/>
          <w:szCs w:val="28"/>
        </w:rPr>
        <w:t>GIS</w:t>
      </w:r>
      <w:r w:rsidRPr="00A645CF">
        <w:rPr>
          <w:sz w:val="28"/>
          <w:szCs w:val="28"/>
        </w:rPr>
        <w:t xml:space="preserve"> предоставя географска информация; а интерфейсите към службите за спешно реагиране осигуряват необходимия обмен на оперативни данни. Докладът включва също </w:t>
      </w:r>
      <w:proofErr w:type="spellStart"/>
      <w:r w:rsidRPr="00A645CF">
        <w:rPr>
          <w:sz w:val="28"/>
          <w:szCs w:val="28"/>
        </w:rPr>
        <w:t>eCall</w:t>
      </w:r>
      <w:proofErr w:type="spellEnd"/>
      <w:r w:rsidRPr="00A645CF">
        <w:rPr>
          <w:sz w:val="28"/>
          <w:szCs w:val="28"/>
        </w:rPr>
        <w:t xml:space="preserve"> и AML като компоненти, свързани с предоставянето на допълнителна информация за събитието и местоположението.</w:t>
      </w:r>
    </w:p>
    <w:p w14:paraId="2DE558A9"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Развитието към архитектура от следващо поколение е свързано с концепцията </w:t>
      </w:r>
      <w:r w:rsidRPr="00A645CF">
        <w:rPr>
          <w:b/>
          <w:bCs/>
          <w:sz w:val="28"/>
          <w:szCs w:val="28"/>
        </w:rPr>
        <w:t>NG112</w:t>
      </w:r>
      <w:r w:rsidRPr="00A645CF">
        <w:rPr>
          <w:sz w:val="28"/>
          <w:szCs w:val="28"/>
        </w:rPr>
        <w:t xml:space="preserve">, при която традиционната гласова комуникация се допълва от IP-базиран обмен на различни типове информация. ETSI разглежда архитектурни решения за следващо поколение спешни комуникации, а материалите на EENA развиват концептуалните и оперативните аспекти на NG112 [9, 10]. Следователно технологичната модернизация увеличава функционалните възможности, но едновременно с това разширява повърхността за потенциални </w:t>
      </w:r>
      <w:proofErr w:type="spellStart"/>
      <w:r w:rsidRPr="00A645CF">
        <w:rPr>
          <w:sz w:val="28"/>
          <w:szCs w:val="28"/>
        </w:rPr>
        <w:t>кибератаки</w:t>
      </w:r>
      <w:proofErr w:type="spellEnd"/>
      <w:r w:rsidRPr="00A645CF">
        <w:rPr>
          <w:sz w:val="28"/>
          <w:szCs w:val="28"/>
        </w:rPr>
        <w:t>.</w:t>
      </w:r>
    </w:p>
    <w:p w14:paraId="52871B0B"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В обобщен вид технологичният процес може да бъде представен чрез последователността:</w:t>
      </w:r>
    </w:p>
    <w:p w14:paraId="2425520F"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b/>
          <w:bCs/>
          <w:sz w:val="28"/>
          <w:szCs w:val="28"/>
        </w:rPr>
        <w:t>телекомуникационна мрежа → приемане на спешното повикване → обработване на информацията → CAD/GIS → защитен информационен обмен → компетентна служба за спешно реагиране.</w:t>
      </w:r>
    </w:p>
    <w:p w14:paraId="46C9D3DA" w14:textId="7E9988D6" w:rsidR="00A645CF" w:rsidRPr="00A645CF" w:rsidRDefault="00A645CF" w:rsidP="00A645CF">
      <w:pPr>
        <w:pStyle w:val="af1"/>
        <w:spacing w:before="0" w:beforeAutospacing="0" w:after="0" w:afterAutospacing="0"/>
        <w:ind w:firstLine="546"/>
        <w:contextualSpacing/>
        <w:jc w:val="both"/>
        <w:rPr>
          <w:b/>
          <w:sz w:val="28"/>
          <w:szCs w:val="28"/>
        </w:rPr>
      </w:pPr>
      <w:r w:rsidRPr="00A645CF">
        <w:rPr>
          <w:b/>
          <w:sz w:val="28"/>
          <w:szCs w:val="28"/>
        </w:rPr>
        <w:t xml:space="preserve">1.2. Основни </w:t>
      </w:r>
      <w:proofErr w:type="spellStart"/>
      <w:r w:rsidRPr="00A645CF">
        <w:rPr>
          <w:b/>
          <w:sz w:val="28"/>
          <w:szCs w:val="28"/>
        </w:rPr>
        <w:t>киберзаплахи</w:t>
      </w:r>
      <w:proofErr w:type="spellEnd"/>
      <w:r w:rsidRPr="00A645CF">
        <w:rPr>
          <w:b/>
          <w:sz w:val="28"/>
          <w:szCs w:val="28"/>
        </w:rPr>
        <w:t xml:space="preserve"> и вектори на атака</w:t>
      </w:r>
      <w:r>
        <w:rPr>
          <w:b/>
          <w:sz w:val="28"/>
          <w:szCs w:val="28"/>
        </w:rPr>
        <w:t>.</w:t>
      </w:r>
    </w:p>
    <w:p w14:paraId="47D13A32"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Разпределеният и взаимосвързан характер на системата създава различни потенциални вектори на атака. В доклада като основни са идентифицирани </w:t>
      </w:r>
      <w:proofErr w:type="spellStart"/>
      <w:r w:rsidRPr="00A645CF">
        <w:rPr>
          <w:b/>
          <w:bCs/>
          <w:sz w:val="28"/>
          <w:szCs w:val="28"/>
        </w:rPr>
        <w:t>TDoS</w:t>
      </w:r>
      <w:proofErr w:type="spellEnd"/>
      <w:r w:rsidRPr="00A645CF">
        <w:rPr>
          <w:b/>
          <w:bCs/>
          <w:sz w:val="28"/>
          <w:szCs w:val="28"/>
        </w:rPr>
        <w:t xml:space="preserve">, мрежови </w:t>
      </w:r>
      <w:proofErr w:type="spellStart"/>
      <w:r w:rsidRPr="00A645CF">
        <w:rPr>
          <w:b/>
          <w:bCs/>
          <w:sz w:val="28"/>
          <w:szCs w:val="28"/>
        </w:rPr>
        <w:t>DDoS</w:t>
      </w:r>
      <w:proofErr w:type="spellEnd"/>
      <w:r w:rsidRPr="00A645CF">
        <w:rPr>
          <w:b/>
          <w:bCs/>
          <w:sz w:val="28"/>
          <w:szCs w:val="28"/>
        </w:rPr>
        <w:t xml:space="preserve"> атаки, </w:t>
      </w:r>
      <w:proofErr w:type="spellStart"/>
      <w:r w:rsidRPr="00A645CF">
        <w:rPr>
          <w:b/>
          <w:bCs/>
          <w:sz w:val="28"/>
          <w:szCs w:val="28"/>
        </w:rPr>
        <w:t>ransomware</w:t>
      </w:r>
      <w:proofErr w:type="spellEnd"/>
      <w:r w:rsidRPr="00A645CF">
        <w:rPr>
          <w:b/>
          <w:bCs/>
          <w:sz w:val="28"/>
          <w:szCs w:val="28"/>
        </w:rPr>
        <w:t xml:space="preserve"> и друг зловреден софтуер, </w:t>
      </w:r>
      <w:proofErr w:type="spellStart"/>
      <w:r w:rsidRPr="00A645CF">
        <w:rPr>
          <w:b/>
          <w:bCs/>
          <w:sz w:val="28"/>
          <w:szCs w:val="28"/>
        </w:rPr>
        <w:t>Man-in-the-Middle</w:t>
      </w:r>
      <w:proofErr w:type="spellEnd"/>
      <w:r w:rsidRPr="00A645CF">
        <w:rPr>
          <w:b/>
          <w:bCs/>
          <w:sz w:val="28"/>
          <w:szCs w:val="28"/>
        </w:rPr>
        <w:t xml:space="preserve"> атаки и вътрешни заплахи</w:t>
      </w:r>
      <w:r w:rsidRPr="00A645CF">
        <w:rPr>
          <w:sz w:val="28"/>
          <w:szCs w:val="28"/>
        </w:rPr>
        <w:t>. Тези заплахи могат да бъдат насочени срещу трите основни свойства на информационната сигурност – поверителност, цялостност и наличност [6].</w:t>
      </w:r>
    </w:p>
    <w:p w14:paraId="40B26E80"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Особено съществен за НССО 112 е рискът за </w:t>
      </w:r>
      <w:r w:rsidRPr="00A645CF">
        <w:rPr>
          <w:b/>
          <w:bCs/>
          <w:sz w:val="28"/>
          <w:szCs w:val="28"/>
        </w:rPr>
        <w:t>наличността</w:t>
      </w:r>
      <w:r w:rsidRPr="00A645CF">
        <w:rPr>
          <w:sz w:val="28"/>
          <w:szCs w:val="28"/>
        </w:rPr>
        <w:t xml:space="preserve">. При </w:t>
      </w:r>
      <w:proofErr w:type="spellStart"/>
      <w:r w:rsidRPr="00A645CF">
        <w:rPr>
          <w:sz w:val="28"/>
          <w:szCs w:val="28"/>
        </w:rPr>
        <w:t>DoS</w:t>
      </w:r>
      <w:proofErr w:type="spellEnd"/>
      <w:r w:rsidRPr="00A645CF">
        <w:rPr>
          <w:sz w:val="28"/>
          <w:szCs w:val="28"/>
        </w:rPr>
        <w:t>/</w:t>
      </w:r>
      <w:proofErr w:type="spellStart"/>
      <w:r w:rsidRPr="00A645CF">
        <w:rPr>
          <w:sz w:val="28"/>
          <w:szCs w:val="28"/>
        </w:rPr>
        <w:t>DDoS</w:t>
      </w:r>
      <w:proofErr w:type="spellEnd"/>
      <w:r w:rsidRPr="00A645CF">
        <w:rPr>
          <w:sz w:val="28"/>
          <w:szCs w:val="28"/>
        </w:rPr>
        <w:t xml:space="preserve"> атака целта е ограничаване или прекратяване на достъпа до определена услуга чрез претоварване на нейните комуникационни или изчислителни ресурси. При </w:t>
      </w:r>
      <w:proofErr w:type="spellStart"/>
      <w:r w:rsidRPr="00A645CF">
        <w:rPr>
          <w:sz w:val="28"/>
          <w:szCs w:val="28"/>
        </w:rPr>
        <w:t>TDoS</w:t>
      </w:r>
      <w:proofErr w:type="spellEnd"/>
      <w:r w:rsidRPr="00A645CF">
        <w:rPr>
          <w:sz w:val="28"/>
          <w:szCs w:val="28"/>
        </w:rPr>
        <w:t xml:space="preserve"> аналогичната логика се пренася към телефонната инфраструктура, където масирано генериране на повиквания може да натовари ресурсите за приемане на реални спешни сигнали. Поради предназначението на системата подобен сценарий има пряко значение за непрекъсваемостта на обслужването.</w:t>
      </w:r>
    </w:p>
    <w:p w14:paraId="1845F247" w14:textId="77777777" w:rsidR="00A645CF" w:rsidRPr="00A645CF" w:rsidRDefault="00A645CF" w:rsidP="00A645CF">
      <w:pPr>
        <w:pStyle w:val="af1"/>
        <w:spacing w:before="0" w:beforeAutospacing="0" w:after="0" w:afterAutospacing="0"/>
        <w:ind w:firstLine="546"/>
        <w:contextualSpacing/>
        <w:jc w:val="both"/>
        <w:rPr>
          <w:sz w:val="28"/>
          <w:szCs w:val="28"/>
        </w:rPr>
      </w:pPr>
      <w:proofErr w:type="spellStart"/>
      <w:r w:rsidRPr="00A645CF">
        <w:rPr>
          <w:sz w:val="28"/>
          <w:szCs w:val="28"/>
        </w:rPr>
        <w:t>Ransomware</w:t>
      </w:r>
      <w:proofErr w:type="spellEnd"/>
      <w:r w:rsidRPr="00A645CF">
        <w:rPr>
          <w:sz w:val="28"/>
          <w:szCs w:val="28"/>
        </w:rPr>
        <w:t xml:space="preserve"> и другите форми на зловреден софтуер представляват риск за операторските станции, сървърите и информационните ресурси. Компрометирането им може да доведе до загуба на достъп до данни, нарушаване на тяхната цялост или ограничаване на функционалността. Отделна група представляват атаките срещу комуникационните канали и вътрешните заплахи, при които легитимни права за достъп могат да бъдат неправомерно използвани. Тези рискове обосновават необходимостта от съчетаване на технически контрол с надеждно управление на идентичностите и достъпа [6, 11].</w:t>
      </w:r>
    </w:p>
    <w:p w14:paraId="4E6C5619" w14:textId="0A551F2C" w:rsidR="00A645CF" w:rsidRPr="00A645CF" w:rsidRDefault="00A645CF" w:rsidP="00A645CF">
      <w:pPr>
        <w:pStyle w:val="af1"/>
        <w:spacing w:before="0" w:beforeAutospacing="0" w:after="0" w:afterAutospacing="0"/>
        <w:ind w:firstLine="546"/>
        <w:contextualSpacing/>
        <w:jc w:val="both"/>
        <w:rPr>
          <w:b/>
          <w:sz w:val="28"/>
          <w:szCs w:val="28"/>
        </w:rPr>
      </w:pPr>
      <w:r w:rsidRPr="00A645CF">
        <w:rPr>
          <w:b/>
          <w:sz w:val="28"/>
          <w:szCs w:val="28"/>
        </w:rPr>
        <w:t>1.3. Принципи за изграждане на техническата защита</w:t>
      </w:r>
      <w:r>
        <w:rPr>
          <w:b/>
          <w:sz w:val="28"/>
          <w:szCs w:val="28"/>
        </w:rPr>
        <w:t>.</w:t>
      </w:r>
    </w:p>
    <w:p w14:paraId="2D2FE1CA"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Техническата защита на НССО 112 следва да се основава на принципа </w:t>
      </w:r>
      <w:proofErr w:type="spellStart"/>
      <w:r w:rsidRPr="00A645CF">
        <w:rPr>
          <w:b/>
          <w:bCs/>
          <w:sz w:val="28"/>
          <w:szCs w:val="28"/>
        </w:rPr>
        <w:t>Defense-in-Depth</w:t>
      </w:r>
      <w:proofErr w:type="spellEnd"/>
      <w:r w:rsidRPr="00A645CF">
        <w:rPr>
          <w:sz w:val="28"/>
          <w:szCs w:val="28"/>
        </w:rPr>
        <w:t xml:space="preserve">, при който сигурността не зависи от единичен защитен механизъм, а от последователно изградени нива на защита. В рамките на разглеждания в доклада модел те включват </w:t>
      </w:r>
      <w:proofErr w:type="spellStart"/>
      <w:r w:rsidRPr="00A645CF">
        <w:rPr>
          <w:sz w:val="28"/>
          <w:szCs w:val="28"/>
        </w:rPr>
        <w:t>периметрова</w:t>
      </w:r>
      <w:proofErr w:type="spellEnd"/>
      <w:r w:rsidRPr="00A645CF">
        <w:rPr>
          <w:sz w:val="28"/>
          <w:szCs w:val="28"/>
        </w:rPr>
        <w:t xml:space="preserve"> защита, мрежова сегментация, управление на идентичностите, </w:t>
      </w:r>
      <w:proofErr w:type="spellStart"/>
      <w:r w:rsidRPr="00A645CF">
        <w:rPr>
          <w:sz w:val="28"/>
          <w:szCs w:val="28"/>
        </w:rPr>
        <w:t>криптографска</w:t>
      </w:r>
      <w:proofErr w:type="spellEnd"/>
      <w:r w:rsidRPr="00A645CF">
        <w:rPr>
          <w:sz w:val="28"/>
          <w:szCs w:val="28"/>
        </w:rPr>
        <w:t xml:space="preserve"> защита, мониторинг, резервираност и механизми за възстановяване.</w:t>
      </w:r>
    </w:p>
    <w:p w14:paraId="20F5BAA8"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 xml:space="preserve">Съществено място заема и концепцията </w:t>
      </w:r>
      <w:proofErr w:type="spellStart"/>
      <w:r w:rsidRPr="00A645CF">
        <w:rPr>
          <w:b/>
          <w:bCs/>
          <w:sz w:val="28"/>
          <w:szCs w:val="28"/>
        </w:rPr>
        <w:t>Zero</w:t>
      </w:r>
      <w:proofErr w:type="spellEnd"/>
      <w:r w:rsidRPr="00A645CF">
        <w:rPr>
          <w:b/>
          <w:bCs/>
          <w:sz w:val="28"/>
          <w:szCs w:val="28"/>
        </w:rPr>
        <w:t xml:space="preserve"> </w:t>
      </w:r>
      <w:proofErr w:type="spellStart"/>
      <w:r w:rsidRPr="00A645CF">
        <w:rPr>
          <w:b/>
          <w:bCs/>
          <w:sz w:val="28"/>
          <w:szCs w:val="28"/>
        </w:rPr>
        <w:t>Trust</w:t>
      </w:r>
      <w:proofErr w:type="spellEnd"/>
      <w:r w:rsidRPr="00A645CF">
        <w:rPr>
          <w:sz w:val="28"/>
          <w:szCs w:val="28"/>
        </w:rPr>
        <w:t>, при която достъпът до информационните ресурси се предоставя след проверка на идентичността и правата на съответния субект или устройство. Този подход се съчетава с принципа на най-малките привилегии, според който потребителят следва да разполага само с правата, необходими за изпълнение на конкретните му функции [11].</w:t>
      </w:r>
    </w:p>
    <w:p w14:paraId="0E068252"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Архитектурната защита може да бъде систематизирана в следния модел:</w:t>
      </w:r>
    </w:p>
    <w:p w14:paraId="2AC23B9D"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b/>
          <w:bCs/>
          <w:sz w:val="28"/>
          <w:szCs w:val="28"/>
        </w:rPr>
        <w:t>идентифициране на активите → анализ на заплахите и уязвимостите → сегментиране и контрол на достъпа → защита на комуникациите и данните → мониторинг → реагиране → възстановяване.</w:t>
      </w:r>
    </w:p>
    <w:p w14:paraId="7875B5DF" w14:textId="77777777" w:rsidR="00A645CF" w:rsidRPr="00A645CF" w:rsidRDefault="00A645CF" w:rsidP="00A645CF">
      <w:pPr>
        <w:pStyle w:val="af1"/>
        <w:spacing w:before="0" w:beforeAutospacing="0" w:after="0" w:afterAutospacing="0"/>
        <w:ind w:firstLine="546"/>
        <w:contextualSpacing/>
        <w:jc w:val="both"/>
        <w:rPr>
          <w:sz w:val="28"/>
          <w:szCs w:val="28"/>
        </w:rPr>
      </w:pPr>
      <w:r w:rsidRPr="00A645CF">
        <w:rPr>
          <w:sz w:val="28"/>
          <w:szCs w:val="28"/>
        </w:rPr>
        <w:t>По този начин сигурността се интегрира още на архитектурно равнище и обхваща целия жизнен цикъл на информационните и комуникационните процеси. Риск-базираният подход на ISO/IEC 27001:2022 и принципите за непрекъсваемост на ISO 22301:2019 предоставят методологична основа за системното управление на тези процеси [6, 8]. Именно върху тази архитектурна основа се изграждат конкретните мерки за мрежова, информационна и физическа защита, разгледани в следващия параграф.</w:t>
      </w:r>
    </w:p>
    <w:p w14:paraId="54979163" w14:textId="77777777" w:rsidR="00085D68" w:rsidRDefault="00085D68" w:rsidP="00870BC5">
      <w:pPr>
        <w:ind w:firstLine="567"/>
        <w:jc w:val="both"/>
        <w:rPr>
          <w:b/>
          <w:bCs/>
          <w:szCs w:val="28"/>
        </w:rPr>
      </w:pPr>
    </w:p>
    <w:p w14:paraId="0F458A97" w14:textId="5257291E" w:rsidR="004C7433" w:rsidRPr="004C7433" w:rsidRDefault="00870BC5" w:rsidP="004C7433">
      <w:pPr>
        <w:ind w:firstLine="567"/>
        <w:jc w:val="both"/>
        <w:rPr>
          <w:rStyle w:val="af2"/>
          <w:rFonts w:eastAsiaTheme="majorEastAsia"/>
          <w:szCs w:val="28"/>
        </w:rPr>
      </w:pPr>
      <w:r w:rsidRPr="00870BC5">
        <w:rPr>
          <w:b/>
          <w:bCs/>
          <w:szCs w:val="28"/>
        </w:rPr>
        <w:t xml:space="preserve">2. </w:t>
      </w:r>
      <w:r w:rsidR="004831E2">
        <w:rPr>
          <w:rStyle w:val="af2"/>
          <w:rFonts w:eastAsiaTheme="majorEastAsia"/>
          <w:szCs w:val="28"/>
        </w:rPr>
        <w:t>Т</w:t>
      </w:r>
      <w:r w:rsidR="004831E2" w:rsidRPr="004831E2">
        <w:rPr>
          <w:rStyle w:val="af2"/>
          <w:rFonts w:eastAsiaTheme="majorEastAsia"/>
          <w:szCs w:val="28"/>
        </w:rPr>
        <w:t>ехнически мерки за мрежова, информационна и физическа защита</w:t>
      </w:r>
      <w:r w:rsidR="004C7433">
        <w:rPr>
          <w:rStyle w:val="af2"/>
          <w:rFonts w:eastAsiaTheme="majorEastAsia"/>
          <w:szCs w:val="28"/>
        </w:rPr>
        <w:t>.</w:t>
      </w:r>
    </w:p>
    <w:p w14:paraId="46A2A60A"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Техническата защита на Националната система за спешни повиквания с единен европейски номер 112 следва да бъде изградена като многослойна система от взаимно допълващи се механизми, насочени към запазване на наличността, автентичността, целостта и поверителността на обработваната и предаваната информация. Подобен подход произтича от характера на съвременните мрежови и информационни системи, при които компрометирането на отделен компонент може да предизвика последващо въздействие върху други взаимосвързани ресурси. Директива (ЕС) 2022/2555 изисква прилагането на подходящи и пропорционални технически, оперативни и организационни мерки за управление на рисковете, като изрично включва сигурността при придобиване, разработване и поддръжка на системите, управление на уязвимостите, криптография, контрол на достъпа и, когато е подходящо, </w:t>
      </w:r>
      <w:proofErr w:type="spellStart"/>
      <w:r w:rsidRPr="004831E2">
        <w:rPr>
          <w:rStyle w:val="af2"/>
          <w:rFonts w:eastAsiaTheme="majorEastAsia"/>
          <w:b w:val="0"/>
          <w:szCs w:val="28"/>
        </w:rPr>
        <w:t>многофакторна</w:t>
      </w:r>
      <w:proofErr w:type="spellEnd"/>
      <w:r w:rsidRPr="004831E2">
        <w:rPr>
          <w:rStyle w:val="af2"/>
          <w:rFonts w:eastAsiaTheme="majorEastAsia"/>
          <w:b w:val="0"/>
          <w:szCs w:val="28"/>
        </w:rPr>
        <w:t xml:space="preserve"> или непрекъсната </w:t>
      </w:r>
      <w:proofErr w:type="spellStart"/>
      <w:r w:rsidRPr="004831E2">
        <w:rPr>
          <w:rStyle w:val="af2"/>
          <w:rFonts w:eastAsiaTheme="majorEastAsia"/>
          <w:b w:val="0"/>
          <w:szCs w:val="28"/>
        </w:rPr>
        <w:t>автентикация</w:t>
      </w:r>
      <w:proofErr w:type="spellEnd"/>
      <w:r w:rsidRPr="004831E2">
        <w:rPr>
          <w:rStyle w:val="af2"/>
          <w:rFonts w:eastAsiaTheme="majorEastAsia"/>
          <w:b w:val="0"/>
          <w:szCs w:val="28"/>
        </w:rPr>
        <w:t xml:space="preserve"> [4]. В този смисъл защитата на НССО 112 трябва да бъде разглеждана не като съвкупност от отделни технически средства, а като интегрирана архитектура, основана върху оценката на риска и принципа за защита в дълбочина.</w:t>
      </w:r>
    </w:p>
    <w:p w14:paraId="76268F1B"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Съществен компонент на този модел е мрежовата сегментация, чрез която критичните информационни ресурси и комуникационни процеси се обособяват в логически или физически разделени зони. По този начин се ограничава възможността компрометирането на един мрежов сегмент да доведе до неконтролирано разпространение на атаката към останалите части на инфраструктурата. Регламент за изпълнение (ЕС) 2024/2690 посочва мрежовата сегментация, управлението на идентичностите и достъпа и принципите на </w:t>
      </w:r>
      <w:proofErr w:type="spellStart"/>
      <w:r w:rsidRPr="004831E2">
        <w:rPr>
          <w:rStyle w:val="af2"/>
          <w:rFonts w:eastAsiaTheme="majorEastAsia"/>
          <w:b w:val="0"/>
          <w:szCs w:val="28"/>
        </w:rPr>
        <w:t>Zero</w:t>
      </w:r>
      <w:proofErr w:type="spellEnd"/>
      <w:r w:rsidRPr="004831E2">
        <w:rPr>
          <w:rStyle w:val="af2"/>
          <w:rFonts w:eastAsiaTheme="majorEastAsia"/>
          <w:b w:val="0"/>
          <w:szCs w:val="28"/>
        </w:rPr>
        <w:t xml:space="preserve"> </w:t>
      </w:r>
      <w:proofErr w:type="spellStart"/>
      <w:r w:rsidRPr="004831E2">
        <w:rPr>
          <w:rStyle w:val="af2"/>
          <w:rFonts w:eastAsiaTheme="majorEastAsia"/>
          <w:b w:val="0"/>
          <w:szCs w:val="28"/>
        </w:rPr>
        <w:t>Trust</w:t>
      </w:r>
      <w:proofErr w:type="spellEnd"/>
      <w:r w:rsidRPr="004831E2">
        <w:rPr>
          <w:rStyle w:val="af2"/>
          <w:rFonts w:eastAsiaTheme="majorEastAsia"/>
          <w:b w:val="0"/>
          <w:szCs w:val="28"/>
        </w:rPr>
        <w:t xml:space="preserve"> сред приложимите практики за </w:t>
      </w:r>
      <w:proofErr w:type="spellStart"/>
      <w:r w:rsidRPr="004831E2">
        <w:rPr>
          <w:rStyle w:val="af2"/>
          <w:rFonts w:eastAsiaTheme="majorEastAsia"/>
          <w:b w:val="0"/>
          <w:szCs w:val="28"/>
        </w:rPr>
        <w:t>киберхигиена</w:t>
      </w:r>
      <w:proofErr w:type="spellEnd"/>
      <w:r w:rsidRPr="004831E2">
        <w:rPr>
          <w:rStyle w:val="af2"/>
          <w:rFonts w:eastAsiaTheme="majorEastAsia"/>
          <w:b w:val="0"/>
          <w:szCs w:val="28"/>
        </w:rPr>
        <w:t xml:space="preserve"> и управление на сигурността [13]. Следователно при система от типа на НССО 112 е обосновано функционалното разделяне на комуникационните, приложните, административните и външно достъпните ресурси, като връзките между тях се осъществяват посредством контролирани и наблюдавани комуникационни канали.</w:t>
      </w:r>
    </w:p>
    <w:p w14:paraId="656FA15E" w14:textId="77777777" w:rsidR="004831E2" w:rsidRPr="004831E2" w:rsidRDefault="004831E2" w:rsidP="004831E2">
      <w:pPr>
        <w:ind w:firstLine="567"/>
        <w:jc w:val="both"/>
        <w:rPr>
          <w:rStyle w:val="af2"/>
          <w:rFonts w:eastAsiaTheme="majorEastAsia"/>
          <w:b w:val="0"/>
          <w:szCs w:val="28"/>
        </w:rPr>
      </w:pPr>
      <w:proofErr w:type="spellStart"/>
      <w:r w:rsidRPr="004831E2">
        <w:rPr>
          <w:rStyle w:val="af2"/>
          <w:rFonts w:eastAsiaTheme="majorEastAsia"/>
          <w:b w:val="0"/>
          <w:szCs w:val="28"/>
        </w:rPr>
        <w:t>Периметровата</w:t>
      </w:r>
      <w:proofErr w:type="spellEnd"/>
      <w:r w:rsidRPr="004831E2">
        <w:rPr>
          <w:rStyle w:val="af2"/>
          <w:rFonts w:eastAsiaTheme="majorEastAsia"/>
          <w:b w:val="0"/>
          <w:szCs w:val="28"/>
        </w:rPr>
        <w:t xml:space="preserve"> защита следва да допълва сегментацията чрез контрол върху входящия и изходящия трафик, откриване на аномалии и ограничаване на неразрешените комуникации. В технически план за подобна цел могат да бъдат използвани защитни стени от ново поколение, системи за предотвратяване на прониквания и специализирани средства за защита на IP-базираните гласови комуникации. При архитектурите за спешни комуникации това е особено важно поради постепенното преминаване към IP-базирани услуги и NG112, при които различни видове данни и комуникации могат да бъдат интегрирани в обща технологична среда [9, 10]. Разширяването на функционалността обаче увеличава и потенциалната повърхност за атака, което изисква сигурността да бъде включвана още при проектирането на архитектурата, а не да се добавя като последващ компонент.</w:t>
      </w:r>
    </w:p>
    <w:p w14:paraId="258FA2B1"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Управлението на идентичностите и достъпа е второ основно направление на техническата защита. Основният принцип е всеки потребител, устройство или процес да получава само необходимите за конкретната функция права. NIST определя </w:t>
      </w:r>
      <w:proofErr w:type="spellStart"/>
      <w:r w:rsidRPr="004831E2">
        <w:rPr>
          <w:rStyle w:val="af2"/>
          <w:rFonts w:eastAsiaTheme="majorEastAsia"/>
          <w:b w:val="0"/>
          <w:szCs w:val="28"/>
        </w:rPr>
        <w:t>Zero</w:t>
      </w:r>
      <w:proofErr w:type="spellEnd"/>
      <w:r w:rsidRPr="004831E2">
        <w:rPr>
          <w:rStyle w:val="af2"/>
          <w:rFonts w:eastAsiaTheme="majorEastAsia"/>
          <w:b w:val="0"/>
          <w:szCs w:val="28"/>
        </w:rPr>
        <w:t xml:space="preserve"> </w:t>
      </w:r>
      <w:proofErr w:type="spellStart"/>
      <w:r w:rsidRPr="004831E2">
        <w:rPr>
          <w:rStyle w:val="af2"/>
          <w:rFonts w:eastAsiaTheme="majorEastAsia"/>
          <w:b w:val="0"/>
          <w:szCs w:val="28"/>
        </w:rPr>
        <w:t>Trust</w:t>
      </w:r>
      <w:proofErr w:type="spellEnd"/>
      <w:r w:rsidRPr="004831E2">
        <w:rPr>
          <w:rStyle w:val="af2"/>
          <w:rFonts w:eastAsiaTheme="majorEastAsia"/>
          <w:b w:val="0"/>
          <w:szCs w:val="28"/>
        </w:rPr>
        <w:t xml:space="preserve"> като архитектурен подход, при който не се предоставя имплицитно доверие единствено въз основа на физическото или мрежовото местоположение, а достъпът до ресурсите се основава на проверка на идентичността и контекста на заявката [11]. За НССО 112 това означава логическо разграничаване на правата на оператори, ръководители, технически администратори и външни потребители и прилагане на принципа на най-малките привилегии. За чувствителни и привилегировани операции е целесъобразно използването на </w:t>
      </w:r>
      <w:proofErr w:type="spellStart"/>
      <w:r w:rsidRPr="004831E2">
        <w:rPr>
          <w:rStyle w:val="af2"/>
          <w:rFonts w:eastAsiaTheme="majorEastAsia"/>
          <w:b w:val="0"/>
          <w:szCs w:val="28"/>
        </w:rPr>
        <w:t>многофакторна</w:t>
      </w:r>
      <w:proofErr w:type="spellEnd"/>
      <w:r w:rsidRPr="004831E2">
        <w:rPr>
          <w:rStyle w:val="af2"/>
          <w:rFonts w:eastAsiaTheme="majorEastAsia"/>
          <w:b w:val="0"/>
          <w:szCs w:val="28"/>
        </w:rPr>
        <w:t xml:space="preserve"> </w:t>
      </w:r>
      <w:proofErr w:type="spellStart"/>
      <w:r w:rsidRPr="004831E2">
        <w:rPr>
          <w:rStyle w:val="af2"/>
          <w:rFonts w:eastAsiaTheme="majorEastAsia"/>
          <w:b w:val="0"/>
          <w:szCs w:val="28"/>
        </w:rPr>
        <w:t>автентикация</w:t>
      </w:r>
      <w:proofErr w:type="spellEnd"/>
      <w:r w:rsidRPr="004831E2">
        <w:rPr>
          <w:rStyle w:val="af2"/>
          <w:rFonts w:eastAsiaTheme="majorEastAsia"/>
          <w:b w:val="0"/>
          <w:szCs w:val="28"/>
        </w:rPr>
        <w:t xml:space="preserve"> и засилен контрол върху административните сесии. </w:t>
      </w:r>
      <w:proofErr w:type="spellStart"/>
      <w:r w:rsidRPr="004831E2">
        <w:rPr>
          <w:rStyle w:val="af2"/>
          <w:rFonts w:eastAsiaTheme="majorEastAsia"/>
          <w:b w:val="0"/>
          <w:szCs w:val="28"/>
        </w:rPr>
        <w:t>Многофакторната</w:t>
      </w:r>
      <w:proofErr w:type="spellEnd"/>
      <w:r w:rsidRPr="004831E2">
        <w:rPr>
          <w:rStyle w:val="af2"/>
          <w:rFonts w:eastAsiaTheme="majorEastAsia"/>
          <w:b w:val="0"/>
          <w:szCs w:val="28"/>
        </w:rPr>
        <w:t xml:space="preserve"> </w:t>
      </w:r>
      <w:proofErr w:type="spellStart"/>
      <w:r w:rsidRPr="004831E2">
        <w:rPr>
          <w:rStyle w:val="af2"/>
          <w:rFonts w:eastAsiaTheme="majorEastAsia"/>
          <w:b w:val="0"/>
          <w:szCs w:val="28"/>
        </w:rPr>
        <w:t>автентикация</w:t>
      </w:r>
      <w:proofErr w:type="spellEnd"/>
      <w:r w:rsidRPr="004831E2">
        <w:rPr>
          <w:rStyle w:val="af2"/>
          <w:rFonts w:eastAsiaTheme="majorEastAsia"/>
          <w:b w:val="0"/>
          <w:szCs w:val="28"/>
        </w:rPr>
        <w:t xml:space="preserve"> и политиките за контрол на достъпа са изрично включени сред мерките за управление на риска в чл. 21 на NIS 2 [4].</w:t>
      </w:r>
    </w:p>
    <w:p w14:paraId="318E2779"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Не по-малко значение има защитата на информацията както при нейното съхраняване, така и при предаване между отделните компоненти на системата. Регламент (ЕС) 2016/679 изисква администраторът и обработващият лични данни да прилагат подходящи технически и организационни мерки, съответстващи на риска, като сред възможните мерки изрично са посочени </w:t>
      </w:r>
      <w:proofErr w:type="spellStart"/>
      <w:r w:rsidRPr="004831E2">
        <w:rPr>
          <w:rStyle w:val="af2"/>
          <w:rFonts w:eastAsiaTheme="majorEastAsia"/>
          <w:b w:val="0"/>
          <w:szCs w:val="28"/>
        </w:rPr>
        <w:t>псевдонимизацията</w:t>
      </w:r>
      <w:proofErr w:type="spellEnd"/>
      <w:r w:rsidRPr="004831E2">
        <w:rPr>
          <w:rStyle w:val="af2"/>
          <w:rFonts w:eastAsiaTheme="majorEastAsia"/>
          <w:b w:val="0"/>
          <w:szCs w:val="28"/>
        </w:rPr>
        <w:t xml:space="preserve"> и криптирането на лични данни [5]. NIS 2 също включва политики и процедури относно използването на криптография и, когато е подходящо, криптиране [4]. При НССО 112 този принцип има особено значение за информацията, свързана със спешни повиквания, местоположение, комуникационни данни и други информационни ресурси. Конкретният избор на </w:t>
      </w:r>
      <w:proofErr w:type="spellStart"/>
      <w:r w:rsidRPr="004831E2">
        <w:rPr>
          <w:rStyle w:val="af2"/>
          <w:rFonts w:eastAsiaTheme="majorEastAsia"/>
          <w:b w:val="0"/>
          <w:szCs w:val="28"/>
        </w:rPr>
        <w:t>криптографски</w:t>
      </w:r>
      <w:proofErr w:type="spellEnd"/>
      <w:r w:rsidRPr="004831E2">
        <w:rPr>
          <w:rStyle w:val="af2"/>
          <w:rFonts w:eastAsiaTheme="majorEastAsia"/>
          <w:b w:val="0"/>
          <w:szCs w:val="28"/>
        </w:rPr>
        <w:t xml:space="preserve"> алгоритми и протоколи трябва да бъде определян въз основа на оценката на риска, нормативните изисквания, актуалното състояние на технологиите и приложимите политики за сигурност, а не чрез предварително фиксиране на една универсална техническа конфигурация.</w:t>
      </w:r>
    </w:p>
    <w:p w14:paraId="03978BF7"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Специално място в техническата защита заемат механизмите за противодействие на атаки срещу наличността. При информационно-комуникационна система за спешни повиквания </w:t>
      </w:r>
      <w:proofErr w:type="spellStart"/>
      <w:r w:rsidRPr="004831E2">
        <w:rPr>
          <w:rStyle w:val="af2"/>
          <w:rFonts w:eastAsiaTheme="majorEastAsia"/>
          <w:b w:val="0"/>
          <w:szCs w:val="28"/>
        </w:rPr>
        <w:t>DoS</w:t>
      </w:r>
      <w:proofErr w:type="spellEnd"/>
      <w:r w:rsidRPr="004831E2">
        <w:rPr>
          <w:rStyle w:val="af2"/>
          <w:rFonts w:eastAsiaTheme="majorEastAsia"/>
          <w:b w:val="0"/>
          <w:szCs w:val="28"/>
        </w:rPr>
        <w:t xml:space="preserve"> и </w:t>
      </w:r>
      <w:proofErr w:type="spellStart"/>
      <w:r w:rsidRPr="004831E2">
        <w:rPr>
          <w:rStyle w:val="af2"/>
          <w:rFonts w:eastAsiaTheme="majorEastAsia"/>
          <w:b w:val="0"/>
          <w:szCs w:val="28"/>
        </w:rPr>
        <w:t>DDoS</w:t>
      </w:r>
      <w:proofErr w:type="spellEnd"/>
      <w:r w:rsidRPr="004831E2">
        <w:rPr>
          <w:rStyle w:val="af2"/>
          <w:rFonts w:eastAsiaTheme="majorEastAsia"/>
          <w:b w:val="0"/>
          <w:szCs w:val="28"/>
        </w:rPr>
        <w:t xml:space="preserve"> атаките могат да нарушат достъпа до IP-базирани ресурси, докато </w:t>
      </w:r>
      <w:proofErr w:type="spellStart"/>
      <w:r w:rsidRPr="004831E2">
        <w:rPr>
          <w:rStyle w:val="af2"/>
          <w:rFonts w:eastAsiaTheme="majorEastAsia"/>
          <w:b w:val="0"/>
          <w:szCs w:val="28"/>
        </w:rPr>
        <w:t>Telephony</w:t>
      </w:r>
      <w:proofErr w:type="spellEnd"/>
      <w:r w:rsidRPr="004831E2">
        <w:rPr>
          <w:rStyle w:val="af2"/>
          <w:rFonts w:eastAsiaTheme="majorEastAsia"/>
          <w:b w:val="0"/>
          <w:szCs w:val="28"/>
        </w:rPr>
        <w:t xml:space="preserve"> </w:t>
      </w:r>
      <w:proofErr w:type="spellStart"/>
      <w:r w:rsidRPr="004831E2">
        <w:rPr>
          <w:rStyle w:val="af2"/>
          <w:rFonts w:eastAsiaTheme="majorEastAsia"/>
          <w:b w:val="0"/>
          <w:szCs w:val="28"/>
        </w:rPr>
        <w:t>Denial</w:t>
      </w:r>
      <w:proofErr w:type="spellEnd"/>
      <w:r w:rsidRPr="004831E2">
        <w:rPr>
          <w:rStyle w:val="af2"/>
          <w:rFonts w:eastAsiaTheme="majorEastAsia"/>
          <w:b w:val="0"/>
          <w:szCs w:val="28"/>
        </w:rPr>
        <w:t xml:space="preserve"> </w:t>
      </w:r>
      <w:proofErr w:type="spellStart"/>
      <w:r w:rsidRPr="004831E2">
        <w:rPr>
          <w:rStyle w:val="af2"/>
          <w:rFonts w:eastAsiaTheme="majorEastAsia"/>
          <w:b w:val="0"/>
          <w:szCs w:val="28"/>
        </w:rPr>
        <w:t>of</w:t>
      </w:r>
      <w:proofErr w:type="spellEnd"/>
      <w:r w:rsidRPr="004831E2">
        <w:rPr>
          <w:rStyle w:val="af2"/>
          <w:rFonts w:eastAsiaTheme="majorEastAsia"/>
          <w:b w:val="0"/>
          <w:szCs w:val="28"/>
        </w:rPr>
        <w:t xml:space="preserve"> Service (</w:t>
      </w:r>
      <w:proofErr w:type="spellStart"/>
      <w:r w:rsidRPr="004831E2">
        <w:rPr>
          <w:rStyle w:val="af2"/>
          <w:rFonts w:eastAsiaTheme="majorEastAsia"/>
          <w:b w:val="0"/>
          <w:szCs w:val="28"/>
        </w:rPr>
        <w:t>TDoS</w:t>
      </w:r>
      <w:proofErr w:type="spellEnd"/>
      <w:r w:rsidRPr="004831E2">
        <w:rPr>
          <w:rStyle w:val="af2"/>
          <w:rFonts w:eastAsiaTheme="majorEastAsia"/>
          <w:b w:val="0"/>
          <w:szCs w:val="28"/>
        </w:rPr>
        <w:t>) е насочена към претоварване на ресурсите за телефонно обслужване. Защитата срещу подобни въздействия предполага съчетаване на филтриране на трафика, контрол на комуникационните сесии, ограничаване на аномални модели на натоварване, мониторинг и механизми за своевременно активиране на допълнителен капацитет. Прилагането на тези средства обаче трябва да отчита специфичното предназначение на системата, тъй като прекомерно рестриктивното автоматизирано филтриране би могло да създаде риск от ограничаване на легитимни спешни повиквания. Затова механизмите за защита на наличността трябва да бъдат съчетани с непрекъснат анализ и процедури за реакция при установена атака.</w:t>
      </w:r>
    </w:p>
    <w:p w14:paraId="46CC76B5"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Физическата и инженерната защита представляват неразделна част от </w:t>
      </w:r>
      <w:proofErr w:type="spellStart"/>
      <w:r w:rsidRPr="004831E2">
        <w:rPr>
          <w:rStyle w:val="af2"/>
          <w:rFonts w:eastAsiaTheme="majorEastAsia"/>
          <w:b w:val="0"/>
          <w:szCs w:val="28"/>
        </w:rPr>
        <w:t>киберустойчивостта</w:t>
      </w:r>
      <w:proofErr w:type="spellEnd"/>
      <w:r w:rsidRPr="004831E2">
        <w:rPr>
          <w:rStyle w:val="af2"/>
          <w:rFonts w:eastAsiaTheme="majorEastAsia"/>
          <w:b w:val="0"/>
          <w:szCs w:val="28"/>
        </w:rPr>
        <w:t xml:space="preserve">. NIS 2 възприема подход „всички рискове“, който обхваща не само </w:t>
      </w:r>
      <w:proofErr w:type="spellStart"/>
      <w:r w:rsidRPr="004831E2">
        <w:rPr>
          <w:rStyle w:val="af2"/>
          <w:rFonts w:eastAsiaTheme="majorEastAsia"/>
          <w:b w:val="0"/>
          <w:szCs w:val="28"/>
        </w:rPr>
        <w:t>кибератаки</w:t>
      </w:r>
      <w:proofErr w:type="spellEnd"/>
      <w:r w:rsidRPr="004831E2">
        <w:rPr>
          <w:rStyle w:val="af2"/>
          <w:rFonts w:eastAsiaTheme="majorEastAsia"/>
          <w:b w:val="0"/>
          <w:szCs w:val="28"/>
        </w:rPr>
        <w:t>, но и кражба, пожар, наводнение, прекъсване на телекомуникациите или електрозахранването, неоторизиран физически достъп и други събития, способни да компрометират мрежовите и информационните системи [4]. Поради това техническата защита на инфраструктура от типа на НССО 112 трябва да включва контролиран физически достъп до критичните помещения, наблюдение, защита на комуникационното и сървърното оборудване, резервно електрозахранване, подходящи климатични условия и средства за откриване и ограничаване на пожари. Тези мерки следва да бъдат проектирани в съответствие с анализа на риска и изискванията за непрекъсваемост, а не чрез универсално зададени технически параметри.</w:t>
      </w:r>
    </w:p>
    <w:p w14:paraId="7E2872A6" w14:textId="77777777" w:rsidR="004831E2" w:rsidRPr="004831E2" w:rsidRDefault="004831E2" w:rsidP="004831E2">
      <w:pPr>
        <w:ind w:firstLine="567"/>
        <w:jc w:val="both"/>
        <w:rPr>
          <w:rStyle w:val="af2"/>
          <w:rFonts w:eastAsiaTheme="majorEastAsia"/>
          <w:b w:val="0"/>
          <w:szCs w:val="28"/>
        </w:rPr>
      </w:pPr>
      <w:r w:rsidRPr="004831E2">
        <w:rPr>
          <w:rStyle w:val="af2"/>
          <w:rFonts w:eastAsiaTheme="majorEastAsia"/>
          <w:b w:val="0"/>
          <w:szCs w:val="28"/>
        </w:rPr>
        <w:t xml:space="preserve">Съвременната концепция за защита следователно интегрира мрежовата, информационната и физическата сигурност в единна система. В нея мрежовата сегментация ограничава разпространението на заплахите, управлението на идентичностите намалява риска от неправомерен достъп, </w:t>
      </w:r>
      <w:proofErr w:type="spellStart"/>
      <w:r w:rsidRPr="004831E2">
        <w:rPr>
          <w:rStyle w:val="af2"/>
          <w:rFonts w:eastAsiaTheme="majorEastAsia"/>
          <w:b w:val="0"/>
          <w:szCs w:val="28"/>
        </w:rPr>
        <w:t>криптографските</w:t>
      </w:r>
      <w:proofErr w:type="spellEnd"/>
      <w:r w:rsidRPr="004831E2">
        <w:rPr>
          <w:rStyle w:val="af2"/>
          <w:rFonts w:eastAsiaTheme="majorEastAsia"/>
          <w:b w:val="0"/>
          <w:szCs w:val="28"/>
        </w:rPr>
        <w:t xml:space="preserve"> механизми защитават данните, средствата за противодействие на </w:t>
      </w:r>
      <w:proofErr w:type="spellStart"/>
      <w:r w:rsidRPr="004831E2">
        <w:rPr>
          <w:rStyle w:val="af2"/>
          <w:rFonts w:eastAsiaTheme="majorEastAsia"/>
          <w:b w:val="0"/>
          <w:szCs w:val="28"/>
        </w:rPr>
        <w:t>DoS</w:t>
      </w:r>
      <w:proofErr w:type="spellEnd"/>
      <w:r w:rsidRPr="004831E2">
        <w:rPr>
          <w:rStyle w:val="af2"/>
          <w:rFonts w:eastAsiaTheme="majorEastAsia"/>
          <w:b w:val="0"/>
          <w:szCs w:val="28"/>
        </w:rPr>
        <w:t>/</w:t>
      </w:r>
      <w:proofErr w:type="spellStart"/>
      <w:r w:rsidRPr="004831E2">
        <w:rPr>
          <w:rStyle w:val="af2"/>
          <w:rFonts w:eastAsiaTheme="majorEastAsia"/>
          <w:b w:val="0"/>
          <w:szCs w:val="28"/>
        </w:rPr>
        <w:t>DDoS</w:t>
      </w:r>
      <w:proofErr w:type="spellEnd"/>
      <w:r w:rsidRPr="004831E2">
        <w:rPr>
          <w:rStyle w:val="af2"/>
          <w:rFonts w:eastAsiaTheme="majorEastAsia"/>
          <w:b w:val="0"/>
          <w:szCs w:val="28"/>
        </w:rPr>
        <w:t>/</w:t>
      </w:r>
      <w:proofErr w:type="spellStart"/>
      <w:r w:rsidRPr="004831E2">
        <w:rPr>
          <w:rStyle w:val="af2"/>
          <w:rFonts w:eastAsiaTheme="majorEastAsia"/>
          <w:b w:val="0"/>
          <w:szCs w:val="28"/>
        </w:rPr>
        <w:t>TDoS</w:t>
      </w:r>
      <w:proofErr w:type="spellEnd"/>
      <w:r w:rsidRPr="004831E2">
        <w:rPr>
          <w:rStyle w:val="af2"/>
          <w:rFonts w:eastAsiaTheme="majorEastAsia"/>
          <w:b w:val="0"/>
          <w:szCs w:val="28"/>
        </w:rPr>
        <w:t xml:space="preserve"> поддържат наличността, а физическата и инженерната защита осигуряват работоспособността на техническата среда. Подобна многослойна архитектура съответства на принципа, че защитата трябва да обхваща целия жизнен цикъл на информационните ресурси и да бъде съобразена с конкретния риск [4, 6, 11]. Ефективността ѝ зависи не от наличието на единична технология, а от координираното функциониране на различни защитни механизми, тяхното постоянно наблюдение, периодична оценка и адаптиране към променящата се среда на заплахите.</w:t>
      </w:r>
    </w:p>
    <w:p w14:paraId="3653319F" w14:textId="77777777" w:rsidR="004C7433" w:rsidRDefault="004C7433" w:rsidP="004C7433">
      <w:pPr>
        <w:pStyle w:val="2"/>
        <w:spacing w:before="0" w:after="0"/>
        <w:ind w:firstLine="567"/>
        <w:jc w:val="both"/>
        <w:rPr>
          <w:sz w:val="28"/>
          <w:szCs w:val="28"/>
        </w:rPr>
      </w:pPr>
    </w:p>
    <w:p w14:paraId="7103EEFF" w14:textId="794D6901" w:rsidR="00402B6C" w:rsidRPr="00402B6C" w:rsidRDefault="00402B6C" w:rsidP="00402B6C">
      <w:pPr>
        <w:ind w:firstLine="567"/>
        <w:jc w:val="both"/>
        <w:rPr>
          <w:b/>
          <w:szCs w:val="28"/>
        </w:rPr>
      </w:pPr>
      <w:r w:rsidRPr="00402B6C">
        <w:rPr>
          <w:b/>
          <w:szCs w:val="28"/>
        </w:rPr>
        <w:t xml:space="preserve">3. </w:t>
      </w:r>
      <w:r w:rsidR="00124EA2">
        <w:rPr>
          <w:b/>
          <w:szCs w:val="28"/>
        </w:rPr>
        <w:t>Т</w:t>
      </w:r>
      <w:r w:rsidR="00124EA2" w:rsidRPr="00124EA2">
        <w:rPr>
          <w:b/>
          <w:szCs w:val="28"/>
        </w:rPr>
        <w:t>ехническа устойчивост, непрекъсваемост и реагиране при инциденти</w:t>
      </w:r>
      <w:r>
        <w:rPr>
          <w:b/>
          <w:szCs w:val="28"/>
        </w:rPr>
        <w:t>.</w:t>
      </w:r>
    </w:p>
    <w:p w14:paraId="575AC05B" w14:textId="77777777" w:rsidR="00124EA2" w:rsidRPr="00124EA2" w:rsidRDefault="00124EA2" w:rsidP="00124EA2">
      <w:pPr>
        <w:ind w:firstLine="567"/>
        <w:jc w:val="both"/>
        <w:rPr>
          <w:szCs w:val="28"/>
        </w:rPr>
      </w:pPr>
      <w:r w:rsidRPr="00124EA2">
        <w:rPr>
          <w:szCs w:val="28"/>
        </w:rPr>
        <w:t xml:space="preserve">Техническата устойчивост на Националната система за спешни повиквания с единен европейски номер 112 е свързана със способността ѝ да запазва критичните си функции при технически откази, </w:t>
      </w:r>
      <w:proofErr w:type="spellStart"/>
      <w:r w:rsidRPr="00124EA2">
        <w:rPr>
          <w:szCs w:val="28"/>
        </w:rPr>
        <w:t>киберинциденти</w:t>
      </w:r>
      <w:proofErr w:type="spellEnd"/>
      <w:r w:rsidRPr="00124EA2">
        <w:rPr>
          <w:szCs w:val="28"/>
        </w:rPr>
        <w:t>, прекъсване на комуникациите, загуба на електрозахранване или други неблагоприятни въздействия. Поради общественото предназначение на системата защитата не може да бъде ограничена единствено до предотвратяване на инциденти. Необходимо е да бъдат изградени способности за своевременно откриване, ограничаване на въздействието, продължаване на критичните процеси и възстановяване на нормалното функциониране. Този подход съответства на принципите за управление на риска и инцидентите, установени в Директива (ЕС) 2022/2555, както и на системния модел за управление на непрекъсваемостта съгласно ISO 22301:2019 [4, 8].</w:t>
      </w:r>
    </w:p>
    <w:p w14:paraId="4F923D0C" w14:textId="77777777" w:rsidR="00124EA2" w:rsidRPr="00124EA2" w:rsidRDefault="00124EA2" w:rsidP="00124EA2">
      <w:pPr>
        <w:ind w:firstLine="567"/>
        <w:jc w:val="both"/>
        <w:rPr>
          <w:szCs w:val="28"/>
        </w:rPr>
      </w:pPr>
    </w:p>
    <w:p w14:paraId="383CD4F8" w14:textId="0342803B" w:rsidR="00124EA2" w:rsidRPr="00124EA2" w:rsidRDefault="00124EA2" w:rsidP="00124EA2">
      <w:pPr>
        <w:ind w:firstLine="567"/>
        <w:jc w:val="both"/>
        <w:rPr>
          <w:szCs w:val="28"/>
        </w:rPr>
      </w:pPr>
      <w:r w:rsidRPr="00124EA2">
        <w:rPr>
          <w:szCs w:val="28"/>
        </w:rPr>
        <w:t xml:space="preserve">Основен технически принцип за повишаване на устойчивостта е резервираността на критичните компоненти. Тя може да обхваща комуникационни връзки, мрежово оборудване, сървърни ресурси, системи за съхранение, електрозахранване и други компоненти, чието отпадане би могло да наруши предоставянето на услугата. В изходния доклад е разгледана концепция за географско резервиране и автоматично прехвърляне на функции между отделни центрове. От научна гледна точка подобна архитектура следва да бъде разглеждана чрез принципите на </w:t>
      </w:r>
      <w:proofErr w:type="spellStart"/>
      <w:r w:rsidRPr="00124EA2">
        <w:rPr>
          <w:szCs w:val="28"/>
        </w:rPr>
        <w:t>High</w:t>
      </w:r>
      <w:proofErr w:type="spellEnd"/>
      <w:r w:rsidRPr="00124EA2">
        <w:rPr>
          <w:szCs w:val="28"/>
        </w:rPr>
        <w:t xml:space="preserve"> </w:t>
      </w:r>
      <w:proofErr w:type="spellStart"/>
      <w:r w:rsidRPr="00124EA2">
        <w:rPr>
          <w:szCs w:val="28"/>
        </w:rPr>
        <w:t>Availability</w:t>
      </w:r>
      <w:proofErr w:type="spellEnd"/>
      <w:r w:rsidRPr="00124EA2">
        <w:rPr>
          <w:szCs w:val="28"/>
        </w:rPr>
        <w:t xml:space="preserve"> (HA) и </w:t>
      </w:r>
      <w:proofErr w:type="spellStart"/>
      <w:r w:rsidRPr="00124EA2">
        <w:rPr>
          <w:szCs w:val="28"/>
        </w:rPr>
        <w:t>Disaster</w:t>
      </w:r>
      <w:proofErr w:type="spellEnd"/>
      <w:r w:rsidRPr="00124EA2">
        <w:rPr>
          <w:szCs w:val="28"/>
        </w:rPr>
        <w:t xml:space="preserve"> </w:t>
      </w:r>
      <w:proofErr w:type="spellStart"/>
      <w:r w:rsidRPr="00124EA2">
        <w:rPr>
          <w:szCs w:val="28"/>
        </w:rPr>
        <w:t>Recovery</w:t>
      </w:r>
      <w:proofErr w:type="spellEnd"/>
      <w:r w:rsidRPr="00124EA2">
        <w:rPr>
          <w:szCs w:val="28"/>
        </w:rPr>
        <w:t xml:space="preserve"> (DR), без да се приема, че конкретните стойности за време на превключване и наличност, посочени в първоначалния текст, са доказани характеристики на действащата НССО 112. Управлението на непрекъсваемостта изисква организацията да определя критичните дейности, необходимите ресурси и процедурите за реагиране и възстановяване [8].</w:t>
      </w:r>
    </w:p>
    <w:p w14:paraId="23C6BC80" w14:textId="77777777" w:rsidR="00124EA2" w:rsidRPr="00124EA2" w:rsidRDefault="00124EA2" w:rsidP="00124EA2">
      <w:pPr>
        <w:ind w:firstLine="567"/>
        <w:jc w:val="both"/>
        <w:rPr>
          <w:szCs w:val="28"/>
        </w:rPr>
      </w:pPr>
      <w:r w:rsidRPr="00124EA2">
        <w:rPr>
          <w:szCs w:val="28"/>
        </w:rPr>
        <w:t xml:space="preserve">Съществен елемент на устойчивостта е защитата и </w:t>
      </w:r>
      <w:proofErr w:type="spellStart"/>
      <w:r w:rsidRPr="00124EA2">
        <w:rPr>
          <w:szCs w:val="28"/>
        </w:rPr>
        <w:t>възстановимостта</w:t>
      </w:r>
      <w:proofErr w:type="spellEnd"/>
      <w:r w:rsidRPr="00124EA2">
        <w:rPr>
          <w:szCs w:val="28"/>
        </w:rPr>
        <w:t xml:space="preserve"> на информационните ресурси. Резервното копиране трябва да бъде организирано така, че компрометирането или загубата на производствените данни да не води до необратима загуба на критична информация. Директива NIS 2 включва сред мерките за управление на риска политиките за архивиране, възстановяване след бедствия и управление на кризи [4]. Поради това е целесъобразно да се поддържат логически или физически отделени резервни копия и периодично да се проверява възможността за действително възстановяване на информацията. Особено при </w:t>
      </w:r>
      <w:proofErr w:type="spellStart"/>
      <w:r w:rsidRPr="00124EA2">
        <w:rPr>
          <w:szCs w:val="28"/>
        </w:rPr>
        <w:t>ransomware</w:t>
      </w:r>
      <w:proofErr w:type="spellEnd"/>
      <w:r w:rsidRPr="00124EA2">
        <w:rPr>
          <w:szCs w:val="28"/>
        </w:rPr>
        <w:t xml:space="preserve"> заплахи изолирането на част от резервните копия от основната производствена среда ограничава вероятността едновременно да бъдат засегнати както оперативните, така и резервните данни [11].</w:t>
      </w:r>
    </w:p>
    <w:p w14:paraId="4797C3BF" w14:textId="4DDBEB4F" w:rsidR="00124EA2" w:rsidRPr="00124EA2" w:rsidRDefault="00124EA2" w:rsidP="00124EA2">
      <w:pPr>
        <w:ind w:firstLine="567"/>
        <w:jc w:val="both"/>
        <w:rPr>
          <w:szCs w:val="28"/>
        </w:rPr>
      </w:pPr>
      <w:r w:rsidRPr="00124EA2">
        <w:rPr>
          <w:szCs w:val="28"/>
        </w:rPr>
        <w:t xml:space="preserve">Непрекъсваемостта зависи и от способността за своевременно установяване на отклонения от нормалното функциониране. Това налага централизирано наблюдение на събитията, генерирани от мрежови устройства, сървъри, приложения, системи за управление на идентичности и средства за </w:t>
      </w:r>
      <w:proofErr w:type="spellStart"/>
      <w:r w:rsidRPr="00124EA2">
        <w:rPr>
          <w:szCs w:val="28"/>
        </w:rPr>
        <w:t>периметрова</w:t>
      </w:r>
      <w:proofErr w:type="spellEnd"/>
      <w:r w:rsidRPr="00124EA2">
        <w:rPr>
          <w:szCs w:val="28"/>
        </w:rPr>
        <w:t xml:space="preserve"> защита. NIST SP 800-53 </w:t>
      </w:r>
      <w:proofErr w:type="spellStart"/>
      <w:r w:rsidRPr="00124EA2">
        <w:rPr>
          <w:szCs w:val="28"/>
        </w:rPr>
        <w:t>Rev</w:t>
      </w:r>
      <w:proofErr w:type="spellEnd"/>
      <w:r w:rsidRPr="00124EA2">
        <w:rPr>
          <w:szCs w:val="28"/>
        </w:rPr>
        <w:t>. 5 включва контроли, свързани с регистриране и мониторинг, системен мониторинг, реагиране при инциденти, планиране на непрекъсваемостта и възстановяване [11]. В този контекст SIEM (</w:t>
      </w:r>
      <w:proofErr w:type="spellStart"/>
      <w:r w:rsidRPr="00124EA2">
        <w:rPr>
          <w:szCs w:val="28"/>
        </w:rPr>
        <w:t>Security</w:t>
      </w:r>
      <w:proofErr w:type="spellEnd"/>
      <w:r w:rsidRPr="00124EA2">
        <w:rPr>
          <w:szCs w:val="28"/>
        </w:rPr>
        <w:t xml:space="preserve"> </w:t>
      </w:r>
      <w:proofErr w:type="spellStart"/>
      <w:r w:rsidRPr="00124EA2">
        <w:rPr>
          <w:szCs w:val="28"/>
        </w:rPr>
        <w:t>Information</w:t>
      </w:r>
      <w:proofErr w:type="spellEnd"/>
      <w:r w:rsidRPr="00124EA2">
        <w:rPr>
          <w:szCs w:val="28"/>
        </w:rPr>
        <w:t xml:space="preserve"> </w:t>
      </w:r>
      <w:proofErr w:type="spellStart"/>
      <w:r w:rsidRPr="00124EA2">
        <w:rPr>
          <w:szCs w:val="28"/>
        </w:rPr>
        <w:t>and</w:t>
      </w:r>
      <w:proofErr w:type="spellEnd"/>
      <w:r w:rsidRPr="00124EA2">
        <w:rPr>
          <w:szCs w:val="28"/>
        </w:rPr>
        <w:t xml:space="preserve"> </w:t>
      </w:r>
      <w:proofErr w:type="spellStart"/>
      <w:r w:rsidRPr="00124EA2">
        <w:rPr>
          <w:szCs w:val="28"/>
        </w:rPr>
        <w:t>Event</w:t>
      </w:r>
      <w:proofErr w:type="spellEnd"/>
      <w:r w:rsidRPr="00124EA2">
        <w:rPr>
          <w:szCs w:val="28"/>
        </w:rPr>
        <w:t xml:space="preserve"> </w:t>
      </w:r>
      <w:proofErr w:type="spellStart"/>
      <w:r w:rsidRPr="00124EA2">
        <w:rPr>
          <w:szCs w:val="28"/>
        </w:rPr>
        <w:t>Management</w:t>
      </w:r>
      <w:proofErr w:type="spellEnd"/>
      <w:r w:rsidRPr="00124EA2">
        <w:rPr>
          <w:szCs w:val="28"/>
        </w:rPr>
        <w:t>) може да се използва за централизирано събиране, корелация и анализ на събитията за сигурност, като подпомага ранното откриване на подозрително поведение и технически нарушения.</w:t>
      </w:r>
    </w:p>
    <w:p w14:paraId="60D9801E" w14:textId="77777777" w:rsidR="00124EA2" w:rsidRPr="00124EA2" w:rsidRDefault="00124EA2" w:rsidP="00124EA2">
      <w:pPr>
        <w:ind w:firstLine="567"/>
        <w:jc w:val="both"/>
        <w:rPr>
          <w:szCs w:val="28"/>
        </w:rPr>
      </w:pPr>
      <w:r w:rsidRPr="00124EA2">
        <w:rPr>
          <w:szCs w:val="28"/>
        </w:rPr>
        <w:t>Ефективното наблюдение следва да бъде свързано с предварително определен процес за реагиране при инциденти. Той включва последователни действия по откриване и анализ на събитието, ограничаване на разпространението, отстраняване на причината, възстановяване на засегнатите ресурси и последващ анализ. Тази логика съответства на утвърдените принципи за управление на инциденти и позволява техническата реакция да бъде обвързана с управленските процедури за сигурност [4, 11]. При критична система особено значение има предварителното определяне на роли и отговорности, тъй като забавянето или некоординираните действия могат да увеличат последствията от първоначалния инцидент.</w:t>
      </w:r>
    </w:p>
    <w:p w14:paraId="24C839EF" w14:textId="6F390041" w:rsidR="00124EA2" w:rsidRPr="00124EA2" w:rsidRDefault="00124EA2" w:rsidP="00124EA2">
      <w:pPr>
        <w:ind w:firstLine="567"/>
        <w:jc w:val="both"/>
        <w:rPr>
          <w:szCs w:val="28"/>
        </w:rPr>
      </w:pPr>
      <w:r w:rsidRPr="00124EA2">
        <w:rPr>
          <w:szCs w:val="28"/>
        </w:rPr>
        <w:t xml:space="preserve">В изходния доклад е разгледана и възможността за използване на SOC, SIEM и SOAR за наблюдение и автоматизирано подпомагане на реакцията. Тези технологии могат да бъдат разглеждани като перспективен модел за централизирано управление на </w:t>
      </w:r>
      <w:proofErr w:type="spellStart"/>
      <w:r w:rsidRPr="00124EA2">
        <w:rPr>
          <w:szCs w:val="28"/>
        </w:rPr>
        <w:t>киберсигурността</w:t>
      </w:r>
      <w:proofErr w:type="spellEnd"/>
      <w:r w:rsidRPr="00124EA2">
        <w:rPr>
          <w:szCs w:val="28"/>
        </w:rPr>
        <w:t>, но наличната библиография не позволява да се твърди, че всички те са реално внедрени в действащата НССО 112. При използване на SOAR автоматизацията може да подпомага предварително определени действия – например изолиране на компрометиран ресурс, блокиране на установен злонамерен източник или уведомяване на отговорния екип. Автоматизираната реакция обаче трябва да бъде подчинена на предварително установени правила и контрол, особено когато погрешно действие може да засегне наличността на критична услуга.</w:t>
      </w:r>
    </w:p>
    <w:p w14:paraId="6BFB753A" w14:textId="77777777" w:rsidR="00124EA2" w:rsidRPr="00124EA2" w:rsidRDefault="00124EA2" w:rsidP="00124EA2">
      <w:pPr>
        <w:ind w:firstLine="567"/>
        <w:jc w:val="both"/>
        <w:rPr>
          <w:szCs w:val="28"/>
        </w:rPr>
      </w:pPr>
      <w:r w:rsidRPr="00124EA2">
        <w:rPr>
          <w:szCs w:val="28"/>
        </w:rPr>
        <w:t xml:space="preserve">Техническата устойчивост предполага и периодично проверяване на реалната способност за възстановяване. Самото наличие на резервни системи и планове не гарантира, че те ще функционират ефективно при действителен инцидент. Поради това следва да се провеждат тестове на процедурите за възстановяване, проверки на резервните копия, технически учения и контролирани оценки на защитата. NIS 2 поставя акцент и върху политиките и процедурите за оценяване на ефективността на мерките за управление на </w:t>
      </w:r>
      <w:proofErr w:type="spellStart"/>
      <w:r w:rsidRPr="00124EA2">
        <w:rPr>
          <w:szCs w:val="28"/>
        </w:rPr>
        <w:t>киберриска</w:t>
      </w:r>
      <w:proofErr w:type="spellEnd"/>
      <w:r w:rsidRPr="00124EA2">
        <w:rPr>
          <w:szCs w:val="28"/>
        </w:rPr>
        <w:t xml:space="preserve"> [4]. Резултатите от тестовете следва да бъдат използвани за установяване на слабости и актуализиране на техническите и организационните механизми.</w:t>
      </w:r>
    </w:p>
    <w:p w14:paraId="5E8AED2A" w14:textId="4CC86845" w:rsidR="00124EA2" w:rsidRPr="00124EA2" w:rsidRDefault="00124EA2" w:rsidP="00124EA2">
      <w:pPr>
        <w:ind w:firstLine="567"/>
        <w:jc w:val="both"/>
        <w:rPr>
          <w:szCs w:val="28"/>
        </w:rPr>
      </w:pPr>
      <w:r w:rsidRPr="00124EA2">
        <w:rPr>
          <w:szCs w:val="28"/>
        </w:rPr>
        <w:t xml:space="preserve">Перспективното развитие на НССО 112 трябва да отчита и технологичната еволюция към NG112. Преминаването към IP-базирана среда разширява възможностите за обмен на глас, текст, данни за местоположение и други информационни компоненти, но едновременно увеличава сложността на защитата [9, 10]. Следователно модернизацията трябва да бъде съпътствана от принципите </w:t>
      </w:r>
      <w:proofErr w:type="spellStart"/>
      <w:r w:rsidRPr="00124EA2">
        <w:rPr>
          <w:szCs w:val="28"/>
        </w:rPr>
        <w:t>security</w:t>
      </w:r>
      <w:proofErr w:type="spellEnd"/>
      <w:r w:rsidRPr="00124EA2">
        <w:rPr>
          <w:szCs w:val="28"/>
        </w:rPr>
        <w:t xml:space="preserve"> </w:t>
      </w:r>
      <w:proofErr w:type="spellStart"/>
      <w:r w:rsidRPr="00124EA2">
        <w:rPr>
          <w:szCs w:val="28"/>
        </w:rPr>
        <w:t>by</w:t>
      </w:r>
      <w:proofErr w:type="spellEnd"/>
      <w:r w:rsidRPr="00124EA2">
        <w:rPr>
          <w:szCs w:val="28"/>
        </w:rPr>
        <w:t xml:space="preserve"> </w:t>
      </w:r>
      <w:proofErr w:type="spellStart"/>
      <w:r w:rsidRPr="00124EA2">
        <w:rPr>
          <w:szCs w:val="28"/>
        </w:rPr>
        <w:t>design</w:t>
      </w:r>
      <w:proofErr w:type="spellEnd"/>
      <w:r w:rsidRPr="00124EA2">
        <w:rPr>
          <w:szCs w:val="28"/>
        </w:rPr>
        <w:t xml:space="preserve"> и </w:t>
      </w:r>
      <w:proofErr w:type="spellStart"/>
      <w:r w:rsidRPr="00124EA2">
        <w:rPr>
          <w:szCs w:val="28"/>
        </w:rPr>
        <w:t>security</w:t>
      </w:r>
      <w:proofErr w:type="spellEnd"/>
      <w:r w:rsidRPr="00124EA2">
        <w:rPr>
          <w:szCs w:val="28"/>
        </w:rPr>
        <w:t xml:space="preserve"> </w:t>
      </w:r>
      <w:proofErr w:type="spellStart"/>
      <w:r w:rsidRPr="00124EA2">
        <w:rPr>
          <w:szCs w:val="28"/>
        </w:rPr>
        <w:t>by</w:t>
      </w:r>
      <w:proofErr w:type="spellEnd"/>
      <w:r w:rsidRPr="00124EA2">
        <w:rPr>
          <w:szCs w:val="28"/>
        </w:rPr>
        <w:t xml:space="preserve"> </w:t>
      </w:r>
      <w:proofErr w:type="spellStart"/>
      <w:r w:rsidRPr="00124EA2">
        <w:rPr>
          <w:szCs w:val="28"/>
        </w:rPr>
        <w:t>default</w:t>
      </w:r>
      <w:proofErr w:type="spellEnd"/>
      <w:r w:rsidRPr="00124EA2">
        <w:rPr>
          <w:szCs w:val="28"/>
        </w:rPr>
        <w:t>, сегментация, силно управление на идентичностите, защита на комуникациите, непрекъснат мониторинг и управление на уязвимостите.</w:t>
      </w:r>
    </w:p>
    <w:p w14:paraId="69985F58" w14:textId="77777777" w:rsidR="00124EA2" w:rsidRPr="00124EA2" w:rsidRDefault="00124EA2" w:rsidP="00124EA2">
      <w:pPr>
        <w:ind w:firstLine="567"/>
        <w:jc w:val="both"/>
        <w:rPr>
          <w:szCs w:val="28"/>
        </w:rPr>
      </w:pPr>
      <w:r w:rsidRPr="00124EA2">
        <w:rPr>
          <w:szCs w:val="28"/>
        </w:rPr>
        <w:t>В този контекст използването на автоматизиран анализ и технологии с изкуствен интелект може перспективно да подпомогне откриването на аномалии в мрежовия трафик, поведението на информационните системи и моделите на комуникация. Подобни решения обаче следва да изпълняват подпомагаща, а не безусловно автономна функция при критични решения. При система за спешни повиквания автоматизираното блокиране на предполагаема заплаха трябва да бъде балансирано спрямо риска от неправомерно ограничаване на легитимна комуникация.</w:t>
      </w:r>
    </w:p>
    <w:p w14:paraId="06E25F2A" w14:textId="5537E4B6" w:rsidR="00C40CDF" w:rsidRDefault="00124EA2" w:rsidP="00124EA2">
      <w:pPr>
        <w:ind w:firstLine="567"/>
        <w:jc w:val="both"/>
        <w:rPr>
          <w:szCs w:val="28"/>
        </w:rPr>
      </w:pPr>
      <w:r w:rsidRPr="00124EA2">
        <w:rPr>
          <w:szCs w:val="28"/>
        </w:rPr>
        <w:t xml:space="preserve">По този начин непрекъсваемостта, мониторингът и реагирането при инциденти формират взаимно свързани компоненти на единна архитектура за </w:t>
      </w:r>
      <w:proofErr w:type="spellStart"/>
      <w:r w:rsidRPr="00124EA2">
        <w:rPr>
          <w:szCs w:val="28"/>
        </w:rPr>
        <w:t>киберустойчивост</w:t>
      </w:r>
      <w:proofErr w:type="spellEnd"/>
      <w:r w:rsidRPr="00124EA2">
        <w:rPr>
          <w:szCs w:val="28"/>
        </w:rPr>
        <w:t>. Основната цел не е да се приеме, че всички инциденти могат да бъдат предотвратени, а да се изгради способност системата да запази критичните си функции, да ограничи последствията от реализираните заплахи и да възстанови нормалното си функциониране в приемливи за характера на услугата параметри [4, 8, 11].</w:t>
      </w:r>
    </w:p>
    <w:p w14:paraId="2532EB00" w14:textId="77777777" w:rsidR="00402B6C" w:rsidRDefault="00402B6C" w:rsidP="00192717">
      <w:pPr>
        <w:ind w:firstLine="567"/>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1B636301" w14:textId="77777777" w:rsidR="00124EA2" w:rsidRPr="00124EA2" w:rsidRDefault="00124EA2" w:rsidP="00124EA2">
      <w:pPr>
        <w:ind w:firstLine="567"/>
        <w:jc w:val="both"/>
        <w:rPr>
          <w:szCs w:val="28"/>
        </w:rPr>
      </w:pPr>
      <w:r w:rsidRPr="00124EA2">
        <w:rPr>
          <w:szCs w:val="28"/>
        </w:rPr>
        <w:t>Техническата защита на Националната система за спешни повиквания с единен европейски номер 112 представлява комплексен процес, насочен към гарантиране на сигурността, устойчивостта и непрекъсваемостта на критичните информационни и комуникационни процеси. Проведеният анализ показва, че ефективната защита не може да бъде постигната чрез отделни технологични решения, а изисква изграждането на интегрирана многослойна архитектура, основана на управление на риска и принципите за защита в дълбочина [4, 6, 11].</w:t>
      </w:r>
    </w:p>
    <w:p w14:paraId="15C3130E" w14:textId="77777777" w:rsidR="00124EA2" w:rsidRPr="00124EA2" w:rsidRDefault="00124EA2" w:rsidP="00124EA2">
      <w:pPr>
        <w:ind w:firstLine="567"/>
        <w:jc w:val="both"/>
        <w:rPr>
          <w:szCs w:val="28"/>
        </w:rPr>
      </w:pPr>
      <w:r w:rsidRPr="00124EA2">
        <w:rPr>
          <w:szCs w:val="28"/>
        </w:rPr>
        <w:t xml:space="preserve">Съществено значение имат мрежовата сегментация и </w:t>
      </w:r>
      <w:proofErr w:type="spellStart"/>
      <w:r w:rsidRPr="00124EA2">
        <w:rPr>
          <w:szCs w:val="28"/>
        </w:rPr>
        <w:t>периметровата</w:t>
      </w:r>
      <w:proofErr w:type="spellEnd"/>
      <w:r w:rsidRPr="00124EA2">
        <w:rPr>
          <w:szCs w:val="28"/>
        </w:rPr>
        <w:t xml:space="preserve"> защита, надеждното управление на идентичностите и достъпа, </w:t>
      </w:r>
      <w:proofErr w:type="spellStart"/>
      <w:r w:rsidRPr="00124EA2">
        <w:rPr>
          <w:szCs w:val="28"/>
        </w:rPr>
        <w:t>криптографската</w:t>
      </w:r>
      <w:proofErr w:type="spellEnd"/>
      <w:r w:rsidRPr="00124EA2">
        <w:rPr>
          <w:szCs w:val="28"/>
        </w:rPr>
        <w:t xml:space="preserve"> защита на информацията и механизмите за противодействие на атаки срещу наличността. Тези мерки следва да бъдат допълнени от адекватна физическа и инженерна защита на критичните технически ресурси. Особено важна е взаимната обвързаност между отделните защитни нива, така че компрометирането на един компонент да не води до нарушаване на цялостната функционалност на системата [4, 11, 13].</w:t>
      </w:r>
    </w:p>
    <w:p w14:paraId="6C4B9257" w14:textId="77777777" w:rsidR="00124EA2" w:rsidRPr="00124EA2" w:rsidRDefault="00124EA2" w:rsidP="00124EA2">
      <w:pPr>
        <w:ind w:firstLine="567"/>
        <w:jc w:val="both"/>
        <w:rPr>
          <w:szCs w:val="28"/>
        </w:rPr>
      </w:pPr>
      <w:r w:rsidRPr="00124EA2">
        <w:rPr>
          <w:szCs w:val="28"/>
        </w:rPr>
        <w:t>Анализът потвърждава и значението на техническата устойчивост и непрекъсваемостта на дейността. Резервирането на критични ресурси, надеждното архивиране, възможността за възстановяване, непрекъснатият мониторинг и предварително разработените процедури за реагиране създават условия за ограничаване на последствията от възникнали инциденти и своевременно възстановяване на основните функции [4, 8].</w:t>
      </w:r>
    </w:p>
    <w:p w14:paraId="1047C743" w14:textId="77777777" w:rsidR="00124EA2" w:rsidRPr="00124EA2" w:rsidRDefault="00124EA2" w:rsidP="00124EA2">
      <w:pPr>
        <w:ind w:firstLine="567"/>
        <w:jc w:val="both"/>
        <w:rPr>
          <w:szCs w:val="28"/>
        </w:rPr>
      </w:pPr>
      <w:r w:rsidRPr="00124EA2">
        <w:rPr>
          <w:szCs w:val="28"/>
        </w:rPr>
        <w:t xml:space="preserve">Перспективното развитие към NG112 допълнително увеличава необходимостта сигурността да бъде интегрирана още на етапа на проектиране и модернизация на системата [9, 10]. Разширяването на IP-базираните комуникации и въвеждането на нови цифрови услуги създават допълнителни функционални възможности, но едновременно с това разширяват потенциалната повърхност за атака. Това налага непрекъснато актуализиране на механизмите за защита в съответствие с технологичното развитие и променящата се среда на </w:t>
      </w:r>
      <w:proofErr w:type="spellStart"/>
      <w:r w:rsidRPr="00124EA2">
        <w:rPr>
          <w:szCs w:val="28"/>
        </w:rPr>
        <w:t>киберзаплахите</w:t>
      </w:r>
      <w:proofErr w:type="spellEnd"/>
      <w:r w:rsidRPr="00124EA2">
        <w:rPr>
          <w:szCs w:val="28"/>
        </w:rPr>
        <w:t>.</w:t>
      </w: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12015B10" w14:textId="0CF6886B" w:rsidR="00124EA2" w:rsidRPr="00124EA2" w:rsidRDefault="00124EA2" w:rsidP="00124EA2">
      <w:pPr>
        <w:ind w:firstLine="567"/>
        <w:jc w:val="both"/>
        <w:rPr>
          <w:szCs w:val="28"/>
        </w:rPr>
      </w:pPr>
      <w:r w:rsidRPr="00124EA2">
        <w:rPr>
          <w:szCs w:val="28"/>
        </w:rPr>
        <w:t xml:space="preserve"> [1] Закон за Националната система за спешни повиквания с единен европейски номер 112 </w:t>
      </w:r>
      <w:proofErr w:type="spellStart"/>
      <w:r w:rsidRPr="00124EA2">
        <w:rPr>
          <w:szCs w:val="28"/>
        </w:rPr>
        <w:t>Обн</w:t>
      </w:r>
      <w:proofErr w:type="spellEnd"/>
      <w:r w:rsidRPr="00124EA2">
        <w:rPr>
          <w:szCs w:val="28"/>
        </w:rPr>
        <w:t>., ДВ, бр. 102 от 28.11.2008 г., с последващи изменения и допълнения.</w:t>
      </w:r>
    </w:p>
    <w:p w14:paraId="38FBE8DA" w14:textId="30F20DA0" w:rsidR="00124EA2" w:rsidRPr="00124EA2" w:rsidRDefault="00124EA2" w:rsidP="00124EA2">
      <w:pPr>
        <w:ind w:firstLine="567"/>
        <w:jc w:val="both"/>
        <w:rPr>
          <w:szCs w:val="28"/>
        </w:rPr>
      </w:pPr>
      <w:r w:rsidRPr="00124EA2">
        <w:rPr>
          <w:szCs w:val="28"/>
        </w:rPr>
        <w:t xml:space="preserve">[2] Закон за </w:t>
      </w:r>
      <w:proofErr w:type="spellStart"/>
      <w:r w:rsidRPr="00124EA2">
        <w:rPr>
          <w:szCs w:val="28"/>
        </w:rPr>
        <w:t>киберсигурност</w:t>
      </w:r>
      <w:proofErr w:type="spellEnd"/>
      <w:r w:rsidRPr="00124EA2">
        <w:rPr>
          <w:szCs w:val="28"/>
        </w:rPr>
        <w:t xml:space="preserve"> </w:t>
      </w:r>
      <w:proofErr w:type="spellStart"/>
      <w:r w:rsidRPr="00124EA2">
        <w:rPr>
          <w:szCs w:val="28"/>
        </w:rPr>
        <w:t>Обн</w:t>
      </w:r>
      <w:proofErr w:type="spellEnd"/>
      <w:r w:rsidRPr="00124EA2">
        <w:rPr>
          <w:szCs w:val="28"/>
        </w:rPr>
        <w:t>., ДВ, бр. 94 от 13.11.2018 г., с последващи изменения и допълнения.</w:t>
      </w:r>
    </w:p>
    <w:p w14:paraId="0C75034C" w14:textId="077CF799" w:rsidR="00124EA2" w:rsidRPr="00124EA2" w:rsidRDefault="00124EA2" w:rsidP="00124EA2">
      <w:pPr>
        <w:ind w:firstLine="567"/>
        <w:jc w:val="both"/>
        <w:rPr>
          <w:szCs w:val="28"/>
        </w:rPr>
      </w:pPr>
      <w:r w:rsidRPr="00124EA2">
        <w:rPr>
          <w:szCs w:val="28"/>
        </w:rPr>
        <w:t>[3] Наредба за минималните изисквания за мрежова и информационна сигурност. Приета с Постановление № 186 на Министерския съвет от 26.07.2019 г., с последващи изменения и допълнения.</w:t>
      </w:r>
    </w:p>
    <w:p w14:paraId="70E8D5C9" w14:textId="0DB251BD" w:rsidR="00124EA2" w:rsidRPr="00124EA2" w:rsidRDefault="00124EA2" w:rsidP="00124EA2">
      <w:pPr>
        <w:ind w:firstLine="567"/>
        <w:jc w:val="both"/>
        <w:rPr>
          <w:szCs w:val="28"/>
        </w:rPr>
      </w:pPr>
      <w:r w:rsidRPr="00124EA2">
        <w:rPr>
          <w:szCs w:val="28"/>
        </w:rPr>
        <w:t xml:space="preserve">[4] ЕВРОПЕЙСКИ ПАРЛАМЕНТ; СЪВЕТ НА ЕВРОПЕЙСКИЯ СЪЮЗ. Директива (ЕС) 2022/2555 на Европейския парламент и на Съвета от 14 декември 2022 година относно мерки за високо общо ниво на </w:t>
      </w:r>
      <w:proofErr w:type="spellStart"/>
      <w:r w:rsidRPr="00124EA2">
        <w:rPr>
          <w:szCs w:val="28"/>
        </w:rPr>
        <w:t>киберсигурност</w:t>
      </w:r>
      <w:proofErr w:type="spellEnd"/>
      <w:r w:rsidRPr="00124EA2">
        <w:rPr>
          <w:szCs w:val="28"/>
        </w:rPr>
        <w:t xml:space="preserve"> в целия Съюз, за изменение на Регламент (ЕС) № 910/2014 и Директива (ЕС) 2018/1972 и за отмяна на Директива (ЕС) 2016/1148 (Директива NIS 2). Официален вестник на Европейския съюз. 2022, L 333, с. 80–152.</w:t>
      </w:r>
    </w:p>
    <w:p w14:paraId="5869BEA8" w14:textId="65D2786A" w:rsidR="00124EA2" w:rsidRPr="00124EA2" w:rsidRDefault="00124EA2" w:rsidP="00124EA2">
      <w:pPr>
        <w:ind w:firstLine="567"/>
        <w:jc w:val="both"/>
        <w:rPr>
          <w:szCs w:val="28"/>
        </w:rPr>
      </w:pPr>
      <w:r w:rsidRPr="00124EA2">
        <w:rPr>
          <w:szCs w:val="28"/>
        </w:rPr>
        <w:t>[5] ЕВРОПЕЙСКИ ПАРЛАМЕНТ; СЪВЕТ НА ЕВРОПЕЙСКИЯ СЪЮЗ.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Официален вестник на Европейския съюз. 2016, L 119, с. 1–88.</w:t>
      </w:r>
    </w:p>
    <w:p w14:paraId="5A5142A4" w14:textId="43C063C1" w:rsidR="00124EA2" w:rsidRPr="00124EA2" w:rsidRDefault="00124EA2" w:rsidP="00124EA2">
      <w:pPr>
        <w:ind w:firstLine="567"/>
        <w:jc w:val="both"/>
        <w:rPr>
          <w:szCs w:val="28"/>
        </w:rPr>
      </w:pPr>
      <w:r w:rsidRPr="00124EA2">
        <w:rPr>
          <w:szCs w:val="28"/>
        </w:rPr>
        <w:t xml:space="preserve">[6] INTERNATIONAL ORGANIZATION FOR STANDARDIZATION; INTERNATIONAL ELECTROTECHNICAL COMMISSION. ISO/IEC 27001:2022. </w:t>
      </w:r>
      <w:proofErr w:type="spellStart"/>
      <w:r w:rsidRPr="00124EA2">
        <w:rPr>
          <w:szCs w:val="28"/>
        </w:rPr>
        <w:t>Information</w:t>
      </w:r>
      <w:proofErr w:type="spellEnd"/>
      <w:r w:rsidRPr="00124EA2">
        <w:rPr>
          <w:szCs w:val="28"/>
        </w:rPr>
        <w:t xml:space="preserve"> </w:t>
      </w:r>
      <w:proofErr w:type="spellStart"/>
      <w:r w:rsidRPr="00124EA2">
        <w:rPr>
          <w:szCs w:val="28"/>
        </w:rPr>
        <w:t>security</w:t>
      </w:r>
      <w:proofErr w:type="spellEnd"/>
      <w:r w:rsidRPr="00124EA2">
        <w:rPr>
          <w:szCs w:val="28"/>
        </w:rPr>
        <w:t xml:space="preserve">, </w:t>
      </w:r>
      <w:proofErr w:type="spellStart"/>
      <w:r w:rsidRPr="00124EA2">
        <w:rPr>
          <w:szCs w:val="28"/>
        </w:rPr>
        <w:t>cybersecurity</w:t>
      </w:r>
      <w:proofErr w:type="spellEnd"/>
      <w:r w:rsidRPr="00124EA2">
        <w:rPr>
          <w:szCs w:val="28"/>
        </w:rPr>
        <w:t xml:space="preserve"> </w:t>
      </w:r>
      <w:proofErr w:type="spellStart"/>
      <w:r w:rsidRPr="00124EA2">
        <w:rPr>
          <w:szCs w:val="28"/>
        </w:rPr>
        <w:t>and</w:t>
      </w:r>
      <w:proofErr w:type="spellEnd"/>
      <w:r w:rsidRPr="00124EA2">
        <w:rPr>
          <w:szCs w:val="28"/>
        </w:rPr>
        <w:t xml:space="preserve"> </w:t>
      </w:r>
      <w:proofErr w:type="spellStart"/>
      <w:r w:rsidRPr="00124EA2">
        <w:rPr>
          <w:szCs w:val="28"/>
        </w:rPr>
        <w:t>privacy</w:t>
      </w:r>
      <w:proofErr w:type="spellEnd"/>
      <w:r w:rsidRPr="00124EA2">
        <w:rPr>
          <w:szCs w:val="28"/>
        </w:rPr>
        <w:t xml:space="preserve"> </w:t>
      </w:r>
      <w:proofErr w:type="spellStart"/>
      <w:r w:rsidRPr="00124EA2">
        <w:rPr>
          <w:szCs w:val="28"/>
        </w:rPr>
        <w:t>protection</w:t>
      </w:r>
      <w:proofErr w:type="spellEnd"/>
      <w:r w:rsidRPr="00124EA2">
        <w:rPr>
          <w:szCs w:val="28"/>
        </w:rPr>
        <w:t xml:space="preserve"> — </w:t>
      </w:r>
      <w:proofErr w:type="spellStart"/>
      <w:r w:rsidRPr="00124EA2">
        <w:rPr>
          <w:szCs w:val="28"/>
        </w:rPr>
        <w:t>Information</w:t>
      </w:r>
      <w:proofErr w:type="spellEnd"/>
      <w:r w:rsidRPr="00124EA2">
        <w:rPr>
          <w:szCs w:val="28"/>
        </w:rPr>
        <w:t xml:space="preserve"> </w:t>
      </w:r>
      <w:proofErr w:type="spellStart"/>
      <w:r w:rsidRPr="00124EA2">
        <w:rPr>
          <w:szCs w:val="28"/>
        </w:rPr>
        <w:t>security</w:t>
      </w:r>
      <w:proofErr w:type="spellEnd"/>
      <w:r w:rsidRPr="00124EA2">
        <w:rPr>
          <w:szCs w:val="28"/>
        </w:rPr>
        <w:t xml:space="preserve"> </w:t>
      </w:r>
      <w:proofErr w:type="spellStart"/>
      <w:r w:rsidRPr="00124EA2">
        <w:rPr>
          <w:szCs w:val="28"/>
        </w:rPr>
        <w:t>management</w:t>
      </w:r>
      <w:proofErr w:type="spellEnd"/>
      <w:r w:rsidRPr="00124EA2">
        <w:rPr>
          <w:szCs w:val="28"/>
        </w:rPr>
        <w:t xml:space="preserve"> </w:t>
      </w:r>
      <w:proofErr w:type="spellStart"/>
      <w:r w:rsidRPr="00124EA2">
        <w:rPr>
          <w:szCs w:val="28"/>
        </w:rPr>
        <w:t>systems</w:t>
      </w:r>
      <w:proofErr w:type="spellEnd"/>
      <w:r w:rsidRPr="00124EA2">
        <w:rPr>
          <w:szCs w:val="28"/>
        </w:rPr>
        <w:t xml:space="preserve"> — </w:t>
      </w:r>
      <w:proofErr w:type="spellStart"/>
      <w:r w:rsidRPr="00124EA2">
        <w:rPr>
          <w:szCs w:val="28"/>
        </w:rPr>
        <w:t>Requirements</w:t>
      </w:r>
      <w:proofErr w:type="spellEnd"/>
      <w:r w:rsidRPr="00124EA2">
        <w:rPr>
          <w:szCs w:val="28"/>
        </w:rPr>
        <w:t xml:space="preserve">. </w:t>
      </w:r>
      <w:proofErr w:type="spellStart"/>
      <w:r w:rsidRPr="00124EA2">
        <w:rPr>
          <w:szCs w:val="28"/>
        </w:rPr>
        <w:t>Geneva</w:t>
      </w:r>
      <w:proofErr w:type="spellEnd"/>
      <w:r w:rsidRPr="00124EA2">
        <w:rPr>
          <w:szCs w:val="28"/>
        </w:rPr>
        <w:t>: ISO, 2022.</w:t>
      </w:r>
    </w:p>
    <w:p w14:paraId="2CEB7437" w14:textId="71277EC9" w:rsidR="00124EA2" w:rsidRPr="00124EA2" w:rsidRDefault="00124EA2" w:rsidP="00124EA2">
      <w:pPr>
        <w:ind w:firstLine="567"/>
        <w:jc w:val="both"/>
        <w:rPr>
          <w:szCs w:val="28"/>
        </w:rPr>
      </w:pPr>
      <w:r w:rsidRPr="00124EA2">
        <w:rPr>
          <w:szCs w:val="28"/>
        </w:rPr>
        <w:t xml:space="preserve">[7] INTERNATIONAL ORGANIZATION FOR STANDARDIZATION; INTERNATIONAL ELECTROTECHNICAL COMMISSION. ISO/IEC 27032:2023. </w:t>
      </w:r>
      <w:proofErr w:type="spellStart"/>
      <w:r w:rsidRPr="00124EA2">
        <w:rPr>
          <w:szCs w:val="28"/>
        </w:rPr>
        <w:t>Cybersecurity</w:t>
      </w:r>
      <w:proofErr w:type="spellEnd"/>
      <w:r w:rsidRPr="00124EA2">
        <w:rPr>
          <w:szCs w:val="28"/>
        </w:rPr>
        <w:t xml:space="preserve"> — </w:t>
      </w:r>
      <w:proofErr w:type="spellStart"/>
      <w:r w:rsidRPr="00124EA2">
        <w:rPr>
          <w:szCs w:val="28"/>
        </w:rPr>
        <w:t>Guidelines</w:t>
      </w:r>
      <w:proofErr w:type="spellEnd"/>
      <w:r w:rsidRPr="00124EA2">
        <w:rPr>
          <w:szCs w:val="28"/>
        </w:rPr>
        <w:t xml:space="preserve"> </w:t>
      </w:r>
      <w:proofErr w:type="spellStart"/>
      <w:r w:rsidRPr="00124EA2">
        <w:rPr>
          <w:szCs w:val="28"/>
        </w:rPr>
        <w:t>for</w:t>
      </w:r>
      <w:proofErr w:type="spellEnd"/>
      <w:r w:rsidRPr="00124EA2">
        <w:rPr>
          <w:szCs w:val="28"/>
        </w:rPr>
        <w:t xml:space="preserve"> Internet </w:t>
      </w:r>
      <w:proofErr w:type="spellStart"/>
      <w:r w:rsidRPr="00124EA2">
        <w:rPr>
          <w:szCs w:val="28"/>
        </w:rPr>
        <w:t>security</w:t>
      </w:r>
      <w:proofErr w:type="spellEnd"/>
      <w:r w:rsidRPr="00124EA2">
        <w:rPr>
          <w:szCs w:val="28"/>
        </w:rPr>
        <w:t xml:space="preserve">. </w:t>
      </w:r>
      <w:proofErr w:type="spellStart"/>
      <w:r w:rsidRPr="00124EA2">
        <w:rPr>
          <w:szCs w:val="28"/>
        </w:rPr>
        <w:t>Geneva</w:t>
      </w:r>
      <w:proofErr w:type="spellEnd"/>
      <w:r w:rsidRPr="00124EA2">
        <w:rPr>
          <w:szCs w:val="28"/>
        </w:rPr>
        <w:t>: ISO, 2023.</w:t>
      </w:r>
    </w:p>
    <w:p w14:paraId="366BD3DD" w14:textId="7CCE569C" w:rsidR="00124EA2" w:rsidRPr="00124EA2" w:rsidRDefault="00124EA2" w:rsidP="00124EA2">
      <w:pPr>
        <w:ind w:firstLine="567"/>
        <w:jc w:val="both"/>
        <w:rPr>
          <w:szCs w:val="28"/>
        </w:rPr>
      </w:pPr>
      <w:r w:rsidRPr="00124EA2">
        <w:rPr>
          <w:szCs w:val="28"/>
        </w:rPr>
        <w:t xml:space="preserve">[8] INTERNATIONAL ORGANIZATION FOR STANDARDIZATION. ISO 22301:2019. </w:t>
      </w:r>
      <w:proofErr w:type="spellStart"/>
      <w:r w:rsidRPr="00124EA2">
        <w:rPr>
          <w:szCs w:val="28"/>
        </w:rPr>
        <w:t>Security</w:t>
      </w:r>
      <w:proofErr w:type="spellEnd"/>
      <w:r w:rsidRPr="00124EA2">
        <w:rPr>
          <w:szCs w:val="28"/>
        </w:rPr>
        <w:t xml:space="preserve"> </w:t>
      </w:r>
      <w:proofErr w:type="spellStart"/>
      <w:r w:rsidRPr="00124EA2">
        <w:rPr>
          <w:szCs w:val="28"/>
        </w:rPr>
        <w:t>and</w:t>
      </w:r>
      <w:proofErr w:type="spellEnd"/>
      <w:r w:rsidRPr="00124EA2">
        <w:rPr>
          <w:szCs w:val="28"/>
        </w:rPr>
        <w:t xml:space="preserve"> </w:t>
      </w:r>
      <w:proofErr w:type="spellStart"/>
      <w:r w:rsidRPr="00124EA2">
        <w:rPr>
          <w:szCs w:val="28"/>
        </w:rPr>
        <w:t>resilience</w:t>
      </w:r>
      <w:proofErr w:type="spellEnd"/>
      <w:r w:rsidRPr="00124EA2">
        <w:rPr>
          <w:szCs w:val="28"/>
        </w:rPr>
        <w:t xml:space="preserve"> — </w:t>
      </w:r>
      <w:proofErr w:type="spellStart"/>
      <w:r w:rsidRPr="00124EA2">
        <w:rPr>
          <w:szCs w:val="28"/>
        </w:rPr>
        <w:t>Business</w:t>
      </w:r>
      <w:proofErr w:type="spellEnd"/>
      <w:r w:rsidRPr="00124EA2">
        <w:rPr>
          <w:szCs w:val="28"/>
        </w:rPr>
        <w:t xml:space="preserve"> </w:t>
      </w:r>
      <w:proofErr w:type="spellStart"/>
      <w:r w:rsidRPr="00124EA2">
        <w:rPr>
          <w:szCs w:val="28"/>
        </w:rPr>
        <w:t>continuity</w:t>
      </w:r>
      <w:proofErr w:type="spellEnd"/>
      <w:r w:rsidRPr="00124EA2">
        <w:rPr>
          <w:szCs w:val="28"/>
        </w:rPr>
        <w:t xml:space="preserve"> </w:t>
      </w:r>
      <w:proofErr w:type="spellStart"/>
      <w:r w:rsidRPr="00124EA2">
        <w:rPr>
          <w:szCs w:val="28"/>
        </w:rPr>
        <w:t>management</w:t>
      </w:r>
      <w:proofErr w:type="spellEnd"/>
      <w:r w:rsidRPr="00124EA2">
        <w:rPr>
          <w:szCs w:val="28"/>
        </w:rPr>
        <w:t xml:space="preserve"> </w:t>
      </w:r>
      <w:proofErr w:type="spellStart"/>
      <w:r w:rsidRPr="00124EA2">
        <w:rPr>
          <w:szCs w:val="28"/>
        </w:rPr>
        <w:t>systems</w:t>
      </w:r>
      <w:proofErr w:type="spellEnd"/>
      <w:r w:rsidRPr="00124EA2">
        <w:rPr>
          <w:szCs w:val="28"/>
        </w:rPr>
        <w:t xml:space="preserve"> — </w:t>
      </w:r>
      <w:proofErr w:type="spellStart"/>
      <w:r w:rsidRPr="00124EA2">
        <w:rPr>
          <w:szCs w:val="28"/>
        </w:rPr>
        <w:t>Requirements</w:t>
      </w:r>
      <w:proofErr w:type="spellEnd"/>
      <w:r w:rsidRPr="00124EA2">
        <w:rPr>
          <w:szCs w:val="28"/>
        </w:rPr>
        <w:t xml:space="preserve">. </w:t>
      </w:r>
      <w:proofErr w:type="spellStart"/>
      <w:r w:rsidRPr="00124EA2">
        <w:rPr>
          <w:szCs w:val="28"/>
        </w:rPr>
        <w:t>Geneva</w:t>
      </w:r>
      <w:proofErr w:type="spellEnd"/>
      <w:r w:rsidRPr="00124EA2">
        <w:rPr>
          <w:szCs w:val="28"/>
        </w:rPr>
        <w:t>: ISO, 2019.</w:t>
      </w:r>
    </w:p>
    <w:p w14:paraId="0C2D4C88" w14:textId="6C76DC9F" w:rsidR="00124EA2" w:rsidRPr="00124EA2" w:rsidRDefault="00124EA2" w:rsidP="00124EA2">
      <w:pPr>
        <w:ind w:firstLine="567"/>
        <w:jc w:val="both"/>
        <w:rPr>
          <w:szCs w:val="28"/>
        </w:rPr>
      </w:pPr>
      <w:r w:rsidRPr="00124EA2">
        <w:rPr>
          <w:szCs w:val="28"/>
        </w:rPr>
        <w:t xml:space="preserve">[9] EUROPEAN EMERGENCY NUMBER ASSOCIATION (EENA). NG112 </w:t>
      </w:r>
      <w:proofErr w:type="spellStart"/>
      <w:r w:rsidRPr="00124EA2">
        <w:rPr>
          <w:szCs w:val="28"/>
        </w:rPr>
        <w:t>Emergency</w:t>
      </w:r>
      <w:proofErr w:type="spellEnd"/>
      <w:r w:rsidRPr="00124EA2">
        <w:rPr>
          <w:szCs w:val="28"/>
        </w:rPr>
        <w:t xml:space="preserve"> </w:t>
      </w:r>
      <w:proofErr w:type="spellStart"/>
      <w:r w:rsidRPr="00124EA2">
        <w:rPr>
          <w:szCs w:val="28"/>
        </w:rPr>
        <w:t>Communications</w:t>
      </w:r>
      <w:proofErr w:type="spellEnd"/>
      <w:r w:rsidRPr="00124EA2">
        <w:rPr>
          <w:szCs w:val="28"/>
        </w:rPr>
        <w:t xml:space="preserve"> </w:t>
      </w:r>
      <w:proofErr w:type="spellStart"/>
      <w:r w:rsidRPr="00124EA2">
        <w:rPr>
          <w:szCs w:val="28"/>
        </w:rPr>
        <w:t>Architecture</w:t>
      </w:r>
      <w:proofErr w:type="spellEnd"/>
      <w:r w:rsidRPr="00124EA2">
        <w:rPr>
          <w:szCs w:val="28"/>
        </w:rPr>
        <w:t xml:space="preserve"> Standard: NG112 </w:t>
      </w:r>
      <w:proofErr w:type="spellStart"/>
      <w:r w:rsidRPr="00124EA2">
        <w:rPr>
          <w:szCs w:val="28"/>
        </w:rPr>
        <w:t>Architecture</w:t>
      </w:r>
      <w:proofErr w:type="spellEnd"/>
      <w:r w:rsidRPr="00124EA2">
        <w:rPr>
          <w:szCs w:val="28"/>
        </w:rPr>
        <w:t xml:space="preserve"> </w:t>
      </w:r>
      <w:proofErr w:type="spellStart"/>
      <w:r w:rsidRPr="00124EA2">
        <w:rPr>
          <w:szCs w:val="28"/>
        </w:rPr>
        <w:t>Definition</w:t>
      </w:r>
      <w:proofErr w:type="spellEnd"/>
      <w:r w:rsidRPr="00124EA2">
        <w:rPr>
          <w:szCs w:val="28"/>
        </w:rPr>
        <w:t xml:space="preserve">. </w:t>
      </w:r>
      <w:proofErr w:type="spellStart"/>
      <w:r w:rsidRPr="00124EA2">
        <w:rPr>
          <w:szCs w:val="28"/>
        </w:rPr>
        <w:t>Brussels</w:t>
      </w:r>
      <w:proofErr w:type="spellEnd"/>
      <w:r w:rsidRPr="00124EA2">
        <w:rPr>
          <w:szCs w:val="28"/>
        </w:rPr>
        <w:t>: EENA.</w:t>
      </w:r>
    </w:p>
    <w:p w14:paraId="124531E2" w14:textId="5CB17314" w:rsidR="00124EA2" w:rsidRPr="00124EA2" w:rsidRDefault="00124EA2" w:rsidP="00124EA2">
      <w:pPr>
        <w:ind w:firstLine="567"/>
        <w:jc w:val="both"/>
        <w:rPr>
          <w:szCs w:val="28"/>
        </w:rPr>
      </w:pPr>
      <w:r w:rsidRPr="00124EA2">
        <w:rPr>
          <w:szCs w:val="28"/>
        </w:rPr>
        <w:t xml:space="preserve">[10] EUROPEAN TELECOMMUNICATIONS STANDARDS INSTITUTE. ETSI TS 103 479. </w:t>
      </w:r>
      <w:proofErr w:type="spellStart"/>
      <w:r w:rsidRPr="00124EA2">
        <w:rPr>
          <w:szCs w:val="28"/>
        </w:rPr>
        <w:t>Emergency</w:t>
      </w:r>
      <w:proofErr w:type="spellEnd"/>
      <w:r w:rsidRPr="00124EA2">
        <w:rPr>
          <w:szCs w:val="28"/>
        </w:rPr>
        <w:t xml:space="preserve"> </w:t>
      </w:r>
      <w:proofErr w:type="spellStart"/>
      <w:r w:rsidRPr="00124EA2">
        <w:rPr>
          <w:szCs w:val="28"/>
        </w:rPr>
        <w:t>Communications</w:t>
      </w:r>
      <w:proofErr w:type="spellEnd"/>
      <w:r w:rsidRPr="00124EA2">
        <w:rPr>
          <w:szCs w:val="28"/>
        </w:rPr>
        <w:t xml:space="preserve"> (EMTEL); </w:t>
      </w:r>
      <w:proofErr w:type="spellStart"/>
      <w:r w:rsidRPr="00124EA2">
        <w:rPr>
          <w:szCs w:val="28"/>
        </w:rPr>
        <w:t>Core</w:t>
      </w:r>
      <w:proofErr w:type="spellEnd"/>
      <w:r w:rsidRPr="00124EA2">
        <w:rPr>
          <w:szCs w:val="28"/>
        </w:rPr>
        <w:t xml:space="preserve"> </w:t>
      </w:r>
      <w:proofErr w:type="spellStart"/>
      <w:r w:rsidRPr="00124EA2">
        <w:rPr>
          <w:szCs w:val="28"/>
        </w:rPr>
        <w:t>elements</w:t>
      </w:r>
      <w:proofErr w:type="spellEnd"/>
      <w:r w:rsidRPr="00124EA2">
        <w:rPr>
          <w:szCs w:val="28"/>
        </w:rPr>
        <w:t xml:space="preserve"> </w:t>
      </w:r>
      <w:proofErr w:type="spellStart"/>
      <w:r w:rsidRPr="00124EA2">
        <w:rPr>
          <w:szCs w:val="28"/>
        </w:rPr>
        <w:t>for</w:t>
      </w:r>
      <w:proofErr w:type="spellEnd"/>
      <w:r w:rsidRPr="00124EA2">
        <w:rPr>
          <w:szCs w:val="28"/>
        </w:rPr>
        <w:t xml:space="preserve"> </w:t>
      </w:r>
      <w:proofErr w:type="spellStart"/>
      <w:r w:rsidRPr="00124EA2">
        <w:rPr>
          <w:szCs w:val="28"/>
        </w:rPr>
        <w:t>network</w:t>
      </w:r>
      <w:proofErr w:type="spellEnd"/>
      <w:r w:rsidRPr="00124EA2">
        <w:rPr>
          <w:szCs w:val="28"/>
        </w:rPr>
        <w:t xml:space="preserve"> </w:t>
      </w:r>
      <w:proofErr w:type="spellStart"/>
      <w:r w:rsidRPr="00124EA2">
        <w:rPr>
          <w:szCs w:val="28"/>
        </w:rPr>
        <w:t>independent</w:t>
      </w:r>
      <w:proofErr w:type="spellEnd"/>
      <w:r w:rsidRPr="00124EA2">
        <w:rPr>
          <w:szCs w:val="28"/>
        </w:rPr>
        <w:t xml:space="preserve"> </w:t>
      </w:r>
      <w:proofErr w:type="spellStart"/>
      <w:r w:rsidRPr="00124EA2">
        <w:rPr>
          <w:szCs w:val="28"/>
        </w:rPr>
        <w:t>access</w:t>
      </w:r>
      <w:proofErr w:type="spellEnd"/>
      <w:r w:rsidRPr="00124EA2">
        <w:rPr>
          <w:szCs w:val="28"/>
        </w:rPr>
        <w:t xml:space="preserve"> </w:t>
      </w:r>
      <w:proofErr w:type="spellStart"/>
      <w:r w:rsidRPr="00124EA2">
        <w:rPr>
          <w:szCs w:val="28"/>
        </w:rPr>
        <w:t>to</w:t>
      </w:r>
      <w:proofErr w:type="spellEnd"/>
      <w:r w:rsidRPr="00124EA2">
        <w:rPr>
          <w:szCs w:val="28"/>
        </w:rPr>
        <w:t xml:space="preserve"> </w:t>
      </w:r>
      <w:proofErr w:type="spellStart"/>
      <w:r w:rsidRPr="00124EA2">
        <w:rPr>
          <w:szCs w:val="28"/>
        </w:rPr>
        <w:t>emergency</w:t>
      </w:r>
      <w:proofErr w:type="spellEnd"/>
      <w:r w:rsidRPr="00124EA2">
        <w:rPr>
          <w:szCs w:val="28"/>
        </w:rPr>
        <w:t xml:space="preserve"> </w:t>
      </w:r>
      <w:proofErr w:type="spellStart"/>
      <w:r w:rsidRPr="00124EA2">
        <w:rPr>
          <w:szCs w:val="28"/>
        </w:rPr>
        <w:t>services</w:t>
      </w:r>
      <w:proofErr w:type="spellEnd"/>
      <w:r w:rsidRPr="00124EA2">
        <w:rPr>
          <w:szCs w:val="28"/>
        </w:rPr>
        <w:t xml:space="preserve">. </w:t>
      </w:r>
      <w:proofErr w:type="spellStart"/>
      <w:r w:rsidRPr="00124EA2">
        <w:rPr>
          <w:szCs w:val="28"/>
        </w:rPr>
        <w:t>Sophia</w:t>
      </w:r>
      <w:proofErr w:type="spellEnd"/>
      <w:r w:rsidRPr="00124EA2">
        <w:rPr>
          <w:szCs w:val="28"/>
        </w:rPr>
        <w:t xml:space="preserve"> </w:t>
      </w:r>
      <w:proofErr w:type="spellStart"/>
      <w:r w:rsidRPr="00124EA2">
        <w:rPr>
          <w:szCs w:val="28"/>
        </w:rPr>
        <w:t>Antipolis</w:t>
      </w:r>
      <w:proofErr w:type="spellEnd"/>
      <w:r w:rsidRPr="00124EA2">
        <w:rPr>
          <w:szCs w:val="28"/>
        </w:rPr>
        <w:t>: ETSI.</w:t>
      </w:r>
    </w:p>
    <w:p w14:paraId="613C63A0" w14:textId="1E989D56" w:rsidR="00124EA2" w:rsidRPr="00124EA2" w:rsidRDefault="00124EA2" w:rsidP="00124EA2">
      <w:pPr>
        <w:ind w:firstLine="567"/>
        <w:jc w:val="both"/>
        <w:rPr>
          <w:szCs w:val="28"/>
        </w:rPr>
      </w:pPr>
      <w:r w:rsidRPr="00124EA2">
        <w:rPr>
          <w:szCs w:val="28"/>
        </w:rPr>
        <w:t xml:space="preserve">[11] NATIONAL INSTITUTE OF STANDARDS AND TECHNOLOGY. </w:t>
      </w:r>
      <w:proofErr w:type="spellStart"/>
      <w:r w:rsidRPr="00124EA2">
        <w:rPr>
          <w:szCs w:val="28"/>
        </w:rPr>
        <w:t>Security</w:t>
      </w:r>
      <w:proofErr w:type="spellEnd"/>
      <w:r w:rsidRPr="00124EA2">
        <w:rPr>
          <w:szCs w:val="28"/>
        </w:rPr>
        <w:t xml:space="preserve"> </w:t>
      </w:r>
      <w:proofErr w:type="spellStart"/>
      <w:r w:rsidRPr="00124EA2">
        <w:rPr>
          <w:szCs w:val="28"/>
        </w:rPr>
        <w:t>and</w:t>
      </w:r>
      <w:proofErr w:type="spellEnd"/>
      <w:r w:rsidRPr="00124EA2">
        <w:rPr>
          <w:szCs w:val="28"/>
        </w:rPr>
        <w:t xml:space="preserve"> </w:t>
      </w:r>
      <w:proofErr w:type="spellStart"/>
      <w:r w:rsidRPr="00124EA2">
        <w:rPr>
          <w:szCs w:val="28"/>
        </w:rPr>
        <w:t>Privacy</w:t>
      </w:r>
      <w:proofErr w:type="spellEnd"/>
      <w:r w:rsidRPr="00124EA2">
        <w:rPr>
          <w:szCs w:val="28"/>
        </w:rPr>
        <w:t xml:space="preserve"> </w:t>
      </w:r>
      <w:proofErr w:type="spellStart"/>
      <w:r w:rsidRPr="00124EA2">
        <w:rPr>
          <w:szCs w:val="28"/>
        </w:rPr>
        <w:t>Controls</w:t>
      </w:r>
      <w:proofErr w:type="spellEnd"/>
      <w:r w:rsidRPr="00124EA2">
        <w:rPr>
          <w:szCs w:val="28"/>
        </w:rPr>
        <w:t xml:space="preserve"> </w:t>
      </w:r>
      <w:proofErr w:type="spellStart"/>
      <w:r w:rsidRPr="00124EA2">
        <w:rPr>
          <w:szCs w:val="28"/>
        </w:rPr>
        <w:t>for</w:t>
      </w:r>
      <w:proofErr w:type="spellEnd"/>
      <w:r w:rsidRPr="00124EA2">
        <w:rPr>
          <w:szCs w:val="28"/>
        </w:rPr>
        <w:t xml:space="preserve"> </w:t>
      </w:r>
      <w:proofErr w:type="spellStart"/>
      <w:r w:rsidRPr="00124EA2">
        <w:rPr>
          <w:szCs w:val="28"/>
        </w:rPr>
        <w:t>Information</w:t>
      </w:r>
      <w:proofErr w:type="spellEnd"/>
      <w:r w:rsidRPr="00124EA2">
        <w:rPr>
          <w:szCs w:val="28"/>
        </w:rPr>
        <w:t xml:space="preserve"> Systems </w:t>
      </w:r>
      <w:proofErr w:type="spellStart"/>
      <w:r w:rsidRPr="00124EA2">
        <w:rPr>
          <w:szCs w:val="28"/>
        </w:rPr>
        <w:t>and</w:t>
      </w:r>
      <w:proofErr w:type="spellEnd"/>
      <w:r w:rsidRPr="00124EA2">
        <w:rPr>
          <w:szCs w:val="28"/>
        </w:rPr>
        <w:t xml:space="preserve"> </w:t>
      </w:r>
      <w:proofErr w:type="spellStart"/>
      <w:r w:rsidRPr="00124EA2">
        <w:rPr>
          <w:szCs w:val="28"/>
        </w:rPr>
        <w:t>Organizations</w:t>
      </w:r>
      <w:proofErr w:type="spellEnd"/>
      <w:r w:rsidRPr="00124EA2">
        <w:rPr>
          <w:szCs w:val="28"/>
        </w:rPr>
        <w:t xml:space="preserve">. NIST </w:t>
      </w:r>
      <w:proofErr w:type="spellStart"/>
      <w:r w:rsidRPr="00124EA2">
        <w:rPr>
          <w:szCs w:val="28"/>
        </w:rPr>
        <w:t>Special</w:t>
      </w:r>
      <w:proofErr w:type="spellEnd"/>
      <w:r w:rsidRPr="00124EA2">
        <w:rPr>
          <w:szCs w:val="28"/>
        </w:rPr>
        <w:t xml:space="preserve"> </w:t>
      </w:r>
      <w:proofErr w:type="spellStart"/>
      <w:r w:rsidRPr="00124EA2">
        <w:rPr>
          <w:szCs w:val="28"/>
        </w:rPr>
        <w:t>Publication</w:t>
      </w:r>
      <w:proofErr w:type="spellEnd"/>
      <w:r w:rsidRPr="00124EA2">
        <w:rPr>
          <w:szCs w:val="28"/>
        </w:rPr>
        <w:t xml:space="preserve"> 800-53, </w:t>
      </w:r>
      <w:proofErr w:type="spellStart"/>
      <w:r w:rsidRPr="00124EA2">
        <w:rPr>
          <w:szCs w:val="28"/>
        </w:rPr>
        <w:t>Revision</w:t>
      </w:r>
      <w:proofErr w:type="spellEnd"/>
      <w:r w:rsidRPr="00124EA2">
        <w:rPr>
          <w:szCs w:val="28"/>
        </w:rPr>
        <w:t xml:space="preserve"> 5. </w:t>
      </w:r>
      <w:proofErr w:type="spellStart"/>
      <w:r w:rsidRPr="00124EA2">
        <w:rPr>
          <w:szCs w:val="28"/>
        </w:rPr>
        <w:t>Gaithersburg</w:t>
      </w:r>
      <w:proofErr w:type="spellEnd"/>
      <w:r w:rsidRPr="00124EA2">
        <w:rPr>
          <w:szCs w:val="28"/>
        </w:rPr>
        <w:t>, MD: NIST, 2020.</w:t>
      </w:r>
    </w:p>
    <w:p w14:paraId="3C2E1754" w14:textId="1D314F80" w:rsidR="00124EA2" w:rsidRPr="00124EA2" w:rsidRDefault="00124EA2" w:rsidP="00124EA2">
      <w:pPr>
        <w:ind w:firstLine="567"/>
        <w:jc w:val="both"/>
        <w:rPr>
          <w:szCs w:val="28"/>
        </w:rPr>
      </w:pPr>
      <w:r w:rsidRPr="00124EA2">
        <w:rPr>
          <w:szCs w:val="28"/>
        </w:rPr>
        <w:t xml:space="preserve">[12] EUROPEAN UNION AGENCY FOR CYBERSECURITY (ENISA). ENISA </w:t>
      </w:r>
      <w:proofErr w:type="spellStart"/>
      <w:r w:rsidRPr="00124EA2">
        <w:rPr>
          <w:szCs w:val="28"/>
        </w:rPr>
        <w:t>Threat</w:t>
      </w:r>
      <w:proofErr w:type="spellEnd"/>
      <w:r w:rsidRPr="00124EA2">
        <w:rPr>
          <w:szCs w:val="28"/>
        </w:rPr>
        <w:t xml:space="preserve"> </w:t>
      </w:r>
      <w:proofErr w:type="spellStart"/>
      <w:r w:rsidRPr="00124EA2">
        <w:rPr>
          <w:szCs w:val="28"/>
        </w:rPr>
        <w:t>Landscape</w:t>
      </w:r>
      <w:proofErr w:type="spellEnd"/>
      <w:r w:rsidRPr="00124EA2">
        <w:rPr>
          <w:szCs w:val="28"/>
        </w:rPr>
        <w:t xml:space="preserve">. </w:t>
      </w:r>
      <w:proofErr w:type="spellStart"/>
      <w:r w:rsidRPr="00124EA2">
        <w:rPr>
          <w:szCs w:val="28"/>
        </w:rPr>
        <w:t>Athens</w:t>
      </w:r>
      <w:proofErr w:type="spellEnd"/>
      <w:r w:rsidRPr="00124EA2">
        <w:rPr>
          <w:szCs w:val="28"/>
        </w:rPr>
        <w:t xml:space="preserve">; </w:t>
      </w:r>
      <w:proofErr w:type="spellStart"/>
      <w:r w:rsidRPr="00124EA2">
        <w:rPr>
          <w:szCs w:val="28"/>
        </w:rPr>
        <w:t>Heraklion</w:t>
      </w:r>
      <w:proofErr w:type="spellEnd"/>
      <w:r w:rsidRPr="00124EA2">
        <w:rPr>
          <w:szCs w:val="28"/>
        </w:rPr>
        <w:t>: ENISA.</w:t>
      </w:r>
    </w:p>
    <w:p w14:paraId="2C22DCB6" w14:textId="6DCBF313" w:rsidR="00124EA2" w:rsidRPr="00124EA2" w:rsidRDefault="00124EA2" w:rsidP="00124EA2">
      <w:pPr>
        <w:ind w:firstLine="567"/>
        <w:jc w:val="both"/>
        <w:rPr>
          <w:szCs w:val="28"/>
        </w:rPr>
      </w:pPr>
      <w:r w:rsidRPr="00124EA2">
        <w:rPr>
          <w:szCs w:val="28"/>
        </w:rPr>
        <w:t xml:space="preserve">[13] ЕВРОПЕЙСКА КОМИСИЯ. Регламент за изпълнение (ЕС) 2024/2690 на Комисията от 17 октомври 2024 година за определяне на правила за прилагането на Директива (ЕС) 2022/2555 по отношение на техническите и методологичните изисквания за мерките за управление на риска в областта на </w:t>
      </w:r>
      <w:proofErr w:type="spellStart"/>
      <w:r w:rsidRPr="00124EA2">
        <w:rPr>
          <w:szCs w:val="28"/>
        </w:rPr>
        <w:t>киберсигурността</w:t>
      </w:r>
      <w:proofErr w:type="spellEnd"/>
      <w:r w:rsidRPr="00124EA2">
        <w:rPr>
          <w:szCs w:val="28"/>
        </w:rPr>
        <w:t xml:space="preserve"> и за допълнително уточняване на случаите, в които даден инцидент се счита за значителен. Официален вестник на Европейския съюз. 2024.</w:t>
      </w:r>
    </w:p>
    <w:sectPr w:rsidR="00124EA2" w:rsidRPr="00124EA2"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3CBB" w14:textId="77777777" w:rsidR="004D6DA4" w:rsidRDefault="004D6DA4" w:rsidP="00A0193A">
      <w:r>
        <w:separator/>
      </w:r>
    </w:p>
  </w:endnote>
  <w:endnote w:type="continuationSeparator" w:id="0">
    <w:p w14:paraId="27C8044A" w14:textId="77777777" w:rsidR="004D6DA4" w:rsidRDefault="004D6DA4"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9022D" w14:textId="77777777" w:rsidR="004D6DA4" w:rsidRDefault="004D6DA4" w:rsidP="00A0193A">
      <w:r>
        <w:separator/>
      </w:r>
    </w:p>
  </w:footnote>
  <w:footnote w:type="continuationSeparator" w:id="0">
    <w:p w14:paraId="3D078BEE" w14:textId="77777777" w:rsidR="004D6DA4" w:rsidRDefault="004D6DA4"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8956273">
    <w:abstractNumId w:val="0"/>
  </w:num>
  <w:num w:numId="2" w16cid:durableId="317852846">
    <w:abstractNumId w:val="2"/>
  </w:num>
  <w:num w:numId="3" w16cid:durableId="986739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mirrorMargins/>
  <w:proofState w:spelling="clean" w:grammar="clean"/>
  <w:revisionView w:inkAnnotations="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4DFC"/>
    <w:rsid w:val="00051D66"/>
    <w:rsid w:val="0007387D"/>
    <w:rsid w:val="00083FBE"/>
    <w:rsid w:val="00085D68"/>
    <w:rsid w:val="000B2FA3"/>
    <w:rsid w:val="000C0AD8"/>
    <w:rsid w:val="000E49AE"/>
    <w:rsid w:val="00121F6A"/>
    <w:rsid w:val="00124CF7"/>
    <w:rsid w:val="00124EA2"/>
    <w:rsid w:val="00127C45"/>
    <w:rsid w:val="00134639"/>
    <w:rsid w:val="001524D5"/>
    <w:rsid w:val="001537E6"/>
    <w:rsid w:val="00155CA9"/>
    <w:rsid w:val="001622BD"/>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83127"/>
    <w:rsid w:val="00292CDB"/>
    <w:rsid w:val="002A7C9B"/>
    <w:rsid w:val="002B00F1"/>
    <w:rsid w:val="002B1FEE"/>
    <w:rsid w:val="002E611A"/>
    <w:rsid w:val="002F6F16"/>
    <w:rsid w:val="003004BD"/>
    <w:rsid w:val="0030751A"/>
    <w:rsid w:val="00371186"/>
    <w:rsid w:val="00386A6A"/>
    <w:rsid w:val="003B1F44"/>
    <w:rsid w:val="003B4BBC"/>
    <w:rsid w:val="003B7D36"/>
    <w:rsid w:val="003D7A54"/>
    <w:rsid w:val="003E4E40"/>
    <w:rsid w:val="00402B6C"/>
    <w:rsid w:val="00415DF1"/>
    <w:rsid w:val="00471759"/>
    <w:rsid w:val="004831E2"/>
    <w:rsid w:val="004C7433"/>
    <w:rsid w:val="004D6DA4"/>
    <w:rsid w:val="004F1C93"/>
    <w:rsid w:val="004F589D"/>
    <w:rsid w:val="005008ED"/>
    <w:rsid w:val="005022FD"/>
    <w:rsid w:val="00503623"/>
    <w:rsid w:val="005044C9"/>
    <w:rsid w:val="0052174B"/>
    <w:rsid w:val="00534842"/>
    <w:rsid w:val="00561C14"/>
    <w:rsid w:val="005C35F1"/>
    <w:rsid w:val="0068049F"/>
    <w:rsid w:val="0068074F"/>
    <w:rsid w:val="00683E63"/>
    <w:rsid w:val="00686EAC"/>
    <w:rsid w:val="00694543"/>
    <w:rsid w:val="006A5150"/>
    <w:rsid w:val="006A7513"/>
    <w:rsid w:val="006A7C1E"/>
    <w:rsid w:val="006B025F"/>
    <w:rsid w:val="006D7048"/>
    <w:rsid w:val="006F2052"/>
    <w:rsid w:val="007041A3"/>
    <w:rsid w:val="00710DE2"/>
    <w:rsid w:val="0072391F"/>
    <w:rsid w:val="00735076"/>
    <w:rsid w:val="00763C2E"/>
    <w:rsid w:val="0077663F"/>
    <w:rsid w:val="00781794"/>
    <w:rsid w:val="00784A27"/>
    <w:rsid w:val="00784F6C"/>
    <w:rsid w:val="007973BD"/>
    <w:rsid w:val="007A7340"/>
    <w:rsid w:val="007B5909"/>
    <w:rsid w:val="007B686C"/>
    <w:rsid w:val="007C4BAE"/>
    <w:rsid w:val="007C65B7"/>
    <w:rsid w:val="007E0E0A"/>
    <w:rsid w:val="007E2105"/>
    <w:rsid w:val="00800C76"/>
    <w:rsid w:val="00805804"/>
    <w:rsid w:val="008129C2"/>
    <w:rsid w:val="008652CB"/>
    <w:rsid w:val="00870BC5"/>
    <w:rsid w:val="00877F5E"/>
    <w:rsid w:val="008B22A4"/>
    <w:rsid w:val="008B7B8F"/>
    <w:rsid w:val="008C7A58"/>
    <w:rsid w:val="008D1109"/>
    <w:rsid w:val="009003B5"/>
    <w:rsid w:val="00901270"/>
    <w:rsid w:val="0091243D"/>
    <w:rsid w:val="00915C6C"/>
    <w:rsid w:val="00925081"/>
    <w:rsid w:val="00934811"/>
    <w:rsid w:val="009375B6"/>
    <w:rsid w:val="00940E4A"/>
    <w:rsid w:val="00943D2E"/>
    <w:rsid w:val="00946E7C"/>
    <w:rsid w:val="00957EAF"/>
    <w:rsid w:val="009605D7"/>
    <w:rsid w:val="00967173"/>
    <w:rsid w:val="0098344D"/>
    <w:rsid w:val="00996456"/>
    <w:rsid w:val="009A4A67"/>
    <w:rsid w:val="009B47A1"/>
    <w:rsid w:val="009E6451"/>
    <w:rsid w:val="009F12DD"/>
    <w:rsid w:val="009F29F2"/>
    <w:rsid w:val="009F6B0F"/>
    <w:rsid w:val="00A0193A"/>
    <w:rsid w:val="00A25E7D"/>
    <w:rsid w:val="00A41931"/>
    <w:rsid w:val="00A645CF"/>
    <w:rsid w:val="00A84459"/>
    <w:rsid w:val="00A86955"/>
    <w:rsid w:val="00A8717A"/>
    <w:rsid w:val="00B165DC"/>
    <w:rsid w:val="00B245AD"/>
    <w:rsid w:val="00B3091F"/>
    <w:rsid w:val="00B33AAF"/>
    <w:rsid w:val="00B41AF1"/>
    <w:rsid w:val="00B5127C"/>
    <w:rsid w:val="00B601CF"/>
    <w:rsid w:val="00B73727"/>
    <w:rsid w:val="00B7407F"/>
    <w:rsid w:val="00B74F4B"/>
    <w:rsid w:val="00B825AF"/>
    <w:rsid w:val="00B869A3"/>
    <w:rsid w:val="00B9433C"/>
    <w:rsid w:val="00B97CDE"/>
    <w:rsid w:val="00BA5E13"/>
    <w:rsid w:val="00BB0875"/>
    <w:rsid w:val="00BC2FB1"/>
    <w:rsid w:val="00BD084C"/>
    <w:rsid w:val="00BF2235"/>
    <w:rsid w:val="00C144B9"/>
    <w:rsid w:val="00C26503"/>
    <w:rsid w:val="00C33722"/>
    <w:rsid w:val="00C40CDF"/>
    <w:rsid w:val="00C41268"/>
    <w:rsid w:val="00C46C28"/>
    <w:rsid w:val="00C544B2"/>
    <w:rsid w:val="00CA7C37"/>
    <w:rsid w:val="00CB7B8B"/>
    <w:rsid w:val="00CC24AA"/>
    <w:rsid w:val="00CC2D24"/>
    <w:rsid w:val="00CD71B9"/>
    <w:rsid w:val="00CF19F3"/>
    <w:rsid w:val="00D1767C"/>
    <w:rsid w:val="00D403D8"/>
    <w:rsid w:val="00D4589B"/>
    <w:rsid w:val="00D45D68"/>
    <w:rsid w:val="00D940F8"/>
    <w:rsid w:val="00DE2350"/>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D1FBC"/>
    <w:rsid w:val="00EE7E86"/>
    <w:rsid w:val="00EF35AF"/>
    <w:rsid w:val="00EF5F53"/>
    <w:rsid w:val="00F0297C"/>
    <w:rsid w:val="00F1545C"/>
    <w:rsid w:val="00F2077C"/>
    <w:rsid w:val="00F43811"/>
    <w:rsid w:val="00F627B5"/>
    <w:rsid w:val="00F64D1C"/>
    <w:rsid w:val="00F814FB"/>
    <w:rsid w:val="00F930D7"/>
    <w:rsid w:val="00F93296"/>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F947F9"/>
    <w:rPr>
      <w:color w:val="605E5C"/>
      <w:shd w:val="clear" w:color="auto" w:fill="E1DFDD"/>
    </w:rPr>
  </w:style>
  <w:style w:type="character" w:styleId="af0">
    <w:name w:val="FollowedHyperlink"/>
    <w:basedOn w:val="a0"/>
    <w:uiPriority w:val="99"/>
    <w:semiHidden/>
    <w:unhideWhenUsed/>
    <w:rsid w:val="00F947F9"/>
    <w:rPr>
      <w:color w:val="954F72" w:themeColor="followedHyperlink"/>
      <w:u w:val="single"/>
    </w:rPr>
  </w:style>
  <w:style w:type="paragraph" w:styleId="af1">
    <w:name w:val="Normal (Web)"/>
    <w:basedOn w:val="a"/>
    <w:uiPriority w:val="99"/>
    <w:semiHidden/>
    <w:unhideWhenUsed/>
    <w:rsid w:val="003B4BBC"/>
    <w:pPr>
      <w:spacing w:before="100" w:beforeAutospacing="1" w:after="100" w:afterAutospacing="1"/>
    </w:pPr>
    <w:rPr>
      <w:sz w:val="24"/>
    </w:rPr>
  </w:style>
  <w:style w:type="character" w:styleId="af2">
    <w:name w:val="Strong"/>
    <w:basedOn w:val="a0"/>
    <w:uiPriority w:val="22"/>
    <w:qFormat/>
    <w:rsid w:val="00B74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79467">
      <w:bodyDiv w:val="1"/>
      <w:marLeft w:val="0"/>
      <w:marRight w:val="0"/>
      <w:marTop w:val="0"/>
      <w:marBottom w:val="0"/>
      <w:divBdr>
        <w:top w:val="none" w:sz="0" w:space="0" w:color="auto"/>
        <w:left w:val="none" w:sz="0" w:space="0" w:color="auto"/>
        <w:bottom w:val="none" w:sz="0" w:space="0" w:color="auto"/>
        <w:right w:val="none" w:sz="0" w:space="0" w:color="auto"/>
      </w:divBdr>
    </w:div>
    <w:div w:id="113015184">
      <w:bodyDiv w:val="1"/>
      <w:marLeft w:val="0"/>
      <w:marRight w:val="0"/>
      <w:marTop w:val="0"/>
      <w:marBottom w:val="0"/>
      <w:divBdr>
        <w:top w:val="none" w:sz="0" w:space="0" w:color="auto"/>
        <w:left w:val="none" w:sz="0" w:space="0" w:color="auto"/>
        <w:bottom w:val="none" w:sz="0" w:space="0" w:color="auto"/>
        <w:right w:val="none" w:sz="0" w:space="0" w:color="auto"/>
      </w:divBdr>
    </w:div>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32936701">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6100190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772551160">
      <w:bodyDiv w:val="1"/>
      <w:marLeft w:val="0"/>
      <w:marRight w:val="0"/>
      <w:marTop w:val="0"/>
      <w:marBottom w:val="0"/>
      <w:divBdr>
        <w:top w:val="none" w:sz="0" w:space="0" w:color="auto"/>
        <w:left w:val="none" w:sz="0" w:space="0" w:color="auto"/>
        <w:bottom w:val="none" w:sz="0" w:space="0" w:color="auto"/>
        <w:right w:val="none" w:sz="0" w:space="0" w:color="auto"/>
      </w:divBdr>
    </w:div>
    <w:div w:id="78855088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878007248">
      <w:bodyDiv w:val="1"/>
      <w:marLeft w:val="0"/>
      <w:marRight w:val="0"/>
      <w:marTop w:val="0"/>
      <w:marBottom w:val="0"/>
      <w:divBdr>
        <w:top w:val="none" w:sz="0" w:space="0" w:color="auto"/>
        <w:left w:val="none" w:sz="0" w:space="0" w:color="auto"/>
        <w:bottom w:val="none" w:sz="0" w:space="0" w:color="auto"/>
        <w:right w:val="none" w:sz="0" w:space="0" w:color="auto"/>
      </w:divBdr>
    </w:div>
    <w:div w:id="931277873">
      <w:bodyDiv w:val="1"/>
      <w:marLeft w:val="0"/>
      <w:marRight w:val="0"/>
      <w:marTop w:val="0"/>
      <w:marBottom w:val="0"/>
      <w:divBdr>
        <w:top w:val="none" w:sz="0" w:space="0" w:color="auto"/>
        <w:left w:val="none" w:sz="0" w:space="0" w:color="auto"/>
        <w:bottom w:val="none" w:sz="0" w:space="0" w:color="auto"/>
        <w:right w:val="none" w:sz="0" w:space="0" w:color="auto"/>
      </w:divBdr>
    </w:div>
    <w:div w:id="991057967">
      <w:bodyDiv w:val="1"/>
      <w:marLeft w:val="0"/>
      <w:marRight w:val="0"/>
      <w:marTop w:val="0"/>
      <w:marBottom w:val="0"/>
      <w:divBdr>
        <w:top w:val="none" w:sz="0" w:space="0" w:color="auto"/>
        <w:left w:val="none" w:sz="0" w:space="0" w:color="auto"/>
        <w:bottom w:val="none" w:sz="0" w:space="0" w:color="auto"/>
        <w:right w:val="none" w:sz="0" w:space="0" w:color="auto"/>
      </w:divBdr>
    </w:div>
    <w:div w:id="1039940366">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139803711">
      <w:bodyDiv w:val="1"/>
      <w:marLeft w:val="0"/>
      <w:marRight w:val="0"/>
      <w:marTop w:val="0"/>
      <w:marBottom w:val="0"/>
      <w:divBdr>
        <w:top w:val="none" w:sz="0" w:space="0" w:color="auto"/>
        <w:left w:val="none" w:sz="0" w:space="0" w:color="auto"/>
        <w:bottom w:val="none" w:sz="0" w:space="0" w:color="auto"/>
        <w:right w:val="none" w:sz="0" w:space="0" w:color="auto"/>
      </w:divBdr>
    </w:div>
    <w:div w:id="1235120973">
      <w:bodyDiv w:val="1"/>
      <w:marLeft w:val="0"/>
      <w:marRight w:val="0"/>
      <w:marTop w:val="0"/>
      <w:marBottom w:val="0"/>
      <w:divBdr>
        <w:top w:val="none" w:sz="0" w:space="0" w:color="auto"/>
        <w:left w:val="none" w:sz="0" w:space="0" w:color="auto"/>
        <w:bottom w:val="none" w:sz="0" w:space="0" w:color="auto"/>
        <w:right w:val="none" w:sz="0" w:space="0" w:color="auto"/>
      </w:divBdr>
    </w:div>
    <w:div w:id="1266302488">
      <w:bodyDiv w:val="1"/>
      <w:marLeft w:val="0"/>
      <w:marRight w:val="0"/>
      <w:marTop w:val="0"/>
      <w:marBottom w:val="0"/>
      <w:divBdr>
        <w:top w:val="none" w:sz="0" w:space="0" w:color="auto"/>
        <w:left w:val="none" w:sz="0" w:space="0" w:color="auto"/>
        <w:bottom w:val="none" w:sz="0" w:space="0" w:color="auto"/>
        <w:right w:val="none" w:sz="0" w:space="0" w:color="auto"/>
      </w:divBdr>
    </w:div>
    <w:div w:id="1315602145">
      <w:bodyDiv w:val="1"/>
      <w:marLeft w:val="0"/>
      <w:marRight w:val="0"/>
      <w:marTop w:val="0"/>
      <w:marBottom w:val="0"/>
      <w:divBdr>
        <w:top w:val="none" w:sz="0" w:space="0" w:color="auto"/>
        <w:left w:val="none" w:sz="0" w:space="0" w:color="auto"/>
        <w:bottom w:val="none" w:sz="0" w:space="0" w:color="auto"/>
        <w:right w:val="none" w:sz="0" w:space="0" w:color="auto"/>
      </w:divBdr>
    </w:div>
    <w:div w:id="1412511094">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49626781">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89332221">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738818559">
      <w:bodyDiv w:val="1"/>
      <w:marLeft w:val="0"/>
      <w:marRight w:val="0"/>
      <w:marTop w:val="0"/>
      <w:marBottom w:val="0"/>
      <w:divBdr>
        <w:top w:val="none" w:sz="0" w:space="0" w:color="auto"/>
        <w:left w:val="none" w:sz="0" w:space="0" w:color="auto"/>
        <w:bottom w:val="none" w:sz="0" w:space="0" w:color="auto"/>
        <w:right w:val="none" w:sz="0" w:space="0" w:color="auto"/>
      </w:divBdr>
    </w:div>
    <w:div w:id="1804730424">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 w:id="196499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4EC4B-85F4-414E-BB6F-C42D935C988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4507</Words>
  <Characters>25692</Characters>
  <Application>Microsoft Office Word</Application>
  <DocSecurity>0</DocSecurity>
  <Lines>214</Lines>
  <Paragraphs>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Нефизе Мехмедали</cp:lastModifiedBy>
  <cp:revision>2</cp:revision>
  <dcterms:created xsi:type="dcterms:W3CDTF">2026-09-16T09:37:00Z</dcterms:created>
  <dcterms:modified xsi:type="dcterms:W3CDTF">2026-09-16T09:37:00Z</dcterms:modified>
</cp:coreProperties>
</file>