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D0B" w:rsidRPr="00C50E2F" w:rsidRDefault="00C97D0B" w:rsidP="0093356D">
      <w:pPr>
        <w:spacing w:after="0" w:line="240" w:lineRule="auto"/>
        <w:jc w:val="center"/>
        <w:rPr>
          <w:rFonts w:ascii="Times New Roman" w:eastAsia="Calibri" w:hAnsi="Times New Roman" w:cs="Times New Roman"/>
          <w:b/>
          <w:caps/>
          <w:sz w:val="28"/>
          <w:szCs w:val="28"/>
        </w:rPr>
      </w:pPr>
      <w:r w:rsidRPr="00C50E2F">
        <w:rPr>
          <w:rFonts w:ascii="Times New Roman" w:eastAsia="Calibri" w:hAnsi="Times New Roman" w:cs="Times New Roman"/>
          <w:b/>
          <w:caps/>
          <w:sz w:val="32"/>
          <w:szCs w:val="32"/>
        </w:rPr>
        <w:t>Компетентности за реализиране на холистично педагогическо взаимодействие в предучилищна възраст</w:t>
      </w:r>
    </w:p>
    <w:p w:rsidR="00C97D0B" w:rsidRPr="00C50E2F" w:rsidRDefault="00C97D0B" w:rsidP="0093356D">
      <w:pPr>
        <w:spacing w:after="0" w:line="240" w:lineRule="auto"/>
        <w:jc w:val="center"/>
        <w:rPr>
          <w:rFonts w:ascii="Times New Roman" w:eastAsia="Calibri" w:hAnsi="Times New Roman" w:cs="Times New Roman"/>
          <w:b/>
          <w:caps/>
          <w:sz w:val="28"/>
          <w:szCs w:val="28"/>
        </w:rPr>
      </w:pPr>
    </w:p>
    <w:p w:rsidR="00C97D0B" w:rsidRPr="00C50E2F" w:rsidRDefault="00C97D0B" w:rsidP="0093356D">
      <w:pPr>
        <w:spacing w:after="0" w:line="240" w:lineRule="auto"/>
        <w:jc w:val="center"/>
        <w:rPr>
          <w:rFonts w:ascii="Times New Roman" w:eastAsia="Calibri" w:hAnsi="Times New Roman" w:cs="Times New Roman"/>
          <w:b/>
          <w:caps/>
          <w:sz w:val="28"/>
          <w:szCs w:val="28"/>
        </w:rPr>
      </w:pPr>
    </w:p>
    <w:p w:rsidR="00C97D0B" w:rsidRPr="00C50E2F" w:rsidRDefault="00C97D0B" w:rsidP="0093356D">
      <w:pPr>
        <w:spacing w:after="0" w:line="240" w:lineRule="auto"/>
        <w:jc w:val="center"/>
        <w:rPr>
          <w:rFonts w:ascii="Times New Roman" w:eastAsia="Calibri" w:hAnsi="Times New Roman" w:cs="Times New Roman"/>
          <w:b/>
          <w:sz w:val="32"/>
          <w:szCs w:val="32"/>
        </w:rPr>
      </w:pPr>
      <w:r w:rsidRPr="00C50E2F">
        <w:rPr>
          <w:rFonts w:ascii="Times New Roman" w:eastAsia="Calibri" w:hAnsi="Times New Roman" w:cs="Times New Roman"/>
          <w:b/>
          <w:caps/>
          <w:sz w:val="32"/>
          <w:szCs w:val="32"/>
        </w:rPr>
        <w:t>Д</w:t>
      </w:r>
      <w:r w:rsidRPr="00C50E2F">
        <w:rPr>
          <w:rFonts w:ascii="Times New Roman" w:eastAsia="Calibri" w:hAnsi="Times New Roman" w:cs="Times New Roman"/>
          <w:b/>
          <w:sz w:val="32"/>
          <w:szCs w:val="32"/>
        </w:rPr>
        <w:t>еляна Чуховска</w:t>
      </w:r>
    </w:p>
    <w:p w:rsidR="00C97D0B" w:rsidRPr="00C50E2F" w:rsidRDefault="00C97D0B" w:rsidP="0093356D">
      <w:pPr>
        <w:spacing w:after="0" w:line="240" w:lineRule="auto"/>
        <w:jc w:val="center"/>
        <w:rPr>
          <w:rFonts w:ascii="Times New Roman" w:eastAsia="Calibri" w:hAnsi="Times New Roman" w:cs="Times New Roman"/>
          <w:b/>
          <w:sz w:val="32"/>
          <w:szCs w:val="32"/>
        </w:rPr>
      </w:pPr>
    </w:p>
    <w:p w:rsidR="00C97D0B" w:rsidRPr="00C50E2F" w:rsidRDefault="00C97D0B" w:rsidP="0093356D">
      <w:pPr>
        <w:spacing w:after="0" w:line="240" w:lineRule="auto"/>
        <w:jc w:val="center"/>
        <w:rPr>
          <w:rFonts w:ascii="Times New Roman" w:eastAsia="Calibri" w:hAnsi="Times New Roman" w:cs="Times New Roman"/>
          <w:b/>
          <w:sz w:val="32"/>
          <w:szCs w:val="32"/>
        </w:rPr>
      </w:pPr>
      <w:r w:rsidRPr="00C50E2F">
        <w:rPr>
          <w:rFonts w:ascii="Times New Roman" w:eastAsia="Calibri" w:hAnsi="Times New Roman" w:cs="Times New Roman"/>
          <w:b/>
          <w:sz w:val="32"/>
          <w:szCs w:val="32"/>
        </w:rPr>
        <w:t>COMPETENCIES FOR FOSTERING HOLISTIC PEDAGOGICAL INTERACTION IN THE PRE-SCHOOL AGE GROUP</w:t>
      </w:r>
    </w:p>
    <w:p w:rsidR="00C97D0B" w:rsidRPr="00C50E2F" w:rsidRDefault="00C97D0B" w:rsidP="0093356D">
      <w:pPr>
        <w:spacing w:after="0" w:line="240" w:lineRule="auto"/>
        <w:jc w:val="center"/>
        <w:rPr>
          <w:rFonts w:ascii="Times New Roman" w:eastAsia="Calibri" w:hAnsi="Times New Roman" w:cs="Times New Roman"/>
          <w:b/>
          <w:sz w:val="28"/>
          <w:szCs w:val="28"/>
        </w:rPr>
      </w:pPr>
    </w:p>
    <w:p w:rsidR="00C97D0B" w:rsidRPr="00C50E2F" w:rsidRDefault="00C97D0B" w:rsidP="0093356D">
      <w:pPr>
        <w:spacing w:after="0" w:line="240" w:lineRule="auto"/>
        <w:jc w:val="center"/>
        <w:rPr>
          <w:rFonts w:ascii="Times New Roman" w:eastAsia="Calibri" w:hAnsi="Times New Roman" w:cs="Times New Roman"/>
          <w:b/>
          <w:sz w:val="32"/>
          <w:szCs w:val="32"/>
          <w:lang w:val="en-US"/>
        </w:rPr>
      </w:pPr>
      <w:r w:rsidRPr="00C50E2F">
        <w:rPr>
          <w:rFonts w:ascii="Times New Roman" w:eastAsia="Calibri" w:hAnsi="Times New Roman" w:cs="Times New Roman"/>
          <w:b/>
          <w:sz w:val="32"/>
          <w:szCs w:val="32"/>
          <w:lang w:val="en-US"/>
        </w:rPr>
        <w:t>Delyana Chuhovska</w:t>
      </w:r>
    </w:p>
    <w:p w:rsidR="00C97D0B" w:rsidRPr="00C50E2F" w:rsidRDefault="00C97D0B" w:rsidP="00C97D0B">
      <w:pPr>
        <w:spacing w:before="100" w:beforeAutospacing="1" w:after="100" w:afterAutospacing="1" w:line="240" w:lineRule="auto"/>
        <w:jc w:val="center"/>
        <w:rPr>
          <w:rFonts w:ascii="Times New Roman" w:eastAsia="Calibri" w:hAnsi="Times New Roman" w:cs="Times New Roman"/>
          <w:b/>
          <w:sz w:val="28"/>
          <w:szCs w:val="28"/>
          <w:lang w:val="en-US"/>
        </w:rPr>
      </w:pPr>
    </w:p>
    <w:p w:rsidR="00C97D0B" w:rsidRPr="00C50E2F" w:rsidRDefault="00C97D0B" w:rsidP="00FD05E1">
      <w:pPr>
        <w:spacing w:before="100" w:beforeAutospacing="1" w:after="100" w:afterAutospacing="1" w:line="240" w:lineRule="auto"/>
        <w:jc w:val="both"/>
        <w:rPr>
          <w:rFonts w:ascii="Times New Roman" w:eastAsia="Calibri" w:hAnsi="Times New Roman" w:cs="Times New Roman"/>
          <w:i/>
          <w:sz w:val="24"/>
          <w:szCs w:val="24"/>
        </w:rPr>
      </w:pPr>
      <w:r w:rsidRPr="00C50E2F">
        <w:rPr>
          <w:rFonts w:ascii="Times New Roman" w:eastAsia="Calibri" w:hAnsi="Times New Roman" w:cs="Times New Roman"/>
          <w:b/>
          <w:i/>
          <w:sz w:val="24"/>
          <w:szCs w:val="24"/>
        </w:rPr>
        <w:t>Резюме:</w:t>
      </w:r>
      <w:r w:rsidRPr="00C50E2F">
        <w:rPr>
          <w:rFonts w:ascii="Times New Roman" w:eastAsia="Calibri" w:hAnsi="Times New Roman" w:cs="Times New Roman"/>
          <w:i/>
          <w:sz w:val="24"/>
          <w:szCs w:val="24"/>
        </w:rPr>
        <w:t xml:space="preserve"> Докладът има за цел да представи параметрите на холистичния подход в образователната интеракция. Процесът на усвояване на знания и умения е разгледан като интегративна концепция от психологическа, педагогическа и биологична гледна точка. Анализирани са основни специфики на педагогическото взаимодействие, като</w:t>
      </w:r>
      <w:r w:rsidRPr="00C50E2F">
        <w:rPr>
          <w:rFonts w:ascii="Times New Roman" w:eastAsia="Calibri" w:hAnsi="Times New Roman" w:cs="Times New Roman"/>
          <w:i/>
          <w:sz w:val="24"/>
          <w:szCs w:val="24"/>
          <w:lang w:val="en-US"/>
        </w:rPr>
        <w:t xml:space="preserve"> </w:t>
      </w:r>
      <w:r w:rsidRPr="00C50E2F">
        <w:rPr>
          <w:rFonts w:ascii="Times New Roman" w:eastAsia="Calibri" w:hAnsi="Times New Roman" w:cs="Times New Roman"/>
          <w:i/>
          <w:sz w:val="24"/>
          <w:szCs w:val="24"/>
        </w:rPr>
        <w:t>са обхванати всички участници в този процес.</w:t>
      </w:r>
    </w:p>
    <w:p w:rsidR="00C97D0B" w:rsidRPr="00C50E2F" w:rsidRDefault="00C97D0B" w:rsidP="0093356D">
      <w:pPr>
        <w:spacing w:after="0" w:line="240" w:lineRule="auto"/>
        <w:rPr>
          <w:rFonts w:ascii="Times New Roman" w:eastAsia="Calibri" w:hAnsi="Times New Roman" w:cs="Times New Roman"/>
          <w:i/>
          <w:sz w:val="28"/>
          <w:szCs w:val="28"/>
        </w:rPr>
      </w:pPr>
    </w:p>
    <w:p w:rsidR="00C97D0B" w:rsidRPr="00C50E2F" w:rsidRDefault="00C97D0B" w:rsidP="00C97D0B">
      <w:pPr>
        <w:spacing w:before="100" w:beforeAutospacing="1" w:after="100" w:afterAutospacing="1" w:line="240" w:lineRule="auto"/>
        <w:rPr>
          <w:rFonts w:ascii="Times New Roman" w:eastAsia="Calibri" w:hAnsi="Times New Roman" w:cs="Times New Roman"/>
          <w:i/>
          <w:sz w:val="24"/>
          <w:szCs w:val="24"/>
        </w:rPr>
      </w:pPr>
      <w:r w:rsidRPr="00C50E2F">
        <w:rPr>
          <w:rFonts w:ascii="Times New Roman" w:eastAsia="Calibri" w:hAnsi="Times New Roman" w:cs="Times New Roman"/>
          <w:b/>
          <w:i/>
          <w:sz w:val="24"/>
          <w:szCs w:val="24"/>
        </w:rPr>
        <w:t>Ключови думи:</w:t>
      </w:r>
      <w:r w:rsidRPr="00C50E2F">
        <w:rPr>
          <w:rFonts w:ascii="Times New Roman" w:eastAsia="Calibri" w:hAnsi="Times New Roman" w:cs="Times New Roman"/>
          <w:i/>
          <w:sz w:val="24"/>
          <w:szCs w:val="24"/>
        </w:rPr>
        <w:t xml:space="preserve"> предучилищна възраст, холистично образование, компетентностен подход</w:t>
      </w:r>
    </w:p>
    <w:p w:rsidR="00C97D0B" w:rsidRPr="00C50E2F" w:rsidRDefault="00C97D0B" w:rsidP="00B105F3">
      <w:pPr>
        <w:spacing w:after="0" w:line="240" w:lineRule="auto"/>
        <w:rPr>
          <w:rFonts w:ascii="Times New Roman" w:eastAsia="Calibri" w:hAnsi="Times New Roman" w:cs="Times New Roman"/>
          <w:i/>
          <w:sz w:val="28"/>
          <w:szCs w:val="28"/>
        </w:rPr>
      </w:pPr>
    </w:p>
    <w:p w:rsidR="00C97D0B" w:rsidRPr="00C50E2F" w:rsidRDefault="00C97D0B" w:rsidP="00C97D0B">
      <w:pPr>
        <w:spacing w:before="100" w:beforeAutospacing="1" w:after="100" w:afterAutospacing="1" w:line="240" w:lineRule="auto"/>
        <w:jc w:val="both"/>
        <w:rPr>
          <w:rFonts w:ascii="Times New Roman" w:eastAsia="Times New Roman" w:hAnsi="Times New Roman" w:cs="Times New Roman"/>
          <w:i/>
          <w:sz w:val="24"/>
          <w:szCs w:val="24"/>
          <w:lang w:eastAsia="bg-BG"/>
        </w:rPr>
      </w:pPr>
      <w:proofErr w:type="spellStart"/>
      <w:r w:rsidRPr="00C50E2F">
        <w:rPr>
          <w:rFonts w:ascii="Times New Roman" w:eastAsia="Times New Roman" w:hAnsi="Times New Roman" w:cs="Times New Roman"/>
          <w:b/>
          <w:i/>
          <w:sz w:val="24"/>
          <w:szCs w:val="24"/>
          <w:lang w:eastAsia="bg-BG"/>
        </w:rPr>
        <w:t>Abstract</w:t>
      </w:r>
      <w:proofErr w:type="spellEnd"/>
      <w:r w:rsidRPr="00C50E2F">
        <w:rPr>
          <w:rFonts w:ascii="Times New Roman" w:eastAsia="Times New Roman" w:hAnsi="Times New Roman" w:cs="Times New Roman"/>
          <w:b/>
          <w:i/>
          <w:sz w:val="24"/>
          <w:szCs w:val="24"/>
          <w:lang w:eastAsia="bg-BG"/>
        </w:rPr>
        <w:t>:</w:t>
      </w:r>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The</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aim</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of</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this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report</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is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to</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present</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the</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parameters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of</w:t>
      </w:r>
      <w:proofErr w:type="spellEnd"/>
      <w:r w:rsidRPr="00C50E2F">
        <w:rPr>
          <w:rFonts w:ascii="Times New Roman" w:eastAsia="Times New Roman" w:hAnsi="Times New Roman" w:cs="Times New Roman"/>
          <w:i/>
          <w:sz w:val="24"/>
          <w:szCs w:val="24"/>
          <w:lang w:eastAsia="bg-BG"/>
        </w:rPr>
        <w:t xml:space="preserve"> a </w:t>
      </w:r>
      <w:proofErr w:type="spellStart"/>
      <w:r w:rsidRPr="00C50E2F">
        <w:rPr>
          <w:rFonts w:ascii="Times New Roman" w:eastAsia="Times New Roman" w:hAnsi="Times New Roman" w:cs="Times New Roman"/>
          <w:i/>
          <w:sz w:val="24"/>
          <w:szCs w:val="24"/>
          <w:lang w:eastAsia="bg-BG"/>
        </w:rPr>
        <w:t>holistic</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approach</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to</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educational</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interaction</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The</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process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of</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acquiring</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knowledge</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and</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skills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is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examined</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an</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integrative</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concept</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from</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psychological</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pedagogical</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and</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biological</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perspectives</w:t>
      </w:r>
      <w:proofErr w:type="spellEnd"/>
      <w:r w:rsidRPr="00C50E2F">
        <w:rPr>
          <w:rFonts w:ascii="Times New Roman" w:eastAsia="Times New Roman" w:hAnsi="Times New Roman" w:cs="Times New Roman"/>
          <w:i/>
          <w:sz w:val="24"/>
          <w:szCs w:val="24"/>
          <w:lang w:eastAsia="bg-BG"/>
        </w:rPr>
        <w:t xml:space="preserve">. Key </w:t>
      </w:r>
      <w:proofErr w:type="spellStart"/>
      <w:r w:rsidRPr="00C50E2F">
        <w:rPr>
          <w:rFonts w:ascii="Times New Roman" w:eastAsia="Times New Roman" w:hAnsi="Times New Roman" w:cs="Times New Roman"/>
          <w:i/>
          <w:sz w:val="24"/>
          <w:szCs w:val="24"/>
          <w:lang w:eastAsia="bg-BG"/>
        </w:rPr>
        <w:t>aspects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of</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pedagogical</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interaction</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are</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analysed</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covering</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all</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participants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in</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this</w:t>
      </w:r>
      <w:proofErr w:type="spellEnd"/>
      <w:r w:rsidRPr="00C50E2F">
        <w:rPr>
          <w:rFonts w:ascii="Times New Roman" w:eastAsia="Times New Roman" w:hAnsi="Times New Roman" w:cs="Times New Roman"/>
          <w:i/>
          <w:sz w:val="24"/>
          <w:szCs w:val="24"/>
          <w:lang w:eastAsia="bg-BG"/>
        </w:rPr>
        <w:t xml:space="preserve"> </w:t>
      </w:r>
      <w:proofErr w:type="spellStart"/>
      <w:r w:rsidRPr="00C50E2F">
        <w:rPr>
          <w:rFonts w:ascii="Times New Roman" w:eastAsia="Times New Roman" w:hAnsi="Times New Roman" w:cs="Times New Roman"/>
          <w:i/>
          <w:sz w:val="24"/>
          <w:szCs w:val="24"/>
          <w:lang w:eastAsia="bg-BG"/>
        </w:rPr>
        <w:t>process</w:t>
      </w:r>
      <w:proofErr w:type="spellEnd"/>
      <w:r w:rsidRPr="00C50E2F">
        <w:rPr>
          <w:rFonts w:ascii="Times New Roman" w:eastAsia="Times New Roman" w:hAnsi="Times New Roman" w:cs="Times New Roman"/>
          <w:i/>
          <w:sz w:val="24"/>
          <w:szCs w:val="24"/>
          <w:lang w:eastAsia="bg-BG"/>
        </w:rPr>
        <w:t>.</w:t>
      </w:r>
    </w:p>
    <w:p w:rsidR="00C97D0B" w:rsidRPr="00C50E2F" w:rsidRDefault="00C97D0B" w:rsidP="00B105F3">
      <w:pPr>
        <w:spacing w:after="0" w:line="240" w:lineRule="auto"/>
        <w:rPr>
          <w:rFonts w:ascii="Times New Roman" w:eastAsia="Times New Roman" w:hAnsi="Times New Roman" w:cs="Times New Roman"/>
          <w:sz w:val="28"/>
          <w:szCs w:val="28"/>
          <w:lang w:eastAsia="bg-BG"/>
        </w:rPr>
      </w:pPr>
    </w:p>
    <w:p w:rsidR="00C97D0B" w:rsidRPr="00C50E2F" w:rsidRDefault="00C97D0B" w:rsidP="00C97D0B">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C50E2F">
        <w:rPr>
          <w:rFonts w:ascii="Times New Roman" w:eastAsia="Times New Roman" w:hAnsi="Times New Roman" w:cs="Times New Roman"/>
          <w:b/>
          <w:sz w:val="24"/>
          <w:szCs w:val="24"/>
          <w:lang w:eastAsia="bg-BG"/>
        </w:rPr>
        <w:t>Keywords</w:t>
      </w:r>
      <w:proofErr w:type="spellEnd"/>
      <w:r w:rsidRPr="00C50E2F">
        <w:rPr>
          <w:rFonts w:ascii="Times New Roman" w:eastAsia="Times New Roman" w:hAnsi="Times New Roman" w:cs="Times New Roman"/>
          <w:b/>
          <w:sz w:val="24"/>
          <w:szCs w:val="24"/>
          <w:lang w:eastAsia="bg-BG"/>
        </w:rPr>
        <w:t>:</w:t>
      </w:r>
      <w:r w:rsidRPr="00C50E2F">
        <w:rPr>
          <w:rFonts w:ascii="Times New Roman" w:eastAsia="Times New Roman" w:hAnsi="Times New Roman" w:cs="Times New Roman"/>
          <w:sz w:val="24"/>
          <w:szCs w:val="24"/>
          <w:lang w:eastAsia="bg-BG"/>
        </w:rPr>
        <w:t xml:space="preserve"> </w:t>
      </w:r>
      <w:proofErr w:type="spellStart"/>
      <w:r w:rsidRPr="00C50E2F">
        <w:rPr>
          <w:rFonts w:ascii="Times New Roman" w:eastAsia="Times New Roman" w:hAnsi="Times New Roman" w:cs="Times New Roman"/>
          <w:sz w:val="24"/>
          <w:szCs w:val="24"/>
          <w:lang w:eastAsia="bg-BG"/>
        </w:rPr>
        <w:t>pre-school</w:t>
      </w:r>
      <w:proofErr w:type="spellEnd"/>
      <w:r w:rsidRPr="00C50E2F">
        <w:rPr>
          <w:rFonts w:ascii="Times New Roman" w:eastAsia="Times New Roman" w:hAnsi="Times New Roman" w:cs="Times New Roman"/>
          <w:sz w:val="24"/>
          <w:szCs w:val="24"/>
          <w:lang w:eastAsia="bg-BG"/>
        </w:rPr>
        <w:t xml:space="preserve"> </w:t>
      </w:r>
      <w:proofErr w:type="spellStart"/>
      <w:r w:rsidRPr="00C50E2F">
        <w:rPr>
          <w:rFonts w:ascii="Times New Roman" w:eastAsia="Times New Roman" w:hAnsi="Times New Roman" w:cs="Times New Roman"/>
          <w:sz w:val="24"/>
          <w:szCs w:val="24"/>
          <w:lang w:eastAsia="bg-BG"/>
        </w:rPr>
        <w:t>age</w:t>
      </w:r>
      <w:proofErr w:type="spellEnd"/>
      <w:r w:rsidRPr="00C50E2F">
        <w:rPr>
          <w:rFonts w:ascii="Times New Roman" w:eastAsia="Times New Roman" w:hAnsi="Times New Roman" w:cs="Times New Roman"/>
          <w:sz w:val="24"/>
          <w:szCs w:val="24"/>
          <w:lang w:eastAsia="bg-BG"/>
        </w:rPr>
        <w:t xml:space="preserve">, </w:t>
      </w:r>
      <w:proofErr w:type="spellStart"/>
      <w:r w:rsidRPr="00C50E2F">
        <w:rPr>
          <w:rFonts w:ascii="Times New Roman" w:eastAsia="Times New Roman" w:hAnsi="Times New Roman" w:cs="Times New Roman"/>
          <w:sz w:val="24"/>
          <w:szCs w:val="24"/>
          <w:lang w:eastAsia="bg-BG"/>
        </w:rPr>
        <w:t>holistic</w:t>
      </w:r>
      <w:proofErr w:type="spellEnd"/>
      <w:r w:rsidRPr="00C50E2F">
        <w:rPr>
          <w:rFonts w:ascii="Times New Roman" w:eastAsia="Times New Roman" w:hAnsi="Times New Roman" w:cs="Times New Roman"/>
          <w:sz w:val="24"/>
          <w:szCs w:val="24"/>
          <w:lang w:eastAsia="bg-BG"/>
        </w:rPr>
        <w:t xml:space="preserve"> </w:t>
      </w:r>
      <w:proofErr w:type="spellStart"/>
      <w:r w:rsidRPr="00C50E2F">
        <w:rPr>
          <w:rFonts w:ascii="Times New Roman" w:eastAsia="Times New Roman" w:hAnsi="Times New Roman" w:cs="Times New Roman"/>
          <w:sz w:val="24"/>
          <w:szCs w:val="24"/>
          <w:lang w:eastAsia="bg-BG"/>
        </w:rPr>
        <w:t>education</w:t>
      </w:r>
      <w:proofErr w:type="spellEnd"/>
      <w:r w:rsidRPr="00C50E2F">
        <w:rPr>
          <w:rFonts w:ascii="Times New Roman" w:eastAsia="Times New Roman" w:hAnsi="Times New Roman" w:cs="Times New Roman"/>
          <w:sz w:val="24"/>
          <w:szCs w:val="24"/>
          <w:lang w:eastAsia="bg-BG"/>
        </w:rPr>
        <w:t xml:space="preserve">, </w:t>
      </w:r>
      <w:proofErr w:type="spellStart"/>
      <w:r w:rsidRPr="00C50E2F">
        <w:rPr>
          <w:rFonts w:ascii="Times New Roman" w:eastAsia="Times New Roman" w:hAnsi="Times New Roman" w:cs="Times New Roman"/>
          <w:sz w:val="24"/>
          <w:szCs w:val="24"/>
          <w:lang w:eastAsia="bg-BG"/>
        </w:rPr>
        <w:t>competence-based</w:t>
      </w:r>
      <w:proofErr w:type="spellEnd"/>
      <w:r w:rsidRPr="00C50E2F">
        <w:rPr>
          <w:rFonts w:ascii="Times New Roman" w:eastAsia="Times New Roman" w:hAnsi="Times New Roman" w:cs="Times New Roman"/>
          <w:sz w:val="24"/>
          <w:szCs w:val="24"/>
          <w:lang w:eastAsia="bg-BG"/>
        </w:rPr>
        <w:t xml:space="preserve"> </w:t>
      </w:r>
      <w:proofErr w:type="spellStart"/>
      <w:r w:rsidRPr="00C50E2F">
        <w:rPr>
          <w:rFonts w:ascii="Times New Roman" w:eastAsia="Times New Roman" w:hAnsi="Times New Roman" w:cs="Times New Roman"/>
          <w:sz w:val="24"/>
          <w:szCs w:val="24"/>
          <w:lang w:eastAsia="bg-BG"/>
        </w:rPr>
        <w:t>approach</w:t>
      </w:r>
      <w:proofErr w:type="spellEnd"/>
    </w:p>
    <w:p w:rsidR="008C7CEA" w:rsidRPr="00C50E2F" w:rsidRDefault="008C7CEA" w:rsidP="002F4689">
      <w:pPr>
        <w:spacing w:before="100" w:beforeAutospacing="1" w:after="100" w:afterAutospacing="1" w:line="240" w:lineRule="auto"/>
        <w:ind w:firstLine="709"/>
        <w:rPr>
          <w:rFonts w:ascii="Times New Roman" w:eastAsia="Calibri" w:hAnsi="Times New Roman" w:cs="Times New Roman"/>
          <w:b/>
          <w:caps/>
          <w:sz w:val="28"/>
          <w:szCs w:val="28"/>
        </w:rPr>
      </w:pPr>
    </w:p>
    <w:p w:rsidR="00C97D0B" w:rsidRPr="00C50E2F" w:rsidRDefault="00C97D0B" w:rsidP="002F4689">
      <w:pPr>
        <w:spacing w:before="100" w:beforeAutospacing="1" w:after="100" w:afterAutospacing="1" w:line="240" w:lineRule="auto"/>
        <w:ind w:firstLine="709"/>
        <w:rPr>
          <w:rFonts w:ascii="Times New Roman" w:eastAsia="Times New Roman" w:hAnsi="Times New Roman" w:cs="Times New Roman"/>
          <w:b/>
          <w:caps/>
          <w:sz w:val="24"/>
          <w:szCs w:val="24"/>
          <w:lang w:eastAsia="bg-BG"/>
        </w:rPr>
      </w:pPr>
      <w:r w:rsidRPr="00C50E2F">
        <w:rPr>
          <w:rFonts w:ascii="Times New Roman" w:eastAsia="Calibri" w:hAnsi="Times New Roman" w:cs="Times New Roman"/>
          <w:b/>
          <w:caps/>
          <w:sz w:val="28"/>
          <w:szCs w:val="28"/>
        </w:rPr>
        <w:t>Въведение</w:t>
      </w:r>
    </w:p>
    <w:p w:rsidR="00C97D0B" w:rsidRPr="00C50E2F" w:rsidRDefault="00C97D0B" w:rsidP="00C97D0B">
      <w:pPr>
        <w:spacing w:after="0" w:line="240" w:lineRule="auto"/>
        <w:ind w:firstLine="709"/>
        <w:jc w:val="both"/>
        <w:rPr>
          <w:rFonts w:ascii="Times New Roman" w:eastAsia="Times New Roman" w:hAnsi="Times New Roman" w:cs="Times New Roman"/>
          <w:sz w:val="28"/>
          <w:szCs w:val="28"/>
          <w:lang w:eastAsia="bg-BG"/>
        </w:rPr>
      </w:pPr>
      <w:r w:rsidRPr="00C50E2F">
        <w:rPr>
          <w:rFonts w:ascii="Times New Roman" w:eastAsia="Times New Roman" w:hAnsi="Times New Roman" w:cs="Times New Roman"/>
          <w:sz w:val="28"/>
          <w:szCs w:val="28"/>
          <w:lang w:eastAsia="bg-BG"/>
        </w:rPr>
        <w:t xml:space="preserve">Отличителната черта на една успешна образователна система </w:t>
      </w:r>
      <w:r w:rsidR="008C7CEA" w:rsidRPr="00C50E2F">
        <w:rPr>
          <w:rFonts w:ascii="Times New Roman" w:eastAsia="Times New Roman" w:hAnsi="Times New Roman" w:cs="Times New Roman"/>
          <w:sz w:val="28"/>
          <w:szCs w:val="28"/>
          <w:lang w:eastAsia="bg-BG"/>
        </w:rPr>
        <w:t>е</w:t>
      </w:r>
      <w:r w:rsidRPr="00C50E2F">
        <w:rPr>
          <w:rFonts w:ascii="Times New Roman" w:eastAsia="Times New Roman" w:hAnsi="Times New Roman" w:cs="Times New Roman"/>
          <w:sz w:val="28"/>
          <w:szCs w:val="28"/>
          <w:lang w:eastAsia="bg-BG"/>
        </w:rPr>
        <w:t xml:space="preserve"> способността ѝ да отговаря на нуждите на своето време, като прилага подходящи </w:t>
      </w:r>
      <w:r w:rsidR="00FD05E1" w:rsidRPr="00C50E2F">
        <w:rPr>
          <w:rFonts w:ascii="Times New Roman" w:eastAsia="Times New Roman" w:hAnsi="Times New Roman" w:cs="Times New Roman"/>
          <w:sz w:val="28"/>
          <w:szCs w:val="28"/>
          <w:lang w:eastAsia="bg-BG"/>
        </w:rPr>
        <w:t xml:space="preserve">принципи и </w:t>
      </w:r>
      <w:r w:rsidRPr="00C50E2F">
        <w:rPr>
          <w:rFonts w:ascii="Times New Roman" w:eastAsia="Times New Roman" w:hAnsi="Times New Roman" w:cs="Times New Roman"/>
          <w:sz w:val="28"/>
          <w:szCs w:val="28"/>
          <w:lang w:eastAsia="bg-BG"/>
        </w:rPr>
        <w:t xml:space="preserve">методи в дидактическата практика, </w:t>
      </w:r>
      <w:r w:rsidR="00FD05E1" w:rsidRPr="00C50E2F">
        <w:rPr>
          <w:rFonts w:ascii="Times New Roman" w:eastAsia="Times New Roman" w:hAnsi="Times New Roman" w:cs="Times New Roman"/>
          <w:sz w:val="28"/>
          <w:szCs w:val="28"/>
          <w:lang w:eastAsia="bg-BG"/>
        </w:rPr>
        <w:t>чиито характеристики са съобразени с</w:t>
      </w:r>
      <w:r w:rsidRPr="00C50E2F">
        <w:rPr>
          <w:rFonts w:ascii="Times New Roman" w:eastAsia="Times New Roman" w:hAnsi="Times New Roman" w:cs="Times New Roman"/>
          <w:sz w:val="28"/>
          <w:szCs w:val="28"/>
          <w:lang w:eastAsia="bg-BG"/>
        </w:rPr>
        <w:t xml:space="preserve"> всички най-нови научни постижения. </w:t>
      </w:r>
    </w:p>
    <w:p w:rsidR="00C97D0B" w:rsidRPr="00C50E2F" w:rsidRDefault="00C97D0B" w:rsidP="00C97D0B">
      <w:pPr>
        <w:spacing w:after="0" w:line="240" w:lineRule="auto"/>
        <w:ind w:firstLine="709"/>
        <w:jc w:val="both"/>
        <w:rPr>
          <w:rFonts w:ascii="Times New Roman" w:eastAsia="Times New Roman" w:hAnsi="Times New Roman" w:cs="Times New Roman"/>
          <w:sz w:val="28"/>
          <w:szCs w:val="28"/>
          <w:lang w:eastAsia="bg-BG"/>
        </w:rPr>
      </w:pPr>
      <w:r w:rsidRPr="00C50E2F">
        <w:rPr>
          <w:rFonts w:ascii="Times New Roman" w:eastAsia="Times New Roman" w:hAnsi="Times New Roman" w:cs="Times New Roman"/>
          <w:sz w:val="28"/>
          <w:szCs w:val="28"/>
          <w:lang w:eastAsia="bg-BG"/>
        </w:rPr>
        <w:lastRenderedPageBreak/>
        <w:t xml:space="preserve">През последните години дискусията относно възможностите за интегриране на иновативни методи в предучилищното образование придобива все по-голямо значение. Същевременно новите познания в областите на </w:t>
      </w:r>
      <w:proofErr w:type="spellStart"/>
      <w:r w:rsidRPr="00C50E2F">
        <w:rPr>
          <w:rFonts w:ascii="Times New Roman" w:eastAsia="Times New Roman" w:hAnsi="Times New Roman" w:cs="Times New Roman"/>
          <w:sz w:val="28"/>
          <w:szCs w:val="28"/>
          <w:lang w:eastAsia="bg-BG"/>
        </w:rPr>
        <w:t>невробиологията</w:t>
      </w:r>
      <w:proofErr w:type="spellEnd"/>
      <w:r w:rsidRPr="00C50E2F">
        <w:rPr>
          <w:rFonts w:ascii="Times New Roman" w:eastAsia="Times New Roman" w:hAnsi="Times New Roman" w:cs="Times New Roman"/>
          <w:sz w:val="28"/>
          <w:szCs w:val="28"/>
          <w:lang w:eastAsia="bg-BG"/>
        </w:rPr>
        <w:t xml:space="preserve">, изследванията на мозъка и когнитивната психология допринасят за разширяването на дидактичните концепции и стратегии. Изграждането на съвременна образователна система е безспорно един от най-важните проблеми на всяка държава. </w:t>
      </w:r>
      <w:r w:rsidR="008C7CEA" w:rsidRPr="00C50E2F">
        <w:rPr>
          <w:rFonts w:ascii="Times New Roman" w:eastAsia="Times New Roman" w:hAnsi="Times New Roman" w:cs="Times New Roman"/>
          <w:sz w:val="28"/>
          <w:szCs w:val="28"/>
          <w:lang w:eastAsia="bg-BG"/>
        </w:rPr>
        <w:t xml:space="preserve">Всъщност </w:t>
      </w:r>
      <w:r w:rsidRPr="00C50E2F">
        <w:rPr>
          <w:rFonts w:ascii="Times New Roman" w:eastAsia="Times New Roman" w:hAnsi="Times New Roman" w:cs="Times New Roman"/>
          <w:sz w:val="28"/>
          <w:szCs w:val="28"/>
          <w:lang w:eastAsia="bg-BG"/>
        </w:rPr>
        <w:t>„</w:t>
      </w:r>
      <w:r w:rsidR="008C7CEA" w:rsidRPr="00C50E2F">
        <w:rPr>
          <w:rStyle w:val="A30"/>
          <w:rFonts w:ascii="Times New Roman" w:hAnsi="Times New Roman" w:cs="Times New Roman"/>
          <w:color w:val="auto"/>
          <w:sz w:val="28"/>
          <w:szCs w:val="28"/>
        </w:rPr>
        <w:t>м</w:t>
      </w:r>
      <w:r w:rsidRPr="00C50E2F">
        <w:rPr>
          <w:rStyle w:val="A30"/>
          <w:rFonts w:ascii="Times New Roman" w:hAnsi="Times New Roman" w:cs="Times New Roman"/>
          <w:color w:val="auto"/>
          <w:sz w:val="28"/>
          <w:szCs w:val="28"/>
        </w:rPr>
        <w:t>одерната визия за висококачествено образование, обучение и учене през целия живот, отразена в стратегически документи на национално, европейско и глобално ниво, пряко корес</w:t>
      </w:r>
      <w:r w:rsidRPr="00C50E2F">
        <w:rPr>
          <w:rStyle w:val="A30"/>
          <w:rFonts w:ascii="Times New Roman" w:hAnsi="Times New Roman" w:cs="Times New Roman"/>
          <w:color w:val="auto"/>
          <w:sz w:val="28"/>
          <w:szCs w:val="28"/>
        </w:rPr>
        <w:softHyphen/>
        <w:t xml:space="preserve">пондира с реализирането на </w:t>
      </w:r>
      <w:proofErr w:type="spellStart"/>
      <w:r w:rsidRPr="00C50E2F">
        <w:rPr>
          <w:rStyle w:val="A30"/>
          <w:rFonts w:ascii="Times New Roman" w:hAnsi="Times New Roman" w:cs="Times New Roman"/>
          <w:color w:val="auto"/>
          <w:sz w:val="28"/>
          <w:szCs w:val="28"/>
        </w:rPr>
        <w:t>компетентностнo</w:t>
      </w:r>
      <w:proofErr w:type="spellEnd"/>
      <w:r w:rsidRPr="00C50E2F">
        <w:rPr>
          <w:rStyle w:val="A30"/>
          <w:rFonts w:ascii="Times New Roman" w:hAnsi="Times New Roman" w:cs="Times New Roman"/>
          <w:color w:val="auto"/>
          <w:sz w:val="28"/>
          <w:szCs w:val="28"/>
        </w:rPr>
        <w:t xml:space="preserve"> ориентираното обучение (КОО) и формирането на ключови компетентности във вид на знания, умения и нагласи за успех през XXI век“</w:t>
      </w:r>
      <w:r w:rsidRPr="00C50E2F">
        <w:rPr>
          <w:rStyle w:val="A30"/>
          <w:rFonts w:ascii="Times New Roman" w:hAnsi="Times New Roman" w:cs="Times New Roman"/>
          <w:color w:val="auto"/>
          <w:sz w:val="28"/>
          <w:szCs w:val="28"/>
          <w:lang w:val="en-US"/>
        </w:rPr>
        <w:t>[1]</w:t>
      </w:r>
      <w:r w:rsidRPr="00C50E2F">
        <w:rPr>
          <w:rStyle w:val="A30"/>
          <w:rFonts w:ascii="Times New Roman" w:hAnsi="Times New Roman" w:cs="Times New Roman"/>
          <w:color w:val="auto"/>
          <w:sz w:val="28"/>
          <w:szCs w:val="28"/>
        </w:rPr>
        <w:t xml:space="preserve">. </w:t>
      </w:r>
    </w:p>
    <w:p w:rsidR="00C97D0B" w:rsidRPr="00C50E2F" w:rsidRDefault="00C97D0B" w:rsidP="00C97D0B">
      <w:pPr>
        <w:spacing w:after="0" w:line="240" w:lineRule="auto"/>
        <w:ind w:firstLine="709"/>
        <w:jc w:val="both"/>
        <w:rPr>
          <w:rFonts w:ascii="Times New Roman" w:eastAsia="Times New Roman" w:hAnsi="Times New Roman" w:cs="Times New Roman"/>
          <w:sz w:val="28"/>
          <w:szCs w:val="28"/>
          <w:lang w:eastAsia="bg-BG"/>
        </w:rPr>
      </w:pPr>
      <w:r w:rsidRPr="00C50E2F">
        <w:rPr>
          <w:rFonts w:ascii="Times New Roman" w:eastAsia="Times New Roman" w:hAnsi="Times New Roman" w:cs="Times New Roman"/>
          <w:sz w:val="28"/>
          <w:szCs w:val="28"/>
          <w:lang w:eastAsia="bg-BG"/>
        </w:rPr>
        <w:t xml:space="preserve">Необходимостта от разработване на цялостен – </w:t>
      </w:r>
      <w:proofErr w:type="spellStart"/>
      <w:r w:rsidRPr="00C50E2F">
        <w:rPr>
          <w:rFonts w:ascii="Times New Roman" w:eastAsia="Times New Roman" w:hAnsi="Times New Roman" w:cs="Times New Roman"/>
          <w:sz w:val="28"/>
          <w:szCs w:val="28"/>
          <w:lang w:eastAsia="bg-BG"/>
        </w:rPr>
        <w:t>холистичен</w:t>
      </w:r>
      <w:proofErr w:type="spellEnd"/>
      <w:r w:rsidRPr="00C50E2F">
        <w:rPr>
          <w:rFonts w:ascii="Times New Roman" w:eastAsia="Times New Roman" w:hAnsi="Times New Roman" w:cs="Times New Roman"/>
          <w:sz w:val="28"/>
          <w:szCs w:val="28"/>
          <w:lang w:eastAsia="bg-BG"/>
        </w:rPr>
        <w:t xml:space="preserve"> модел на педагогическо взаимодействие, налага преосмисляне на образователната рамка и въвеждане на алтернативни методи на преподаване и учене, които да отговарят на специфичните нужди и интереси на децата. Както отбелязва Вичева, „</w:t>
      </w:r>
      <w:proofErr w:type="spellStart"/>
      <w:r w:rsidRPr="00C50E2F">
        <w:rPr>
          <w:rFonts w:ascii="Times New Roman" w:eastAsia="Times New Roman" w:hAnsi="Times New Roman" w:cs="Times New Roman"/>
          <w:sz w:val="28"/>
          <w:szCs w:val="28"/>
          <w:lang w:eastAsia="bg-BG"/>
        </w:rPr>
        <w:t>холистичният</w:t>
      </w:r>
      <w:proofErr w:type="spellEnd"/>
      <w:r w:rsidRPr="00C50E2F">
        <w:rPr>
          <w:rFonts w:ascii="Times New Roman" w:eastAsia="Times New Roman" w:hAnsi="Times New Roman" w:cs="Times New Roman"/>
          <w:sz w:val="28"/>
          <w:szCs w:val="28"/>
          <w:lang w:eastAsia="bg-BG"/>
        </w:rPr>
        <w:t xml:space="preserve"> подход е ориентиран към познавателното развитие, но с фокус върху психо-емоционалната стабилност на децата, която е особено важен фактор в тази възраст“</w:t>
      </w:r>
      <w:r w:rsidRPr="00C50E2F">
        <w:rPr>
          <w:rFonts w:ascii="Times New Roman" w:eastAsia="Times New Roman" w:hAnsi="Times New Roman" w:cs="Times New Roman"/>
          <w:sz w:val="28"/>
          <w:szCs w:val="28"/>
          <w:lang w:val="en-US" w:eastAsia="bg-BG"/>
        </w:rPr>
        <w:t>[2]</w:t>
      </w:r>
      <w:r w:rsidRPr="00C50E2F">
        <w:rPr>
          <w:rFonts w:ascii="Times New Roman" w:eastAsia="Times New Roman" w:hAnsi="Times New Roman" w:cs="Times New Roman"/>
          <w:sz w:val="28"/>
          <w:szCs w:val="28"/>
          <w:lang w:eastAsia="bg-BG"/>
        </w:rPr>
        <w:t xml:space="preserve">.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Процесът на учене в ранна детска и предучилищна възраст се различава от всички следващи периоди от развитието по много по-силните и трайни следи, които оставя в съзнанието, макар и на несъзнателно равнище. Докато възрастните надграждат своите умения на база предходен опит и филтрират само необходимата им информация, децата учат, като възприемат цялото, без да го делят на неговите части.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Както отбелязва М. Стоянова, „разбирането на света в сложните му проявления на детския опит зависи от информираността и усъвършенстването на познанието – вглеждането, възпроизвеждането и апробирането на моделни представи се съпътства от породената позитивна мотивировка към природни обекти, лица, събития, факти“</w:t>
      </w:r>
      <w:r w:rsidRPr="00C50E2F">
        <w:rPr>
          <w:rFonts w:ascii="Times New Roman" w:hAnsi="Times New Roman" w:cs="Times New Roman"/>
          <w:sz w:val="28"/>
          <w:szCs w:val="28"/>
          <w:lang w:val="en-US"/>
        </w:rPr>
        <w:t>[3]</w:t>
      </w:r>
      <w:r w:rsidRPr="00C50E2F">
        <w:rPr>
          <w:rFonts w:ascii="Times New Roman" w:hAnsi="Times New Roman" w:cs="Times New Roman"/>
          <w:sz w:val="28"/>
          <w:szCs w:val="28"/>
        </w:rPr>
        <w:t xml:space="preserve">.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Ранните, предимно сетивни, знания, впечатления и емоционални преживявания са определящи за когнитивното развитие. </w:t>
      </w:r>
      <w:r w:rsidR="00B40047" w:rsidRPr="00C50E2F">
        <w:rPr>
          <w:rFonts w:ascii="Times New Roman" w:hAnsi="Times New Roman" w:cs="Times New Roman"/>
          <w:sz w:val="28"/>
          <w:szCs w:val="28"/>
        </w:rPr>
        <w:t xml:space="preserve">Затова </w:t>
      </w:r>
      <w:r w:rsidRPr="00C50E2F">
        <w:rPr>
          <w:rFonts w:ascii="Times New Roman" w:hAnsi="Times New Roman" w:cs="Times New Roman"/>
          <w:sz w:val="28"/>
          <w:szCs w:val="28"/>
        </w:rPr>
        <w:t>„</w:t>
      </w:r>
      <w:r w:rsidR="00B40047" w:rsidRPr="00C50E2F">
        <w:rPr>
          <w:rFonts w:ascii="Times New Roman" w:hAnsi="Times New Roman" w:cs="Times New Roman"/>
          <w:sz w:val="28"/>
          <w:szCs w:val="28"/>
        </w:rPr>
        <w:t>у</w:t>
      </w:r>
      <w:r w:rsidRPr="00C50E2F">
        <w:rPr>
          <w:rFonts w:ascii="Times New Roman" w:hAnsi="Times New Roman" w:cs="Times New Roman"/>
          <w:sz w:val="28"/>
          <w:szCs w:val="28"/>
        </w:rPr>
        <w:t xml:space="preserve">дачно е те да предлагат на детето опори за упражняване на самостоятелна креативна практика, демонстрирани на примера на </w:t>
      </w:r>
      <w:proofErr w:type="spellStart"/>
      <w:r w:rsidRPr="00C50E2F">
        <w:rPr>
          <w:rFonts w:ascii="Times New Roman" w:hAnsi="Times New Roman" w:cs="Times New Roman"/>
          <w:sz w:val="28"/>
          <w:szCs w:val="28"/>
        </w:rPr>
        <w:t>стимулен</w:t>
      </w:r>
      <w:proofErr w:type="spellEnd"/>
      <w:r w:rsidRPr="00C50E2F">
        <w:rPr>
          <w:rFonts w:ascii="Times New Roman" w:hAnsi="Times New Roman" w:cs="Times New Roman"/>
          <w:sz w:val="28"/>
          <w:szCs w:val="28"/>
        </w:rPr>
        <w:t xml:space="preserve"> комплекс от обучителни игри, който катализира творческите идейни решения и моделира нагласи за иновационна активност“</w:t>
      </w:r>
      <w:r w:rsidRPr="00C50E2F">
        <w:rPr>
          <w:rFonts w:ascii="Times New Roman" w:hAnsi="Times New Roman" w:cs="Times New Roman"/>
          <w:sz w:val="28"/>
          <w:szCs w:val="28"/>
          <w:lang w:val="en-US"/>
        </w:rPr>
        <w:t>[4]</w:t>
      </w:r>
      <w:r w:rsidRPr="00C50E2F">
        <w:rPr>
          <w:rFonts w:ascii="Times New Roman" w:hAnsi="Times New Roman" w:cs="Times New Roman"/>
          <w:sz w:val="28"/>
          <w:szCs w:val="28"/>
        </w:rPr>
        <w:t xml:space="preserve">.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От психологическа, педагогическа, а още повече от биологична гледна точка играта и ученето са неразривно свързани. Децата искат да научат много още от раждането си</w:t>
      </w:r>
      <w:r w:rsidR="008B2DED" w:rsidRPr="00C50E2F">
        <w:rPr>
          <w:rFonts w:ascii="Times New Roman" w:hAnsi="Times New Roman" w:cs="Times New Roman"/>
          <w:sz w:val="28"/>
          <w:szCs w:val="28"/>
        </w:rPr>
        <w:t>.</w:t>
      </w:r>
      <w:r w:rsidRPr="00C50E2F">
        <w:rPr>
          <w:rFonts w:ascii="Times New Roman" w:hAnsi="Times New Roman" w:cs="Times New Roman"/>
          <w:sz w:val="28"/>
          <w:szCs w:val="28"/>
        </w:rPr>
        <w:t xml:space="preserve"> </w:t>
      </w:r>
      <w:r w:rsidR="004A34A6" w:rsidRPr="00C50E2F">
        <w:rPr>
          <w:rFonts w:ascii="Times New Roman" w:hAnsi="Times New Roman" w:cs="Times New Roman"/>
          <w:sz w:val="28"/>
          <w:szCs w:val="28"/>
        </w:rPr>
        <w:t>Л</w:t>
      </w:r>
      <w:r w:rsidRPr="00C50E2F">
        <w:rPr>
          <w:rFonts w:ascii="Times New Roman" w:hAnsi="Times New Roman" w:cs="Times New Roman"/>
          <w:sz w:val="28"/>
          <w:szCs w:val="28"/>
        </w:rPr>
        <w:t xml:space="preserve">юбопитни </w:t>
      </w:r>
      <w:r w:rsidR="004A34A6" w:rsidRPr="00C50E2F">
        <w:rPr>
          <w:rFonts w:ascii="Times New Roman" w:hAnsi="Times New Roman" w:cs="Times New Roman"/>
          <w:sz w:val="28"/>
          <w:szCs w:val="28"/>
        </w:rPr>
        <w:t xml:space="preserve">са </w:t>
      </w:r>
      <w:r w:rsidRPr="00C50E2F">
        <w:rPr>
          <w:rFonts w:ascii="Times New Roman" w:hAnsi="Times New Roman" w:cs="Times New Roman"/>
          <w:sz w:val="28"/>
          <w:szCs w:val="28"/>
        </w:rPr>
        <w:t xml:space="preserve">да вникнат в същността на </w:t>
      </w:r>
      <w:r w:rsidR="008B2DED" w:rsidRPr="00C50E2F">
        <w:rPr>
          <w:rFonts w:ascii="Times New Roman" w:hAnsi="Times New Roman" w:cs="Times New Roman"/>
          <w:sz w:val="28"/>
          <w:szCs w:val="28"/>
        </w:rPr>
        <w:t>заобикалящите ги предмети и обекти и протичащите в непосредствено им обкръжение процеси и явления</w:t>
      </w:r>
      <w:r w:rsidRPr="00C50E2F">
        <w:rPr>
          <w:rFonts w:ascii="Times New Roman" w:hAnsi="Times New Roman" w:cs="Times New Roman"/>
          <w:sz w:val="28"/>
          <w:szCs w:val="28"/>
        </w:rPr>
        <w:t xml:space="preserve">. Богатата на идеи среда, в която има много </w:t>
      </w:r>
      <w:r w:rsidR="00196DAD" w:rsidRPr="00C50E2F">
        <w:rPr>
          <w:rFonts w:ascii="Times New Roman" w:hAnsi="Times New Roman" w:cs="Times New Roman"/>
          <w:sz w:val="28"/>
          <w:szCs w:val="28"/>
        </w:rPr>
        <w:lastRenderedPageBreak/>
        <w:t xml:space="preserve">възможности </w:t>
      </w:r>
      <w:r w:rsidR="008B2DED" w:rsidRPr="00C50E2F">
        <w:rPr>
          <w:rFonts w:ascii="Times New Roman" w:hAnsi="Times New Roman" w:cs="Times New Roman"/>
          <w:sz w:val="28"/>
          <w:szCs w:val="28"/>
        </w:rPr>
        <w:t>за действие</w:t>
      </w:r>
      <w:r w:rsidRPr="00C50E2F">
        <w:rPr>
          <w:rFonts w:ascii="Times New Roman" w:hAnsi="Times New Roman" w:cs="Times New Roman"/>
          <w:sz w:val="28"/>
          <w:szCs w:val="28"/>
        </w:rPr>
        <w:t xml:space="preserve">, изследване и разбиране, им помага да го реализират.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Този отдавна известен, вроден „инстинкт за учене“ на децата вече може да бъде обяснен и от </w:t>
      </w:r>
      <w:proofErr w:type="spellStart"/>
      <w:r w:rsidRPr="00C50E2F">
        <w:rPr>
          <w:rFonts w:ascii="Times New Roman" w:hAnsi="Times New Roman" w:cs="Times New Roman"/>
          <w:sz w:val="28"/>
          <w:szCs w:val="28"/>
        </w:rPr>
        <w:t>невробиологична</w:t>
      </w:r>
      <w:proofErr w:type="spellEnd"/>
      <w:r w:rsidRPr="00C50E2F">
        <w:rPr>
          <w:rFonts w:ascii="Times New Roman" w:hAnsi="Times New Roman" w:cs="Times New Roman"/>
          <w:sz w:val="28"/>
          <w:szCs w:val="28"/>
        </w:rPr>
        <w:t xml:space="preserve"> гледна точка: мозъкът „търси“ стимули, „търси“ разнообразие и се опитва да формулира мисъл и концепции за обяснение. Трябва да се отбележи, че за да се активизират процесите на непреднамерено, естествено и спонтанно учене</w:t>
      </w:r>
      <w:r w:rsidR="00013355" w:rsidRPr="00C50E2F">
        <w:rPr>
          <w:rFonts w:ascii="Times New Roman" w:hAnsi="Times New Roman" w:cs="Times New Roman"/>
          <w:sz w:val="28"/>
          <w:szCs w:val="28"/>
        </w:rPr>
        <w:t>,</w:t>
      </w:r>
      <w:r w:rsidRPr="00C50E2F">
        <w:rPr>
          <w:rFonts w:ascii="Times New Roman" w:hAnsi="Times New Roman" w:cs="Times New Roman"/>
          <w:sz w:val="28"/>
          <w:szCs w:val="28"/>
        </w:rPr>
        <w:t xml:space="preserve"> е необходима индиректна намеса на педагози или родители. Както отбелязва Попова „мотивацията е емоционален компонент, който се поражда при създаването на вълнуващи, близки до детето ситуации“</w:t>
      </w:r>
      <w:r w:rsidRPr="00C50E2F">
        <w:rPr>
          <w:rFonts w:ascii="Times New Roman" w:hAnsi="Times New Roman" w:cs="Times New Roman"/>
          <w:sz w:val="28"/>
          <w:szCs w:val="28"/>
          <w:lang w:val="en-US"/>
        </w:rPr>
        <w:t>[5]</w:t>
      </w:r>
      <w:r w:rsidRPr="00C50E2F">
        <w:rPr>
          <w:rFonts w:ascii="Times New Roman" w:hAnsi="Times New Roman" w:cs="Times New Roman"/>
          <w:sz w:val="28"/>
          <w:szCs w:val="28"/>
        </w:rPr>
        <w:t>.</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Съществена разлика между мозъка на възрастния човек с опит и незрелия, растящ детски мозък е, че познавателните и най-вече емоционалните преживявания оставят много по-трайни следи в детското съзнание, отколкото при възрастния индивид, където по време на ученето настъпват сравнително по-незначителни промени. Във всяка фаза на развитие на мозъка, в </w:t>
      </w:r>
      <w:proofErr w:type="spellStart"/>
      <w:r w:rsidRPr="00C50E2F">
        <w:rPr>
          <w:rFonts w:ascii="Times New Roman" w:hAnsi="Times New Roman" w:cs="Times New Roman"/>
          <w:sz w:val="28"/>
          <w:szCs w:val="28"/>
        </w:rPr>
        <w:t>невробиологично</w:t>
      </w:r>
      <w:proofErr w:type="spellEnd"/>
      <w:r w:rsidRPr="00C50E2F">
        <w:rPr>
          <w:rFonts w:ascii="Times New Roman" w:hAnsi="Times New Roman" w:cs="Times New Roman"/>
          <w:sz w:val="28"/>
          <w:szCs w:val="28"/>
        </w:rPr>
        <w:t xml:space="preserve"> отношение, опитът и процесите на учене „оформят“ </w:t>
      </w:r>
      <w:proofErr w:type="spellStart"/>
      <w:r w:rsidRPr="00C50E2F">
        <w:rPr>
          <w:rFonts w:ascii="Times New Roman" w:hAnsi="Times New Roman" w:cs="Times New Roman"/>
          <w:sz w:val="28"/>
          <w:szCs w:val="28"/>
        </w:rPr>
        <w:t>невронни</w:t>
      </w:r>
      <w:proofErr w:type="spellEnd"/>
      <w:r w:rsidRPr="00C50E2F">
        <w:rPr>
          <w:rFonts w:ascii="Times New Roman" w:hAnsi="Times New Roman" w:cs="Times New Roman"/>
          <w:sz w:val="28"/>
          <w:szCs w:val="28"/>
        </w:rPr>
        <w:t xml:space="preserve"> структури, необходими за всички по-нататъшни процеси на учене до зряла възраст. Ранните сетивни впечатления, преживявания и процеси на учене се използват за оптимизиране на развитието и съзряването на все още незрелите функционални вериги. През тези критични или „чувствителни“ времеви прозорци се създават мисловните стратегии, основи за по-късното учене и за формиране на емоционалния свят на преживяванията, който е неразривно свързан с всеки процес на учене.</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Чувствата, както положителните, така и отрицателните, също са неразривно свързани с ученето, което означава, че социалната и емоционалната среда трябва да бъде приоритетна.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Важна особеност на прозорците на ранното детско развитие е, че те са отворени за ограничен период от време, т.е. не трябва да се оставят да приключат неизползвани, а е необходимо да се използват за усвояване на съответните умения (напр. език, моторика, емпатия…)</w:t>
      </w:r>
      <w:r w:rsidR="00013355" w:rsidRPr="00C50E2F">
        <w:rPr>
          <w:rFonts w:ascii="Times New Roman" w:hAnsi="Times New Roman" w:cs="Times New Roman"/>
          <w:sz w:val="28"/>
          <w:szCs w:val="28"/>
        </w:rPr>
        <w:t xml:space="preserve"> </w:t>
      </w:r>
      <w:r w:rsidRPr="00C50E2F">
        <w:rPr>
          <w:rFonts w:ascii="Times New Roman" w:hAnsi="Times New Roman" w:cs="Times New Roman"/>
          <w:sz w:val="28"/>
          <w:szCs w:val="28"/>
          <w:lang w:val="en-US"/>
        </w:rPr>
        <w:t>[6]</w:t>
      </w:r>
      <w:r w:rsidRPr="00C50E2F">
        <w:rPr>
          <w:rFonts w:ascii="Times New Roman" w:hAnsi="Times New Roman" w:cs="Times New Roman"/>
          <w:sz w:val="28"/>
          <w:szCs w:val="28"/>
        </w:rPr>
        <w:t xml:space="preserve">. Критичните моменти в развитието на детето се проявяват много преди началото на училищното образование, те са най-интензивни през първите три до пет години от живота. Това означава, че процесът на учене трябва да започне от самото раждане, за да остави трайна следа, която да може да се използва в по-късен етап от живота.  </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Качеството на образованието в ранна детска и предучилищна възраст се определя и измерва предимно чрез следните взаимосвързани типа фактори:</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t>държавни политики за ранно детско  развитие;</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lastRenderedPageBreak/>
        <w:t>програмни системи, съобразени с Държавните образователни стандарти за всяка възрастова група.</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t>квалификация на педагогическия и непедагогическия персонал;</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t>структурни фактори – брой деца в групите, съотношение деца-учители, деца-помощник-възпитатели и др.</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t>физическа среда – пространства за игра, отдих и зони за индивидуално и групово развитие;</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t>взаимодействие със семействата и общността;</w:t>
      </w:r>
    </w:p>
    <w:p w:rsidR="00C97D0B" w:rsidRPr="00C50E2F" w:rsidRDefault="00C97D0B" w:rsidP="00C97D0B">
      <w:pPr>
        <w:pStyle w:val="a3"/>
        <w:numPr>
          <w:ilvl w:val="0"/>
          <w:numId w:val="1"/>
        </w:numPr>
        <w:shd w:val="clear" w:color="auto" w:fill="FFFFFF"/>
        <w:spacing w:before="0" w:beforeAutospacing="0" w:after="0" w:afterAutospacing="0"/>
        <w:ind w:left="0" w:firstLine="709"/>
        <w:jc w:val="both"/>
        <w:rPr>
          <w:sz w:val="28"/>
          <w:szCs w:val="28"/>
        </w:rPr>
      </w:pPr>
      <w:r w:rsidRPr="00C50E2F">
        <w:rPr>
          <w:sz w:val="28"/>
          <w:szCs w:val="28"/>
        </w:rPr>
        <w:t>материално и финансово обезпечаване на институциите.</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Една от проблемните зони в българското предучилищно образование е липсата на изисквания и регулация от държавата на допълнителната квалификация на помощник-възпитателите в детските градини и детегледачите в детските ясли.</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Като преки и активни участници във възпитателно-образователния процес в детската градина и ясла, възпитателите се нуждаят от допълващи обучения в областта на детското развитие, възпитанието и социализацията.</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 xml:space="preserve">Активната им роля за </w:t>
      </w:r>
      <w:proofErr w:type="spellStart"/>
      <w:r w:rsidRPr="00C50E2F">
        <w:rPr>
          <w:sz w:val="28"/>
          <w:szCs w:val="28"/>
        </w:rPr>
        <w:t>холистичното</w:t>
      </w:r>
      <w:proofErr w:type="spellEnd"/>
      <w:r w:rsidRPr="00C50E2F">
        <w:rPr>
          <w:sz w:val="28"/>
          <w:szCs w:val="28"/>
        </w:rPr>
        <w:t xml:space="preserve"> развитие на децата е неоспорим факт и от тук произтича необходимостта от „целенасочено насърчаване на интереса към творческа дейност, чрез подкрепа на критичността към педагогическата рутинност, на амбицията за преодоляване на педагогическите стереотипи, на рефлексивността, на професионалната компетентност и отговорност….“</w:t>
      </w:r>
      <w:r w:rsidRPr="00C50E2F">
        <w:rPr>
          <w:sz w:val="28"/>
          <w:szCs w:val="28"/>
          <w:lang w:val="en-US"/>
        </w:rPr>
        <w:t>[7]</w:t>
      </w:r>
      <w:r w:rsidRPr="00C50E2F">
        <w:rPr>
          <w:sz w:val="28"/>
          <w:szCs w:val="28"/>
        </w:rPr>
        <w:t xml:space="preserve">. </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В рамките на Национална научна програма „Развитие на научните изследвания и иновациите в областта на българското предучилищно и училищно образование“, беше създаден и приложен инструментариум за проучвани на мнението на помощник-възпитатели в детските градини и детегледачи в детските ясли, относно установяване на техните компетентности за общуване и взаимодействие с децата.</w:t>
      </w:r>
    </w:p>
    <w:p w:rsidR="00C97D0B" w:rsidRPr="00C50E2F" w:rsidRDefault="00C97D0B" w:rsidP="00C97D0B">
      <w:pPr>
        <w:pStyle w:val="a3"/>
        <w:shd w:val="clear" w:color="auto" w:fill="FFFFFF"/>
        <w:spacing w:before="0" w:beforeAutospacing="0" w:after="0" w:afterAutospacing="0"/>
        <w:ind w:firstLine="709"/>
        <w:jc w:val="both"/>
        <w:rPr>
          <w:sz w:val="28"/>
          <w:szCs w:val="28"/>
        </w:rPr>
      </w:pPr>
    </w:p>
    <w:p w:rsidR="00C97D0B" w:rsidRPr="00C50E2F" w:rsidRDefault="00C97D0B" w:rsidP="00C97D0B">
      <w:pPr>
        <w:pStyle w:val="a3"/>
        <w:shd w:val="clear" w:color="auto" w:fill="FFFFFF"/>
        <w:spacing w:before="0" w:beforeAutospacing="0" w:after="0" w:afterAutospacing="0"/>
        <w:ind w:firstLine="709"/>
        <w:jc w:val="both"/>
        <w:rPr>
          <w:b/>
          <w:caps/>
          <w:sz w:val="28"/>
          <w:szCs w:val="28"/>
        </w:rPr>
      </w:pPr>
      <w:r w:rsidRPr="00C50E2F">
        <w:rPr>
          <w:b/>
          <w:caps/>
          <w:sz w:val="28"/>
          <w:szCs w:val="28"/>
        </w:rPr>
        <w:t>Резултати от изследването</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В изследването са обработени отговорите на 1021 помощник-възпитатели от системата на предучилищното образование в България, като са обхванати всички географски области. Образованието на преобладаващите респонденти – 77% е средно, 17% висше, 1 % основно и 2% са посочили друго.</w:t>
      </w:r>
    </w:p>
    <w:p w:rsidR="00C97D0B" w:rsidRPr="00C50E2F" w:rsidRDefault="00C97D0B" w:rsidP="00C97D0B">
      <w:pPr>
        <w:pStyle w:val="a3"/>
        <w:shd w:val="clear" w:color="auto" w:fill="FFFFFF"/>
        <w:spacing w:before="0" w:beforeAutospacing="0" w:after="0" w:afterAutospacing="0"/>
        <w:ind w:firstLine="709"/>
        <w:jc w:val="both"/>
        <w:rPr>
          <w:sz w:val="28"/>
          <w:szCs w:val="28"/>
        </w:rPr>
      </w:pPr>
      <w:r w:rsidRPr="00C50E2F">
        <w:rPr>
          <w:sz w:val="28"/>
          <w:szCs w:val="28"/>
        </w:rPr>
        <w:t>36% от изследваните лица са с до 5 години трудов стаж по специалността, като представляват най-голяма част от извадката.</w:t>
      </w:r>
    </w:p>
    <w:p w:rsidR="00C97D0B" w:rsidRPr="00C50E2F" w:rsidRDefault="00C97D0B" w:rsidP="00C97D0B">
      <w:pPr>
        <w:jc w:val="both"/>
        <w:rPr>
          <w:rFonts w:ascii="Times New Roman" w:hAnsi="Times New Roman" w:cs="Times New Roman"/>
          <w:b/>
          <w:sz w:val="28"/>
          <w:szCs w:val="28"/>
        </w:rPr>
      </w:pPr>
    </w:p>
    <w:p w:rsidR="00C97D0B" w:rsidRPr="00C50E2F" w:rsidRDefault="00C97D0B" w:rsidP="00C97D0B">
      <w:pPr>
        <w:jc w:val="both"/>
        <w:rPr>
          <w:rFonts w:ascii="Times New Roman" w:hAnsi="Times New Roman" w:cs="Times New Roman"/>
          <w:b/>
          <w:sz w:val="28"/>
          <w:szCs w:val="28"/>
        </w:rPr>
      </w:pPr>
      <w:r w:rsidRPr="00C50E2F">
        <w:rPr>
          <w:rFonts w:ascii="Times New Roman" w:hAnsi="Times New Roman" w:cs="Times New Roman"/>
          <w:b/>
          <w:noProof/>
          <w:sz w:val="28"/>
          <w:szCs w:val="28"/>
          <w:lang w:eastAsia="bg-BG"/>
        </w:rPr>
        <w:lastRenderedPageBreak/>
        <w:drawing>
          <wp:inline distT="0" distB="0" distL="0" distR="0" wp14:anchorId="3ACB9872" wp14:editId="2FA42588">
            <wp:extent cx="5760720" cy="263652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2636520"/>
                    </a:xfrm>
                    <a:prstGeom prst="rect">
                      <a:avLst/>
                    </a:prstGeom>
                  </pic:spPr>
                </pic:pic>
              </a:graphicData>
            </a:graphic>
          </wp:inline>
        </w:drawing>
      </w:r>
    </w:p>
    <w:p w:rsidR="00C97D0B" w:rsidRPr="00C50E2F" w:rsidRDefault="00C97D0B" w:rsidP="00C97D0B">
      <w:pPr>
        <w:spacing w:after="0" w:line="240" w:lineRule="auto"/>
        <w:jc w:val="right"/>
        <w:rPr>
          <w:rFonts w:ascii="Times New Roman" w:eastAsia="Calibri" w:hAnsi="Times New Roman" w:cs="Times New Roman"/>
          <w:i/>
          <w:sz w:val="28"/>
          <w:szCs w:val="28"/>
        </w:rPr>
      </w:pPr>
      <w:r w:rsidRPr="00C50E2F">
        <w:rPr>
          <w:rFonts w:ascii="Times New Roman" w:eastAsia="Calibri" w:hAnsi="Times New Roman" w:cs="Times New Roman"/>
          <w:i/>
          <w:sz w:val="28"/>
          <w:szCs w:val="28"/>
        </w:rPr>
        <w:t>Фиг. 1. 1.</w:t>
      </w:r>
    </w:p>
    <w:p w:rsidR="00C97D0B" w:rsidRPr="00C50E2F" w:rsidRDefault="00C97D0B" w:rsidP="00C97D0B">
      <w:pPr>
        <w:jc w:val="both"/>
        <w:rPr>
          <w:rFonts w:ascii="Times New Roman" w:hAnsi="Times New Roman" w:cs="Times New Roman"/>
          <w:b/>
          <w:sz w:val="28"/>
          <w:szCs w:val="28"/>
        </w:rPr>
      </w:pPr>
    </w:p>
    <w:p w:rsidR="00C97D0B" w:rsidRPr="00C50E2F" w:rsidRDefault="00C97D0B" w:rsidP="00C97D0B">
      <w:pPr>
        <w:jc w:val="both"/>
        <w:rPr>
          <w:rFonts w:ascii="Times New Roman" w:hAnsi="Times New Roman" w:cs="Times New Roman"/>
          <w:b/>
          <w:sz w:val="28"/>
          <w:szCs w:val="28"/>
          <w:lang w:val="en-US"/>
        </w:rPr>
      </w:pPr>
      <w:r w:rsidRPr="00C50E2F">
        <w:rPr>
          <w:rFonts w:ascii="Times New Roman" w:hAnsi="Times New Roman" w:cs="Times New Roman"/>
          <w:b/>
          <w:noProof/>
          <w:sz w:val="28"/>
          <w:szCs w:val="28"/>
          <w:lang w:eastAsia="bg-BG"/>
        </w:rPr>
        <w:drawing>
          <wp:inline distT="0" distB="0" distL="0" distR="0" wp14:anchorId="47409D42" wp14:editId="14DDD86D">
            <wp:extent cx="5760720" cy="2454910"/>
            <wp:effectExtent l="0" t="0" r="0" b="254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454910"/>
                    </a:xfrm>
                    <a:prstGeom prst="rect">
                      <a:avLst/>
                    </a:prstGeom>
                  </pic:spPr>
                </pic:pic>
              </a:graphicData>
            </a:graphic>
          </wp:inline>
        </w:drawing>
      </w:r>
    </w:p>
    <w:p w:rsidR="00C97D0B" w:rsidRPr="00C50E2F" w:rsidRDefault="00C97D0B" w:rsidP="00C97D0B">
      <w:pPr>
        <w:spacing w:after="0" w:line="240" w:lineRule="auto"/>
        <w:jc w:val="right"/>
        <w:rPr>
          <w:rFonts w:ascii="Times New Roman" w:eastAsia="Calibri" w:hAnsi="Times New Roman" w:cs="Times New Roman"/>
          <w:i/>
          <w:sz w:val="28"/>
          <w:szCs w:val="28"/>
        </w:rPr>
      </w:pPr>
      <w:r w:rsidRPr="00C50E2F">
        <w:rPr>
          <w:rFonts w:ascii="Times New Roman" w:eastAsia="Calibri" w:hAnsi="Times New Roman" w:cs="Times New Roman"/>
          <w:i/>
          <w:sz w:val="28"/>
          <w:szCs w:val="28"/>
        </w:rPr>
        <w:t>Фиг. 1. 2.</w:t>
      </w:r>
    </w:p>
    <w:p w:rsidR="00C97D0B" w:rsidRPr="00C50E2F" w:rsidRDefault="00C97D0B" w:rsidP="00C97D0B">
      <w:pPr>
        <w:jc w:val="both"/>
        <w:rPr>
          <w:rFonts w:ascii="Times New Roman" w:hAnsi="Times New Roman" w:cs="Times New Roman"/>
          <w:b/>
          <w:sz w:val="28"/>
          <w:szCs w:val="28"/>
        </w:rPr>
      </w:pP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По отношение на определяне на приоритетите във взаимодействието с колеги, педагогически и медицински специалисти, 27% от респондентите посочват съдействие при организацията на храненето, хигиената, съня, игрите и заниманията на децата. Безспорно всички тези дейности са свързани пряко със служебните ангажименти на помощник-възпитателя в детската градина и детегледача в детската ясла.</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Като втори по значимост приоритет с 22% относителен дял се посочва прилагането на модели за успешна адаптация на децата. В най-висока степен той се съотнася към служебните ангажименти с деца на 2</w:t>
      </w:r>
      <w:r w:rsidR="00ED2DB7" w:rsidRPr="00C50E2F">
        <w:rPr>
          <w:rFonts w:ascii="Times New Roman" w:hAnsi="Times New Roman" w:cs="Times New Roman"/>
          <w:sz w:val="28"/>
          <w:szCs w:val="28"/>
        </w:rPr>
        <w:t xml:space="preserve"> – </w:t>
      </w:r>
      <w:r w:rsidRPr="00C50E2F">
        <w:rPr>
          <w:rFonts w:ascii="Times New Roman" w:hAnsi="Times New Roman" w:cs="Times New Roman"/>
          <w:sz w:val="28"/>
          <w:szCs w:val="28"/>
        </w:rPr>
        <w:t>3</w:t>
      </w:r>
      <w:r w:rsidR="00ED2DB7" w:rsidRPr="00C50E2F">
        <w:rPr>
          <w:rFonts w:ascii="Times New Roman" w:hAnsi="Times New Roman" w:cs="Times New Roman"/>
          <w:sz w:val="28"/>
          <w:szCs w:val="28"/>
        </w:rPr>
        <w:t>-</w:t>
      </w:r>
      <w:r w:rsidRPr="00C50E2F">
        <w:rPr>
          <w:rFonts w:ascii="Times New Roman" w:hAnsi="Times New Roman" w:cs="Times New Roman"/>
          <w:sz w:val="28"/>
          <w:szCs w:val="28"/>
        </w:rPr>
        <w:t>годишна възраст.</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lastRenderedPageBreak/>
        <w:t xml:space="preserve">Тези два показателя са водещи при организиране на педагогическото взаимодействие и представляват 49% от приоритетите на изследваните лица. Те доказват категорична ориентация към грижата за здравето и благополучието на детето.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Резултатите от анкетата показват по-ниски стойности при съвместни дейности</w:t>
      </w:r>
      <w:r w:rsidR="004425C3" w:rsidRPr="00C50E2F">
        <w:rPr>
          <w:rFonts w:ascii="Times New Roman" w:hAnsi="Times New Roman" w:cs="Times New Roman"/>
          <w:sz w:val="28"/>
          <w:szCs w:val="28"/>
        </w:rPr>
        <w:t>,</w:t>
      </w:r>
      <w:r w:rsidRPr="00C50E2F">
        <w:rPr>
          <w:rFonts w:ascii="Times New Roman" w:hAnsi="Times New Roman" w:cs="Times New Roman"/>
          <w:sz w:val="28"/>
          <w:szCs w:val="28"/>
        </w:rPr>
        <w:t xml:space="preserve"> свързани с професионалното развитие, качеството на процес</w:t>
      </w:r>
      <w:r w:rsidR="004425C3" w:rsidRPr="00C50E2F">
        <w:rPr>
          <w:rFonts w:ascii="Times New Roman" w:hAnsi="Times New Roman" w:cs="Times New Roman"/>
          <w:sz w:val="28"/>
          <w:szCs w:val="28"/>
        </w:rPr>
        <w:t>а</w:t>
      </w:r>
      <w:r w:rsidRPr="00C50E2F">
        <w:rPr>
          <w:rFonts w:ascii="Times New Roman" w:hAnsi="Times New Roman" w:cs="Times New Roman"/>
          <w:sz w:val="28"/>
          <w:szCs w:val="28"/>
        </w:rPr>
        <w:t xml:space="preserve"> на образование и активното участие при планиране на съвместни инициативи.</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Особено внимание заслужава резултатът от 3% за участие във вътрешно квалификационни форми за обмяна на опит. В тази връзка ниският относителен дял може да бъде основателно интерпретиран като индикация за необходимост от интегриране на непедагогическия персонал във вътрешни и външни квалификационни форми с цел повишаване на ефективността на работата в организацията на всички равнища.</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В контекста на общите резултатите категорично </w:t>
      </w:r>
      <w:r w:rsidR="00545F2E" w:rsidRPr="00C50E2F">
        <w:rPr>
          <w:rFonts w:ascii="Times New Roman" w:hAnsi="Times New Roman" w:cs="Times New Roman"/>
          <w:sz w:val="28"/>
          <w:szCs w:val="28"/>
        </w:rPr>
        <w:t xml:space="preserve">се </w:t>
      </w:r>
      <w:r w:rsidRPr="00C50E2F">
        <w:rPr>
          <w:rFonts w:ascii="Times New Roman" w:hAnsi="Times New Roman" w:cs="Times New Roman"/>
          <w:sz w:val="28"/>
          <w:szCs w:val="28"/>
        </w:rPr>
        <w:t>доказва наличие на практико-приложен модел на взаимодействие с фокус върху ежедневните грижи за благосъстоянието на децата. Същевременно устойчивото партньорство между всички специалисти изисква внедряване на допълнителни механизми като системно споделяне на професионален опит, супервизия, решаване на казуси, участие при планиране на педагогически инициативи.</w:t>
      </w:r>
    </w:p>
    <w:p w:rsidR="00C97D0B" w:rsidRPr="00C50E2F" w:rsidRDefault="00C97D0B" w:rsidP="00C97D0B">
      <w:pPr>
        <w:spacing w:after="0"/>
        <w:ind w:firstLine="709"/>
        <w:jc w:val="both"/>
        <w:rPr>
          <w:rFonts w:ascii="Times New Roman" w:hAnsi="Times New Roman" w:cs="Times New Roman"/>
          <w:sz w:val="28"/>
          <w:szCs w:val="28"/>
          <w:lang w:val="en-US"/>
        </w:rPr>
      </w:pPr>
    </w:p>
    <w:p w:rsidR="00C97D0B" w:rsidRPr="00C50E2F" w:rsidRDefault="00C97D0B" w:rsidP="00C97D0B">
      <w:pPr>
        <w:jc w:val="both"/>
        <w:rPr>
          <w:rFonts w:ascii="Times New Roman" w:hAnsi="Times New Roman" w:cs="Times New Roman"/>
          <w:b/>
          <w:sz w:val="28"/>
          <w:szCs w:val="28"/>
          <w:lang w:val="en-US"/>
        </w:rPr>
      </w:pPr>
      <w:r w:rsidRPr="00C50E2F">
        <w:rPr>
          <w:rFonts w:ascii="Times New Roman" w:hAnsi="Times New Roman" w:cs="Times New Roman"/>
          <w:b/>
          <w:noProof/>
          <w:sz w:val="28"/>
          <w:szCs w:val="28"/>
          <w:lang w:eastAsia="bg-BG"/>
        </w:rPr>
        <w:drawing>
          <wp:inline distT="0" distB="0" distL="0" distR="0" wp14:anchorId="1DC49335" wp14:editId="19502848">
            <wp:extent cx="5760720" cy="261175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611755"/>
                    </a:xfrm>
                    <a:prstGeom prst="rect">
                      <a:avLst/>
                    </a:prstGeom>
                  </pic:spPr>
                </pic:pic>
              </a:graphicData>
            </a:graphic>
          </wp:inline>
        </w:drawing>
      </w:r>
    </w:p>
    <w:p w:rsidR="00C97D0B" w:rsidRPr="00C50E2F" w:rsidRDefault="00C97D0B" w:rsidP="00C97D0B">
      <w:pPr>
        <w:spacing w:after="0" w:line="240" w:lineRule="auto"/>
        <w:jc w:val="right"/>
        <w:rPr>
          <w:rFonts w:ascii="Times New Roman" w:eastAsia="Calibri" w:hAnsi="Times New Roman" w:cs="Times New Roman"/>
          <w:i/>
          <w:sz w:val="28"/>
          <w:szCs w:val="28"/>
        </w:rPr>
      </w:pPr>
      <w:r w:rsidRPr="00C50E2F">
        <w:rPr>
          <w:rFonts w:ascii="Times New Roman" w:eastAsia="Calibri" w:hAnsi="Times New Roman" w:cs="Times New Roman"/>
          <w:i/>
          <w:sz w:val="28"/>
          <w:szCs w:val="28"/>
        </w:rPr>
        <w:t>Фиг. 2. 1.</w:t>
      </w:r>
    </w:p>
    <w:p w:rsidR="00C97D0B" w:rsidRPr="00C50E2F" w:rsidRDefault="00C97D0B" w:rsidP="00C97D0B">
      <w:pPr>
        <w:jc w:val="both"/>
        <w:rPr>
          <w:rFonts w:ascii="Times New Roman" w:hAnsi="Times New Roman" w:cs="Times New Roman"/>
          <w:b/>
          <w:sz w:val="28"/>
          <w:szCs w:val="28"/>
          <w:lang w:val="en-US"/>
        </w:rPr>
      </w:pPr>
    </w:p>
    <w:p w:rsidR="00C97D0B" w:rsidRPr="00C50E2F" w:rsidRDefault="00C97D0B" w:rsidP="00C97D0B">
      <w:pPr>
        <w:jc w:val="both"/>
        <w:rPr>
          <w:rFonts w:ascii="Times New Roman" w:hAnsi="Times New Roman" w:cs="Times New Roman"/>
          <w:b/>
          <w:sz w:val="28"/>
          <w:szCs w:val="28"/>
          <w:lang w:val="en-US"/>
        </w:rPr>
      </w:pPr>
      <w:r w:rsidRPr="00C50E2F">
        <w:rPr>
          <w:rFonts w:ascii="Times New Roman" w:hAnsi="Times New Roman" w:cs="Times New Roman"/>
          <w:b/>
          <w:noProof/>
          <w:sz w:val="28"/>
          <w:szCs w:val="28"/>
          <w:lang w:eastAsia="bg-BG"/>
        </w:rPr>
        <w:lastRenderedPageBreak/>
        <w:drawing>
          <wp:inline distT="0" distB="0" distL="0" distR="0" wp14:anchorId="33260555" wp14:editId="54A76A0A">
            <wp:extent cx="5760720" cy="2371725"/>
            <wp:effectExtent l="0" t="0" r="0" b="9525"/>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371725"/>
                    </a:xfrm>
                    <a:prstGeom prst="rect">
                      <a:avLst/>
                    </a:prstGeom>
                  </pic:spPr>
                </pic:pic>
              </a:graphicData>
            </a:graphic>
          </wp:inline>
        </w:drawing>
      </w:r>
    </w:p>
    <w:p w:rsidR="00C97D0B" w:rsidRPr="00C50E2F" w:rsidRDefault="00C97D0B" w:rsidP="00C97D0B">
      <w:pPr>
        <w:spacing w:after="0" w:line="240" w:lineRule="auto"/>
        <w:jc w:val="right"/>
        <w:rPr>
          <w:rFonts w:ascii="Times New Roman" w:eastAsia="Calibri" w:hAnsi="Times New Roman" w:cs="Times New Roman"/>
          <w:i/>
          <w:sz w:val="28"/>
          <w:szCs w:val="28"/>
        </w:rPr>
      </w:pPr>
      <w:r w:rsidRPr="00C50E2F">
        <w:rPr>
          <w:rFonts w:ascii="Times New Roman" w:eastAsia="Calibri" w:hAnsi="Times New Roman" w:cs="Times New Roman"/>
          <w:i/>
          <w:sz w:val="28"/>
          <w:szCs w:val="28"/>
        </w:rPr>
        <w:t>Фиг. 2. 2.</w:t>
      </w:r>
    </w:p>
    <w:p w:rsidR="00C97D0B" w:rsidRPr="00C50E2F" w:rsidRDefault="00C97D0B" w:rsidP="00C97D0B">
      <w:pPr>
        <w:jc w:val="both"/>
        <w:rPr>
          <w:rFonts w:ascii="Times New Roman" w:hAnsi="Times New Roman" w:cs="Times New Roman"/>
          <w:b/>
          <w:sz w:val="28"/>
          <w:szCs w:val="28"/>
          <w:lang w:val="en-US"/>
        </w:rPr>
      </w:pP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Представените данни отразяват резултатите от съвместните инициативи в рамките на институцията и очертават профила </w:t>
      </w:r>
      <w:r w:rsidR="00545F2E" w:rsidRPr="00C50E2F">
        <w:rPr>
          <w:rFonts w:ascii="Times New Roman" w:hAnsi="Times New Roman" w:cs="Times New Roman"/>
          <w:sz w:val="28"/>
          <w:szCs w:val="28"/>
        </w:rPr>
        <w:t xml:space="preserve">на </w:t>
      </w:r>
      <w:r w:rsidRPr="00C50E2F">
        <w:rPr>
          <w:rFonts w:ascii="Times New Roman" w:hAnsi="Times New Roman" w:cs="Times New Roman"/>
          <w:sz w:val="28"/>
          <w:szCs w:val="28"/>
        </w:rPr>
        <w:t>екипно взаимодействие от гледна точка на помощник-възпитателите и детегледачите.</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Най-висок относителен дял </w:t>
      </w:r>
      <w:r w:rsidR="00545F2E" w:rsidRPr="00C50E2F">
        <w:rPr>
          <w:rFonts w:ascii="Times New Roman" w:hAnsi="Times New Roman" w:cs="Times New Roman"/>
          <w:sz w:val="28"/>
          <w:szCs w:val="28"/>
        </w:rPr>
        <w:t>–</w:t>
      </w:r>
      <w:r w:rsidRPr="00C50E2F">
        <w:rPr>
          <w:rFonts w:ascii="Times New Roman" w:hAnsi="Times New Roman" w:cs="Times New Roman"/>
          <w:sz w:val="28"/>
          <w:szCs w:val="28"/>
        </w:rPr>
        <w:t xml:space="preserve"> 32% получава съвместното прилагане на правила и инструкции за осигуряване на здравословна, безопасна, културна, толерантна и природосъобразна среда. Високия</w:t>
      </w:r>
      <w:r w:rsidR="00545F2E" w:rsidRPr="00C50E2F">
        <w:rPr>
          <w:rFonts w:ascii="Times New Roman" w:hAnsi="Times New Roman" w:cs="Times New Roman"/>
          <w:sz w:val="28"/>
          <w:szCs w:val="28"/>
        </w:rPr>
        <w:t>т</w:t>
      </w:r>
      <w:r w:rsidRPr="00C50E2F">
        <w:rPr>
          <w:rFonts w:ascii="Times New Roman" w:hAnsi="Times New Roman" w:cs="Times New Roman"/>
          <w:sz w:val="28"/>
          <w:szCs w:val="28"/>
        </w:rPr>
        <w:t xml:space="preserve"> дял е показателен за висока степен на координация в работна среда между членовете на екипа и приоритет на работната дисциплина при осъществяване на професионалните задължения.</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На следващо място се нарежа планирането на съвместни активности с цел осигуряване на качествено образование, следвано от съдействието при подготовката на открити практики в групата – 14%. Резултатите дават основание да се приеме, че помощник-възпитателите и детегледачите поставят акцент в своята работа върху спазването на инструкции и практическите дейности, пряко свързани с трудовите им задължения.</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Само 9% от участниците споделят активно участие при взаимодействието с родителите, което е показател за ниска степен на комуникация със семейството. </w:t>
      </w:r>
    </w:p>
    <w:p w:rsidR="00C97D0B" w:rsidRPr="00C50E2F" w:rsidRDefault="00C97D0B" w:rsidP="00C97D0B">
      <w:pPr>
        <w:spacing w:after="0"/>
        <w:ind w:firstLine="709"/>
        <w:jc w:val="both"/>
        <w:rPr>
          <w:rFonts w:ascii="Times New Roman" w:hAnsi="Times New Roman" w:cs="Times New Roman"/>
          <w:sz w:val="28"/>
          <w:szCs w:val="28"/>
          <w:lang w:val="en-US"/>
        </w:rPr>
      </w:pPr>
      <w:r w:rsidRPr="00C50E2F">
        <w:rPr>
          <w:rFonts w:ascii="Times New Roman" w:hAnsi="Times New Roman" w:cs="Times New Roman"/>
          <w:sz w:val="28"/>
          <w:szCs w:val="28"/>
        </w:rPr>
        <w:t>Като критично ниски се отчитат показателите</w:t>
      </w:r>
      <w:r w:rsidR="00545F2E" w:rsidRPr="00C50E2F">
        <w:rPr>
          <w:rFonts w:ascii="Times New Roman" w:hAnsi="Times New Roman" w:cs="Times New Roman"/>
          <w:sz w:val="28"/>
          <w:szCs w:val="28"/>
        </w:rPr>
        <w:t>,</w:t>
      </w:r>
      <w:r w:rsidRPr="00C50E2F">
        <w:rPr>
          <w:rFonts w:ascii="Times New Roman" w:hAnsi="Times New Roman" w:cs="Times New Roman"/>
          <w:sz w:val="28"/>
          <w:szCs w:val="28"/>
        </w:rPr>
        <w:t xml:space="preserve"> свързани с участието в допълнителни форми на вътрешна и външна квалификация – 4%. Ограниченото включване в дейности за придобиване на нови компетентности в работна среда е индикатор за необходимост от своевременни действия и изготвяне на ясни правила и условия за осигуряване на възможности за учене през целия живот.</w:t>
      </w:r>
    </w:p>
    <w:p w:rsidR="00C97D0B" w:rsidRPr="00C50E2F" w:rsidRDefault="00C97D0B" w:rsidP="00C97D0B">
      <w:pPr>
        <w:jc w:val="both"/>
        <w:rPr>
          <w:rFonts w:ascii="Times New Roman" w:hAnsi="Times New Roman" w:cs="Times New Roman"/>
          <w:b/>
          <w:sz w:val="28"/>
          <w:szCs w:val="28"/>
          <w:lang w:val="en-US"/>
        </w:rPr>
      </w:pPr>
    </w:p>
    <w:p w:rsidR="00C97D0B" w:rsidRPr="00C50E2F" w:rsidRDefault="00C97D0B" w:rsidP="00C97D0B">
      <w:pPr>
        <w:jc w:val="both"/>
        <w:rPr>
          <w:rFonts w:ascii="Times New Roman" w:hAnsi="Times New Roman" w:cs="Times New Roman"/>
          <w:b/>
          <w:sz w:val="28"/>
          <w:szCs w:val="28"/>
          <w:lang w:val="en-US"/>
        </w:rPr>
      </w:pPr>
      <w:r w:rsidRPr="00C50E2F">
        <w:rPr>
          <w:rFonts w:ascii="Times New Roman" w:hAnsi="Times New Roman" w:cs="Times New Roman"/>
          <w:b/>
          <w:noProof/>
          <w:sz w:val="28"/>
          <w:szCs w:val="28"/>
          <w:lang w:eastAsia="bg-BG"/>
        </w:rPr>
        <w:lastRenderedPageBreak/>
        <w:drawing>
          <wp:inline distT="0" distB="0" distL="0" distR="0" wp14:anchorId="359BEB82" wp14:editId="39A6A6F4">
            <wp:extent cx="5760720" cy="2393315"/>
            <wp:effectExtent l="0" t="0" r="0" b="6985"/>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393315"/>
                    </a:xfrm>
                    <a:prstGeom prst="rect">
                      <a:avLst/>
                    </a:prstGeom>
                  </pic:spPr>
                </pic:pic>
              </a:graphicData>
            </a:graphic>
          </wp:inline>
        </w:drawing>
      </w:r>
    </w:p>
    <w:p w:rsidR="00C97D0B" w:rsidRPr="00C50E2F" w:rsidRDefault="00C97D0B" w:rsidP="00C97D0B">
      <w:pPr>
        <w:spacing w:after="0" w:line="240" w:lineRule="auto"/>
        <w:jc w:val="right"/>
        <w:rPr>
          <w:rFonts w:ascii="Times New Roman" w:eastAsia="Calibri" w:hAnsi="Times New Roman" w:cs="Times New Roman"/>
          <w:i/>
          <w:sz w:val="28"/>
          <w:szCs w:val="28"/>
        </w:rPr>
      </w:pPr>
      <w:r w:rsidRPr="00C50E2F">
        <w:rPr>
          <w:rFonts w:ascii="Times New Roman" w:eastAsia="Calibri" w:hAnsi="Times New Roman" w:cs="Times New Roman"/>
          <w:i/>
          <w:sz w:val="28"/>
          <w:szCs w:val="28"/>
        </w:rPr>
        <w:t>Фиг. 3. 1.</w:t>
      </w:r>
    </w:p>
    <w:p w:rsidR="00C97D0B" w:rsidRPr="00C50E2F" w:rsidRDefault="00C97D0B" w:rsidP="00C97D0B">
      <w:pPr>
        <w:jc w:val="both"/>
        <w:rPr>
          <w:rFonts w:ascii="Times New Roman" w:hAnsi="Times New Roman" w:cs="Times New Roman"/>
          <w:b/>
          <w:sz w:val="28"/>
          <w:szCs w:val="28"/>
          <w:lang w:val="en-US"/>
        </w:rPr>
      </w:pPr>
    </w:p>
    <w:p w:rsidR="00C97D0B" w:rsidRPr="00C50E2F" w:rsidRDefault="00C97D0B" w:rsidP="00C97D0B">
      <w:pPr>
        <w:jc w:val="both"/>
        <w:rPr>
          <w:rFonts w:ascii="Times New Roman" w:hAnsi="Times New Roman" w:cs="Times New Roman"/>
          <w:b/>
          <w:sz w:val="28"/>
          <w:szCs w:val="28"/>
          <w:lang w:val="en-US"/>
        </w:rPr>
      </w:pPr>
      <w:r w:rsidRPr="00C50E2F">
        <w:rPr>
          <w:rFonts w:ascii="Times New Roman" w:hAnsi="Times New Roman" w:cs="Times New Roman"/>
          <w:b/>
          <w:noProof/>
          <w:sz w:val="28"/>
          <w:szCs w:val="28"/>
          <w:lang w:eastAsia="bg-BG"/>
        </w:rPr>
        <w:drawing>
          <wp:inline distT="0" distB="0" distL="0" distR="0" wp14:anchorId="495FB87B" wp14:editId="7835185A">
            <wp:extent cx="5760720" cy="2331720"/>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331720"/>
                    </a:xfrm>
                    <a:prstGeom prst="rect">
                      <a:avLst/>
                    </a:prstGeom>
                  </pic:spPr>
                </pic:pic>
              </a:graphicData>
            </a:graphic>
          </wp:inline>
        </w:drawing>
      </w:r>
    </w:p>
    <w:p w:rsidR="00C97D0B" w:rsidRPr="00C50E2F" w:rsidRDefault="00C97D0B" w:rsidP="00C97D0B">
      <w:pPr>
        <w:spacing w:after="0" w:line="240" w:lineRule="auto"/>
        <w:jc w:val="right"/>
        <w:rPr>
          <w:rFonts w:ascii="Times New Roman" w:eastAsia="Calibri" w:hAnsi="Times New Roman" w:cs="Times New Roman"/>
          <w:i/>
          <w:sz w:val="28"/>
          <w:szCs w:val="28"/>
        </w:rPr>
      </w:pPr>
      <w:r w:rsidRPr="00C50E2F">
        <w:rPr>
          <w:rFonts w:ascii="Times New Roman" w:eastAsia="Calibri" w:hAnsi="Times New Roman" w:cs="Times New Roman"/>
          <w:i/>
          <w:sz w:val="28"/>
          <w:szCs w:val="28"/>
        </w:rPr>
        <w:t>Фиг. 3. 2.</w:t>
      </w:r>
    </w:p>
    <w:p w:rsidR="00C97D0B" w:rsidRPr="00C50E2F" w:rsidRDefault="00C97D0B" w:rsidP="00C97D0B">
      <w:pPr>
        <w:spacing w:after="0"/>
        <w:ind w:firstLine="709"/>
        <w:jc w:val="both"/>
        <w:rPr>
          <w:rFonts w:ascii="Times New Roman" w:hAnsi="Times New Roman" w:cs="Times New Roman"/>
          <w:sz w:val="28"/>
          <w:szCs w:val="28"/>
        </w:rPr>
      </w:pP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Представените данни очертават основните проблемни полета при работата на непедагогическия персонал с децата.</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Респондентите определят като най-критична точка разпознаването на потребностите и емоционалните състояния – 15%. Резултатите показват категорично необходимостта от обучения</w:t>
      </w:r>
      <w:r w:rsidR="00545F2E" w:rsidRPr="00C50E2F">
        <w:rPr>
          <w:rFonts w:ascii="Times New Roman" w:hAnsi="Times New Roman" w:cs="Times New Roman"/>
          <w:sz w:val="28"/>
          <w:szCs w:val="28"/>
        </w:rPr>
        <w:t>,</w:t>
      </w:r>
      <w:r w:rsidRPr="00C50E2F">
        <w:rPr>
          <w:rFonts w:ascii="Times New Roman" w:hAnsi="Times New Roman" w:cs="Times New Roman"/>
          <w:sz w:val="28"/>
          <w:szCs w:val="28"/>
        </w:rPr>
        <w:t xml:space="preserve"> свързани с емоционалното и социално развитие в ранна детска и предучилищна възраст.</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С относително близки стойности – 13% , като следващи по значимост проблеми са посочени справянето с образователни задачи и мотивирането на децата при реализиране на практически дейности. Отговорите категорично доказват значимостта на специфични педагогически умения като мотивиране и организиране. </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При съпоставяне на всички резултати се очертава тенденцията към търсене на решения</w:t>
      </w:r>
      <w:r w:rsidR="00545F2E" w:rsidRPr="00C50E2F">
        <w:rPr>
          <w:rFonts w:ascii="Times New Roman" w:hAnsi="Times New Roman" w:cs="Times New Roman"/>
          <w:sz w:val="28"/>
          <w:szCs w:val="28"/>
        </w:rPr>
        <w:t>,</w:t>
      </w:r>
      <w:r w:rsidRPr="00C50E2F">
        <w:rPr>
          <w:rFonts w:ascii="Times New Roman" w:hAnsi="Times New Roman" w:cs="Times New Roman"/>
          <w:sz w:val="28"/>
          <w:szCs w:val="28"/>
        </w:rPr>
        <w:t xml:space="preserve"> свързани с емоционалното развитие на децата, </w:t>
      </w:r>
      <w:r w:rsidRPr="00C50E2F">
        <w:rPr>
          <w:rFonts w:ascii="Times New Roman" w:hAnsi="Times New Roman" w:cs="Times New Roman"/>
          <w:sz w:val="28"/>
          <w:szCs w:val="28"/>
        </w:rPr>
        <w:lastRenderedPageBreak/>
        <w:t>изграждане на доверителна връзка и прилагане на индивидуален подход във взаимодействието.</w:t>
      </w:r>
    </w:p>
    <w:p w:rsidR="00C97D0B" w:rsidRPr="00C50E2F" w:rsidRDefault="00C97D0B" w:rsidP="00C97D0B">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rPr>
        <w:t xml:space="preserve">Данните не показват доминиране на един проблем, а относително равномерно разпределение между всички взаимосвързани области при изпълнение на служебните задължения и комуникация с деца. </w:t>
      </w:r>
    </w:p>
    <w:p w:rsidR="00C97D0B" w:rsidRPr="00C50E2F" w:rsidRDefault="00C97D0B" w:rsidP="00C97D0B">
      <w:pPr>
        <w:spacing w:after="0"/>
        <w:ind w:firstLine="709"/>
        <w:jc w:val="both"/>
        <w:rPr>
          <w:rFonts w:ascii="Times New Roman" w:hAnsi="Times New Roman" w:cs="Times New Roman"/>
          <w:sz w:val="28"/>
          <w:szCs w:val="28"/>
          <w:lang w:val="en-US"/>
        </w:rPr>
      </w:pPr>
    </w:p>
    <w:p w:rsidR="00C97D0B" w:rsidRPr="00C50E2F" w:rsidRDefault="00C97D0B" w:rsidP="00C97D0B">
      <w:pPr>
        <w:spacing w:after="0"/>
        <w:ind w:firstLine="709"/>
        <w:jc w:val="both"/>
        <w:rPr>
          <w:rFonts w:ascii="Times New Roman" w:hAnsi="Times New Roman" w:cs="Times New Roman"/>
          <w:b/>
          <w:caps/>
          <w:sz w:val="28"/>
          <w:szCs w:val="28"/>
        </w:rPr>
      </w:pPr>
      <w:r w:rsidRPr="00C50E2F">
        <w:rPr>
          <w:rFonts w:ascii="Times New Roman" w:hAnsi="Times New Roman" w:cs="Times New Roman"/>
          <w:b/>
          <w:caps/>
          <w:sz w:val="28"/>
          <w:szCs w:val="28"/>
        </w:rPr>
        <w:t>Заключение</w:t>
      </w:r>
    </w:p>
    <w:p w:rsidR="00C97D0B" w:rsidRPr="00C50E2F" w:rsidRDefault="00C97D0B" w:rsidP="00C97D0B">
      <w:pPr>
        <w:spacing w:after="0"/>
        <w:ind w:firstLine="709"/>
        <w:jc w:val="both"/>
        <w:rPr>
          <w:rFonts w:ascii="Times New Roman" w:hAnsi="Times New Roman" w:cs="Times New Roman"/>
          <w:b/>
          <w:caps/>
          <w:sz w:val="28"/>
          <w:szCs w:val="28"/>
        </w:rPr>
      </w:pPr>
    </w:p>
    <w:p w:rsidR="00C97D0B" w:rsidRPr="00C50E2F" w:rsidRDefault="00C97D0B" w:rsidP="00C97D0B">
      <w:pPr>
        <w:spacing w:after="0"/>
        <w:ind w:firstLine="709"/>
        <w:jc w:val="both"/>
        <w:rPr>
          <w:rFonts w:ascii="Times New Roman" w:hAnsi="Times New Roman" w:cs="Times New Roman"/>
          <w:sz w:val="28"/>
          <w:szCs w:val="28"/>
        </w:rPr>
      </w:pPr>
      <w:proofErr w:type="spellStart"/>
      <w:r w:rsidRPr="00C50E2F">
        <w:rPr>
          <w:rFonts w:ascii="Times New Roman" w:eastAsia="Times New Roman" w:hAnsi="Times New Roman" w:cs="Times New Roman"/>
          <w:sz w:val="28"/>
          <w:szCs w:val="28"/>
          <w:lang w:eastAsia="bg-BG"/>
        </w:rPr>
        <w:t>Холистичният</w:t>
      </w:r>
      <w:proofErr w:type="spellEnd"/>
      <w:r w:rsidRPr="00C50E2F">
        <w:rPr>
          <w:rFonts w:ascii="Times New Roman" w:eastAsia="Times New Roman" w:hAnsi="Times New Roman" w:cs="Times New Roman"/>
          <w:sz w:val="28"/>
          <w:szCs w:val="28"/>
          <w:lang w:eastAsia="bg-BG"/>
        </w:rPr>
        <w:t xml:space="preserve"> модел на съвременното образование разглежда всеки отделен елемент от системата като част от по-голямо цяло – педагогическите и непедагогическите специалисти като част от екипа, екипа като част от институцията, институцията като част от общността.</w:t>
      </w:r>
    </w:p>
    <w:p w:rsidR="002F4689" w:rsidRPr="00C50E2F" w:rsidRDefault="00C97D0B" w:rsidP="002F4689">
      <w:pPr>
        <w:spacing w:after="0"/>
        <w:ind w:firstLine="709"/>
        <w:jc w:val="both"/>
        <w:rPr>
          <w:rFonts w:ascii="Times New Roman" w:eastAsia="Times New Roman" w:hAnsi="Times New Roman" w:cs="Times New Roman"/>
          <w:sz w:val="28"/>
          <w:szCs w:val="28"/>
          <w:lang w:eastAsia="bg-BG"/>
        </w:rPr>
      </w:pPr>
      <w:r w:rsidRPr="00C50E2F">
        <w:rPr>
          <w:rFonts w:ascii="Times New Roman" w:hAnsi="Times New Roman" w:cs="Times New Roman"/>
          <w:sz w:val="28"/>
          <w:szCs w:val="28"/>
        </w:rPr>
        <w:t xml:space="preserve">Отдавна е назрял моментът да се обединят традиционните подходи в образователния процес с алтернативни, ориентирани към персоналните нужди на всяко дете. Едновременно с това възниква необходимостта от разработване на ориентирани към практиката концепции, които да бъдат приложени. </w:t>
      </w:r>
      <w:r w:rsidRPr="00C50E2F">
        <w:rPr>
          <w:rFonts w:ascii="Times New Roman" w:eastAsia="Times New Roman" w:hAnsi="Times New Roman" w:cs="Times New Roman"/>
          <w:sz w:val="28"/>
          <w:szCs w:val="28"/>
          <w:lang w:eastAsia="bg-BG"/>
        </w:rPr>
        <w:t xml:space="preserve">Чрез </w:t>
      </w:r>
      <w:proofErr w:type="spellStart"/>
      <w:r w:rsidRPr="00C50E2F">
        <w:rPr>
          <w:rFonts w:ascii="Times New Roman" w:eastAsia="Times New Roman" w:hAnsi="Times New Roman" w:cs="Times New Roman"/>
          <w:sz w:val="28"/>
          <w:szCs w:val="28"/>
          <w:lang w:eastAsia="bg-BG"/>
        </w:rPr>
        <w:t>холистичните</w:t>
      </w:r>
      <w:proofErr w:type="spellEnd"/>
      <w:r w:rsidRPr="00C50E2F">
        <w:rPr>
          <w:rFonts w:ascii="Times New Roman" w:eastAsia="Times New Roman" w:hAnsi="Times New Roman" w:cs="Times New Roman"/>
          <w:sz w:val="28"/>
          <w:szCs w:val="28"/>
          <w:lang w:eastAsia="bg-BG"/>
        </w:rPr>
        <w:t xml:space="preserve"> модели на педагогическо взаимодействие в детската градина се оптимизира както активното участие в образователния процес, така и насърчаването на социална групова работа.</w:t>
      </w:r>
    </w:p>
    <w:p w:rsidR="002F4689" w:rsidRPr="00C50E2F" w:rsidRDefault="002F4689" w:rsidP="002F4689">
      <w:pPr>
        <w:spacing w:after="0"/>
        <w:ind w:firstLine="709"/>
        <w:jc w:val="both"/>
        <w:rPr>
          <w:rFonts w:ascii="Times New Roman" w:eastAsia="Times New Roman" w:hAnsi="Times New Roman" w:cs="Times New Roman"/>
          <w:sz w:val="28"/>
          <w:szCs w:val="28"/>
          <w:lang w:eastAsia="bg-BG"/>
        </w:rPr>
      </w:pPr>
    </w:p>
    <w:p w:rsidR="00C97D0B" w:rsidRPr="00C50E2F" w:rsidRDefault="00C97D0B" w:rsidP="002F4689">
      <w:pPr>
        <w:spacing w:after="0"/>
        <w:ind w:firstLine="709"/>
        <w:jc w:val="both"/>
        <w:rPr>
          <w:rFonts w:ascii="Times New Roman" w:eastAsia="Times New Roman" w:hAnsi="Times New Roman" w:cs="Times New Roman"/>
          <w:sz w:val="28"/>
          <w:szCs w:val="28"/>
          <w:lang w:eastAsia="bg-BG"/>
        </w:rPr>
      </w:pPr>
      <w:r w:rsidRPr="00C50E2F">
        <w:rPr>
          <w:rFonts w:ascii="Times New Roman" w:eastAsia="Calibri" w:hAnsi="Times New Roman" w:cs="Times New Roman"/>
          <w:b/>
          <w:sz w:val="28"/>
          <w:szCs w:val="28"/>
        </w:rPr>
        <w:t>РЕФЕРЕНЦИИ</w:t>
      </w:r>
    </w:p>
    <w:p w:rsidR="00C97D0B" w:rsidRPr="00C50E2F" w:rsidRDefault="00C97D0B" w:rsidP="00C97D0B">
      <w:pPr>
        <w:spacing w:after="0" w:line="240" w:lineRule="auto"/>
        <w:jc w:val="both"/>
        <w:rPr>
          <w:rFonts w:ascii="Times New Roman" w:eastAsia="Calibri" w:hAnsi="Times New Roman" w:cs="Times New Roman"/>
          <w:b/>
          <w:sz w:val="28"/>
          <w:szCs w:val="28"/>
        </w:rPr>
      </w:pPr>
    </w:p>
    <w:p w:rsidR="00C97D0B" w:rsidRPr="00C50E2F" w:rsidRDefault="00C97D0B" w:rsidP="00C97D0B">
      <w:pPr>
        <w:spacing w:after="0" w:line="240" w:lineRule="auto"/>
        <w:jc w:val="both"/>
        <w:rPr>
          <w:rFonts w:ascii="Times New Roman" w:eastAsia="Calibri" w:hAnsi="Times New Roman" w:cs="Times New Roman"/>
          <w:sz w:val="28"/>
          <w:szCs w:val="28"/>
        </w:rPr>
      </w:pPr>
      <w:r w:rsidRPr="00C50E2F">
        <w:rPr>
          <w:rFonts w:ascii="Times New Roman" w:eastAsia="Calibri" w:hAnsi="Times New Roman" w:cs="Times New Roman"/>
          <w:b/>
          <w:sz w:val="28"/>
          <w:szCs w:val="28"/>
        </w:rPr>
        <w:tab/>
      </w:r>
      <w:r w:rsidRPr="00C50E2F">
        <w:rPr>
          <w:rFonts w:ascii="Times New Roman" w:eastAsia="Calibri" w:hAnsi="Times New Roman" w:cs="Times New Roman"/>
          <w:sz w:val="28"/>
          <w:szCs w:val="28"/>
        </w:rPr>
        <w:t>Тази публикация е финансирана по Национална научна програма „Развитие на научните изследвания и иновациите в областта на българското предучилищно и училищно образование“.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w:t>
      </w:r>
    </w:p>
    <w:p w:rsidR="00C97D0B" w:rsidRPr="00C50E2F" w:rsidRDefault="00C97D0B" w:rsidP="00C97D0B">
      <w:pPr>
        <w:spacing w:after="0" w:line="240" w:lineRule="auto"/>
        <w:jc w:val="both"/>
        <w:rPr>
          <w:rFonts w:ascii="Times New Roman" w:eastAsia="Calibri" w:hAnsi="Times New Roman" w:cs="Times New Roman"/>
          <w:sz w:val="28"/>
          <w:szCs w:val="28"/>
        </w:rPr>
      </w:pPr>
      <w:r w:rsidRPr="00C50E2F">
        <w:rPr>
          <w:rFonts w:ascii="Times New Roman" w:eastAsia="Calibri" w:hAnsi="Times New Roman" w:cs="Times New Roman"/>
          <w:sz w:val="28"/>
          <w:szCs w:val="28"/>
        </w:rPr>
        <w:tab/>
      </w:r>
      <w:proofErr w:type="spellStart"/>
      <w:r w:rsidRPr="00C50E2F">
        <w:rPr>
          <w:rFonts w:ascii="Times New Roman" w:eastAsia="Calibri" w:hAnsi="Times New Roman" w:cs="Times New Roman"/>
          <w:sz w:val="28"/>
          <w:szCs w:val="28"/>
        </w:rPr>
        <w:t>This</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publication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has</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been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funded</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by</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the</w:t>
      </w:r>
      <w:proofErr w:type="spellEnd"/>
      <w:r w:rsidRPr="00C50E2F">
        <w:rPr>
          <w:rFonts w:ascii="Times New Roman" w:eastAsia="Calibri" w:hAnsi="Times New Roman" w:cs="Times New Roman"/>
          <w:sz w:val="28"/>
          <w:szCs w:val="28"/>
        </w:rPr>
        <w:t xml:space="preserve"> National </w:t>
      </w:r>
      <w:proofErr w:type="spellStart"/>
      <w:r w:rsidRPr="00C50E2F">
        <w:rPr>
          <w:rFonts w:ascii="Times New Roman" w:eastAsia="Calibri" w:hAnsi="Times New Roman" w:cs="Times New Roman"/>
          <w:sz w:val="28"/>
          <w:szCs w:val="28"/>
        </w:rPr>
        <w:t>Scientific</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Programme</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Development</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of</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Research</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and</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Innovation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in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the</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Field</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of</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Bulgarian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Pre-school</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and</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School</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Education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The</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author</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bears</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full</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responsibility</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for</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the</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content</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of</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this</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document</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which</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under</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no</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circumstances</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can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be</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considered</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an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official</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position</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of</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the</w:t>
      </w:r>
      <w:proofErr w:type="spellEnd"/>
      <w:r w:rsidRPr="00C50E2F">
        <w:rPr>
          <w:rFonts w:ascii="Times New Roman" w:eastAsia="Calibri" w:hAnsi="Times New Roman" w:cs="Times New Roman"/>
          <w:sz w:val="28"/>
          <w:szCs w:val="28"/>
        </w:rPr>
        <w:t xml:space="preserve"> Institute </w:t>
      </w:r>
      <w:proofErr w:type="spellStart"/>
      <w:r w:rsidRPr="00C50E2F">
        <w:rPr>
          <w:rFonts w:ascii="Times New Roman" w:eastAsia="Calibri" w:hAnsi="Times New Roman" w:cs="Times New Roman"/>
          <w:sz w:val="28"/>
          <w:szCs w:val="28"/>
        </w:rPr>
        <w:t>of</w:t>
      </w:r>
      <w:proofErr w:type="spellEnd"/>
      <w:r w:rsidRPr="00C50E2F">
        <w:rPr>
          <w:rFonts w:ascii="Times New Roman" w:eastAsia="Calibri" w:hAnsi="Times New Roman" w:cs="Times New Roman"/>
          <w:sz w:val="28"/>
          <w:szCs w:val="28"/>
        </w:rPr>
        <w:t xml:space="preserve"> </w:t>
      </w:r>
      <w:proofErr w:type="spellStart"/>
      <w:r w:rsidRPr="00C50E2F">
        <w:rPr>
          <w:rFonts w:ascii="Times New Roman" w:eastAsia="Calibri" w:hAnsi="Times New Roman" w:cs="Times New Roman"/>
          <w:sz w:val="28"/>
          <w:szCs w:val="28"/>
        </w:rPr>
        <w:t>Education</w:t>
      </w:r>
      <w:proofErr w:type="spellEnd"/>
      <w:r w:rsidRPr="00C50E2F">
        <w:rPr>
          <w:rFonts w:ascii="Times New Roman" w:eastAsia="Calibri" w:hAnsi="Times New Roman" w:cs="Times New Roman"/>
          <w:sz w:val="28"/>
          <w:szCs w:val="28"/>
        </w:rPr>
        <w:t>.</w:t>
      </w:r>
    </w:p>
    <w:p w:rsidR="00C97D0B" w:rsidRPr="00C50E2F" w:rsidRDefault="00C97D0B" w:rsidP="00C97D0B">
      <w:pPr>
        <w:spacing w:after="0" w:line="240" w:lineRule="auto"/>
        <w:jc w:val="both"/>
        <w:rPr>
          <w:rFonts w:ascii="Times New Roman" w:eastAsia="Calibri" w:hAnsi="Times New Roman" w:cs="Times New Roman"/>
          <w:sz w:val="28"/>
          <w:szCs w:val="28"/>
        </w:rPr>
      </w:pPr>
      <w:r w:rsidRPr="00C50E2F">
        <w:rPr>
          <w:rFonts w:ascii="Times New Roman" w:eastAsia="Calibri" w:hAnsi="Times New Roman" w:cs="Times New Roman"/>
          <w:b/>
          <w:sz w:val="28"/>
          <w:szCs w:val="28"/>
        </w:rPr>
        <w:tab/>
      </w:r>
      <w:r w:rsidRPr="00C50E2F">
        <w:rPr>
          <w:rFonts w:ascii="Times New Roman" w:eastAsia="Calibri" w:hAnsi="Times New Roman" w:cs="Times New Roman"/>
          <w:sz w:val="28"/>
          <w:szCs w:val="28"/>
        </w:rPr>
        <w:t>Авторът изказва лична признателност за оказаното съдействие при разпространението на анкетните карти до всички административни области на страната към г-жа Грета Райковска и г-жа Петя Петрова от Института по образование към МОН.</w:t>
      </w:r>
    </w:p>
    <w:p w:rsidR="00C97D0B" w:rsidRPr="00C50E2F" w:rsidRDefault="00C97D0B" w:rsidP="00C97D0B">
      <w:pPr>
        <w:spacing w:after="0"/>
        <w:ind w:firstLine="709"/>
        <w:jc w:val="both"/>
        <w:rPr>
          <w:rFonts w:ascii="Times New Roman" w:hAnsi="Times New Roman" w:cs="Times New Roman"/>
          <w:sz w:val="28"/>
          <w:szCs w:val="28"/>
          <w:lang w:val="en-US"/>
        </w:rPr>
      </w:pPr>
    </w:p>
    <w:p w:rsidR="00C97D0B" w:rsidRPr="00C50E2F" w:rsidRDefault="00C97D0B" w:rsidP="00C97D0B">
      <w:pPr>
        <w:jc w:val="both"/>
        <w:rPr>
          <w:rFonts w:ascii="Times New Roman" w:hAnsi="Times New Roman" w:cs="Times New Roman"/>
          <w:sz w:val="28"/>
          <w:szCs w:val="28"/>
        </w:rPr>
      </w:pPr>
    </w:p>
    <w:p w:rsidR="00C97D0B" w:rsidRPr="00C50E2F" w:rsidRDefault="00C97D0B" w:rsidP="00C97D0B">
      <w:pPr>
        <w:jc w:val="both"/>
        <w:rPr>
          <w:rFonts w:ascii="Times New Roman" w:hAnsi="Times New Roman" w:cs="Times New Roman"/>
          <w:b/>
          <w:caps/>
          <w:sz w:val="28"/>
          <w:szCs w:val="28"/>
        </w:rPr>
      </w:pPr>
      <w:r w:rsidRPr="00C50E2F">
        <w:rPr>
          <w:rFonts w:ascii="Times New Roman" w:hAnsi="Times New Roman" w:cs="Times New Roman"/>
          <w:b/>
          <w:caps/>
          <w:sz w:val="28"/>
          <w:szCs w:val="28"/>
        </w:rPr>
        <w:t>Бележки:</w:t>
      </w:r>
    </w:p>
    <w:p w:rsidR="00C97D0B" w:rsidRPr="00C50E2F" w:rsidRDefault="00C97D0B" w:rsidP="00C97D0B">
      <w:pPr>
        <w:spacing w:after="0" w:line="240" w:lineRule="auto"/>
        <w:rPr>
          <w:rFonts w:ascii="Times New Roman" w:eastAsia="Times New Roman" w:hAnsi="Times New Roman" w:cs="Times New Roman"/>
          <w:sz w:val="24"/>
          <w:szCs w:val="24"/>
          <w:lang w:eastAsia="bg-BG"/>
        </w:rPr>
      </w:pPr>
    </w:p>
    <w:p w:rsidR="00C97D0B" w:rsidRPr="00C50E2F" w:rsidRDefault="00C97D0B" w:rsidP="000A39EE">
      <w:pPr>
        <w:spacing w:after="0" w:line="240" w:lineRule="auto"/>
        <w:ind w:firstLine="709"/>
        <w:jc w:val="both"/>
        <w:rPr>
          <w:rStyle w:val="A30"/>
          <w:rFonts w:ascii="Times New Roman" w:hAnsi="Times New Roman" w:cs="Times New Roman"/>
          <w:color w:val="auto"/>
          <w:sz w:val="28"/>
          <w:szCs w:val="28"/>
        </w:rPr>
      </w:pPr>
      <w:r w:rsidRPr="00C50E2F">
        <w:rPr>
          <w:rStyle w:val="A30"/>
          <w:rFonts w:ascii="Times New Roman" w:hAnsi="Times New Roman" w:cs="Times New Roman"/>
          <w:color w:val="auto"/>
          <w:sz w:val="28"/>
          <w:szCs w:val="28"/>
          <w:lang w:val="en-US"/>
        </w:rPr>
        <w:lastRenderedPageBreak/>
        <w:t xml:space="preserve">[1] </w:t>
      </w:r>
      <w:r w:rsidRPr="00C50E2F">
        <w:rPr>
          <w:rFonts w:ascii="Times New Roman" w:hAnsi="Times New Roman" w:cs="Times New Roman"/>
          <w:caps/>
          <w:sz w:val="28"/>
          <w:szCs w:val="28"/>
          <w:shd w:val="clear" w:color="auto" w:fill="FFFFFF"/>
        </w:rPr>
        <w:t>Великова, С</w:t>
      </w:r>
      <w:r w:rsidRPr="00C50E2F">
        <w:rPr>
          <w:rFonts w:ascii="Times New Roman" w:hAnsi="Times New Roman" w:cs="Times New Roman"/>
          <w:caps/>
          <w:sz w:val="28"/>
          <w:szCs w:val="28"/>
          <w:shd w:val="clear" w:color="auto" w:fill="FFFFFF"/>
          <w:lang w:val="en-US"/>
        </w:rPr>
        <w:t>.</w:t>
      </w:r>
      <w:r w:rsidRPr="00C50E2F">
        <w:rPr>
          <w:rFonts w:ascii="Times New Roman" w:hAnsi="Times New Roman" w:cs="Times New Roman"/>
          <w:sz w:val="28"/>
          <w:szCs w:val="28"/>
          <w:shd w:val="clear" w:color="auto" w:fill="FFFFFF"/>
        </w:rPr>
        <w:t> (2022)</w:t>
      </w:r>
      <w:r w:rsidR="000A39EE" w:rsidRPr="00C50E2F">
        <w:rPr>
          <w:rFonts w:ascii="Times New Roman" w:hAnsi="Times New Roman" w:cs="Times New Roman"/>
          <w:sz w:val="28"/>
          <w:szCs w:val="28"/>
          <w:shd w:val="clear" w:color="auto" w:fill="FFFFFF"/>
        </w:rPr>
        <w:t>.</w:t>
      </w:r>
      <w:r w:rsidRPr="00C50E2F">
        <w:rPr>
          <w:rFonts w:ascii="Times New Roman" w:hAnsi="Times New Roman" w:cs="Times New Roman"/>
          <w:sz w:val="28"/>
          <w:szCs w:val="28"/>
          <w:shd w:val="clear" w:color="auto" w:fill="FFFFFF"/>
        </w:rPr>
        <w:t> </w:t>
      </w:r>
      <w:r w:rsidRPr="00C50E2F">
        <w:rPr>
          <w:rFonts w:ascii="Times New Roman" w:hAnsi="Times New Roman" w:cs="Times New Roman"/>
          <w:i/>
          <w:iCs/>
          <w:sz w:val="28"/>
          <w:szCs w:val="28"/>
          <w:shd w:val="clear" w:color="auto" w:fill="FFFFFF"/>
        </w:rPr>
        <w:t>Компетентностно ориентирано обучение, или (де)</w:t>
      </w:r>
      <w:proofErr w:type="spellStart"/>
      <w:r w:rsidRPr="00C50E2F">
        <w:rPr>
          <w:rFonts w:ascii="Times New Roman" w:hAnsi="Times New Roman" w:cs="Times New Roman"/>
          <w:i/>
          <w:iCs/>
          <w:sz w:val="28"/>
          <w:szCs w:val="28"/>
          <w:shd w:val="clear" w:color="auto" w:fill="FFFFFF"/>
        </w:rPr>
        <w:t>хуманизация</w:t>
      </w:r>
      <w:proofErr w:type="spellEnd"/>
      <w:r w:rsidRPr="00C50E2F">
        <w:rPr>
          <w:rFonts w:ascii="Times New Roman" w:hAnsi="Times New Roman" w:cs="Times New Roman"/>
          <w:i/>
          <w:iCs/>
          <w:sz w:val="28"/>
          <w:szCs w:val="28"/>
          <w:shd w:val="clear" w:color="auto" w:fill="FFFFFF"/>
        </w:rPr>
        <w:t xml:space="preserve"> на образованието</w:t>
      </w:r>
      <w:r w:rsidR="000A39EE" w:rsidRPr="00C50E2F">
        <w:rPr>
          <w:rFonts w:ascii="Times New Roman" w:hAnsi="Times New Roman" w:cs="Times New Roman"/>
          <w:i/>
          <w:iCs/>
          <w:sz w:val="28"/>
          <w:szCs w:val="28"/>
          <w:shd w:val="clear" w:color="auto" w:fill="FFFFFF"/>
        </w:rPr>
        <w:t>.</w:t>
      </w:r>
      <w:r w:rsidRPr="00C50E2F">
        <w:rPr>
          <w:rFonts w:ascii="Times New Roman" w:hAnsi="Times New Roman" w:cs="Times New Roman"/>
          <w:sz w:val="28"/>
          <w:szCs w:val="28"/>
          <w:shd w:val="clear" w:color="auto" w:fill="FFFFFF"/>
        </w:rPr>
        <w:t> сп.</w:t>
      </w:r>
      <w:r w:rsidR="000A39EE" w:rsidRPr="00C50E2F">
        <w:rPr>
          <w:rFonts w:ascii="Times New Roman" w:hAnsi="Times New Roman" w:cs="Times New Roman"/>
          <w:sz w:val="28"/>
          <w:szCs w:val="28"/>
          <w:shd w:val="clear" w:color="auto" w:fill="FFFFFF"/>
        </w:rPr>
        <w:t xml:space="preserve"> </w:t>
      </w:r>
      <w:r w:rsidR="00F93303" w:rsidRPr="00C50E2F">
        <w:rPr>
          <w:rFonts w:ascii="Times New Roman" w:hAnsi="Times New Roman" w:cs="Times New Roman"/>
          <w:sz w:val="28"/>
          <w:szCs w:val="28"/>
          <w:shd w:val="clear" w:color="auto" w:fill="FFFFFF"/>
        </w:rPr>
        <w:t>„</w:t>
      </w:r>
      <w:r w:rsidRPr="00C50E2F">
        <w:rPr>
          <w:rFonts w:ascii="Times New Roman" w:hAnsi="Times New Roman" w:cs="Times New Roman"/>
          <w:sz w:val="28"/>
          <w:szCs w:val="28"/>
          <w:shd w:val="clear" w:color="auto" w:fill="FFFFFF"/>
        </w:rPr>
        <w:t>Педагогически алманах</w:t>
      </w:r>
      <w:r w:rsidR="00F93303" w:rsidRPr="00C50E2F">
        <w:rPr>
          <w:rFonts w:ascii="Times New Roman" w:hAnsi="Times New Roman" w:cs="Times New Roman"/>
          <w:sz w:val="28"/>
          <w:szCs w:val="28"/>
          <w:shd w:val="clear" w:color="auto" w:fill="FFFFFF"/>
        </w:rPr>
        <w:t>“</w:t>
      </w:r>
      <w:r w:rsidRPr="00C50E2F">
        <w:rPr>
          <w:rFonts w:ascii="Times New Roman" w:hAnsi="Times New Roman" w:cs="Times New Roman"/>
          <w:sz w:val="28"/>
          <w:szCs w:val="28"/>
          <w:shd w:val="clear" w:color="auto" w:fill="FFFFFF"/>
        </w:rPr>
        <w:t>, т. 30 (1), 36</w:t>
      </w:r>
      <w:r w:rsidR="00F93303" w:rsidRPr="00C50E2F">
        <w:rPr>
          <w:rFonts w:ascii="Times New Roman" w:hAnsi="Times New Roman" w:cs="Times New Roman"/>
          <w:sz w:val="28"/>
          <w:szCs w:val="28"/>
          <w:shd w:val="clear" w:color="auto" w:fill="FFFFFF"/>
        </w:rPr>
        <w:t xml:space="preserve"> – </w:t>
      </w:r>
      <w:r w:rsidRPr="00C50E2F">
        <w:rPr>
          <w:rFonts w:ascii="Times New Roman" w:hAnsi="Times New Roman" w:cs="Times New Roman"/>
          <w:sz w:val="28"/>
          <w:szCs w:val="28"/>
          <w:shd w:val="clear" w:color="auto" w:fill="FFFFFF"/>
        </w:rPr>
        <w:t>44, </w:t>
      </w:r>
      <w:r w:rsidRPr="00C50E2F">
        <w:rPr>
          <w:rStyle w:val="A30"/>
          <w:rFonts w:ascii="Times New Roman" w:hAnsi="Times New Roman" w:cs="Times New Roman"/>
          <w:color w:val="auto"/>
          <w:sz w:val="28"/>
          <w:szCs w:val="28"/>
        </w:rPr>
        <w:t>стр. 37.</w:t>
      </w:r>
    </w:p>
    <w:p w:rsidR="00C97D0B" w:rsidRPr="00C50E2F" w:rsidRDefault="00C97D0B" w:rsidP="000A39EE">
      <w:pPr>
        <w:spacing w:after="0" w:line="240" w:lineRule="auto"/>
        <w:ind w:firstLine="709"/>
        <w:jc w:val="both"/>
        <w:rPr>
          <w:rFonts w:ascii="Times New Roman" w:eastAsia="Times New Roman" w:hAnsi="Times New Roman" w:cs="Times New Roman"/>
          <w:sz w:val="28"/>
          <w:szCs w:val="28"/>
          <w:lang w:eastAsia="bg-BG"/>
        </w:rPr>
      </w:pPr>
      <w:r w:rsidRPr="00C50E2F">
        <w:rPr>
          <w:rFonts w:ascii="Times New Roman" w:eastAsia="Times New Roman" w:hAnsi="Times New Roman" w:cs="Times New Roman"/>
          <w:sz w:val="28"/>
          <w:szCs w:val="28"/>
          <w:lang w:val="en-US" w:eastAsia="bg-BG"/>
        </w:rPr>
        <w:t>[2]</w:t>
      </w:r>
      <w:r w:rsidRPr="00C50E2F">
        <w:rPr>
          <w:rFonts w:ascii="Times New Roman" w:eastAsia="Times New Roman" w:hAnsi="Times New Roman" w:cs="Times New Roman"/>
          <w:sz w:val="28"/>
          <w:szCs w:val="28"/>
          <w:lang w:eastAsia="bg-BG"/>
        </w:rPr>
        <w:t xml:space="preserve"> </w:t>
      </w:r>
      <w:r w:rsidRPr="00C50E2F">
        <w:rPr>
          <w:rFonts w:ascii="Times New Roman" w:eastAsia="Times New Roman" w:hAnsi="Times New Roman" w:cs="Times New Roman"/>
          <w:caps/>
          <w:sz w:val="28"/>
          <w:szCs w:val="28"/>
          <w:lang w:eastAsia="bg-BG"/>
        </w:rPr>
        <w:t>Вичева, З.</w:t>
      </w:r>
      <w:r w:rsidRPr="00C50E2F">
        <w:rPr>
          <w:rFonts w:ascii="Times New Roman" w:eastAsia="Times New Roman" w:hAnsi="Times New Roman" w:cs="Times New Roman"/>
          <w:sz w:val="28"/>
          <w:szCs w:val="28"/>
          <w:lang w:eastAsia="bg-BG"/>
        </w:rPr>
        <w:t xml:space="preserve"> (2025)</w:t>
      </w:r>
      <w:r w:rsidR="000A39EE" w:rsidRPr="00C50E2F">
        <w:rPr>
          <w:rFonts w:ascii="Times New Roman" w:eastAsia="Times New Roman" w:hAnsi="Times New Roman" w:cs="Times New Roman"/>
          <w:sz w:val="28"/>
          <w:szCs w:val="28"/>
          <w:lang w:eastAsia="bg-BG"/>
        </w:rPr>
        <w:t>.</w:t>
      </w:r>
      <w:r w:rsidRPr="00C50E2F">
        <w:rPr>
          <w:rFonts w:ascii="Times New Roman" w:eastAsia="Times New Roman" w:hAnsi="Times New Roman" w:cs="Times New Roman"/>
          <w:sz w:val="28"/>
          <w:szCs w:val="28"/>
          <w:lang w:eastAsia="bg-BG"/>
        </w:rPr>
        <w:t xml:space="preserve"> </w:t>
      </w:r>
      <w:r w:rsidRPr="00C50E2F">
        <w:rPr>
          <w:rFonts w:ascii="Times New Roman" w:eastAsia="Times New Roman" w:hAnsi="Times New Roman" w:cs="Times New Roman"/>
          <w:i/>
          <w:sz w:val="28"/>
          <w:szCs w:val="28"/>
          <w:lang w:eastAsia="bg-BG"/>
        </w:rPr>
        <w:t>Математическо компетентностно иновиране при 6 – 7-годишните деца и готовността им за училище.</w:t>
      </w:r>
      <w:r w:rsidRPr="00C50E2F">
        <w:rPr>
          <w:rFonts w:ascii="Times New Roman" w:eastAsia="Times New Roman" w:hAnsi="Times New Roman" w:cs="Times New Roman"/>
          <w:sz w:val="28"/>
          <w:szCs w:val="28"/>
          <w:lang w:eastAsia="bg-BG"/>
        </w:rPr>
        <w:t xml:space="preserve"> Шумен</w:t>
      </w:r>
      <w:r w:rsidR="001D55D5" w:rsidRPr="00C50E2F">
        <w:rPr>
          <w:rFonts w:ascii="Times New Roman" w:eastAsia="Times New Roman" w:hAnsi="Times New Roman" w:cs="Times New Roman"/>
          <w:sz w:val="28"/>
          <w:szCs w:val="28"/>
          <w:lang w:eastAsia="bg-BG"/>
        </w:rPr>
        <w:t>: УИ „Епископ Константин Преславски“</w:t>
      </w:r>
      <w:r w:rsidRPr="00C50E2F">
        <w:rPr>
          <w:rFonts w:ascii="Times New Roman" w:eastAsia="Times New Roman" w:hAnsi="Times New Roman" w:cs="Times New Roman"/>
          <w:sz w:val="28"/>
          <w:szCs w:val="28"/>
          <w:lang w:eastAsia="bg-BG"/>
        </w:rPr>
        <w:t>, стр. 31.</w:t>
      </w:r>
    </w:p>
    <w:p w:rsidR="00C97D0B" w:rsidRPr="00C50E2F" w:rsidRDefault="00C97D0B" w:rsidP="000A39EE">
      <w:pPr>
        <w:spacing w:after="0"/>
        <w:ind w:firstLine="709"/>
        <w:jc w:val="both"/>
        <w:rPr>
          <w:rFonts w:ascii="Times New Roman" w:hAnsi="Times New Roman" w:cs="Times New Roman"/>
          <w:sz w:val="28"/>
          <w:szCs w:val="28"/>
        </w:rPr>
      </w:pPr>
      <w:r w:rsidRPr="00C50E2F">
        <w:rPr>
          <w:rFonts w:ascii="Times New Roman" w:hAnsi="Times New Roman" w:cs="Times New Roman"/>
          <w:sz w:val="28"/>
          <w:szCs w:val="28"/>
          <w:lang w:val="en-US"/>
        </w:rPr>
        <w:t>[3]</w:t>
      </w:r>
      <w:r w:rsidRPr="00C50E2F">
        <w:rPr>
          <w:rFonts w:ascii="Times New Roman" w:hAnsi="Times New Roman" w:cs="Times New Roman"/>
          <w:sz w:val="28"/>
          <w:szCs w:val="28"/>
        </w:rPr>
        <w:t xml:space="preserve"> </w:t>
      </w:r>
      <w:r w:rsidRPr="00C50E2F">
        <w:rPr>
          <w:rFonts w:ascii="Times New Roman" w:hAnsi="Times New Roman" w:cs="Times New Roman"/>
          <w:caps/>
          <w:sz w:val="28"/>
          <w:szCs w:val="28"/>
        </w:rPr>
        <w:t>Стоянова, М.</w:t>
      </w:r>
      <w:r w:rsidRPr="00C50E2F">
        <w:rPr>
          <w:rFonts w:ascii="Times New Roman" w:hAnsi="Times New Roman" w:cs="Times New Roman"/>
          <w:sz w:val="28"/>
          <w:szCs w:val="28"/>
        </w:rPr>
        <w:t xml:space="preserve"> (2026)</w:t>
      </w:r>
      <w:r w:rsidR="000A39EE" w:rsidRPr="00C50E2F">
        <w:rPr>
          <w:rFonts w:ascii="Times New Roman" w:hAnsi="Times New Roman" w:cs="Times New Roman"/>
          <w:sz w:val="28"/>
          <w:szCs w:val="28"/>
        </w:rPr>
        <w:t>.</w:t>
      </w:r>
      <w:r w:rsidRPr="00C50E2F">
        <w:rPr>
          <w:rFonts w:ascii="Times New Roman" w:hAnsi="Times New Roman" w:cs="Times New Roman"/>
          <w:sz w:val="28"/>
          <w:szCs w:val="28"/>
        </w:rPr>
        <w:t xml:space="preserve"> Социално-емоционална компетентност при ориентиране в света. </w:t>
      </w:r>
      <w:proofErr w:type="spellStart"/>
      <w:r w:rsidRPr="00C50E2F">
        <w:rPr>
          <w:rFonts w:ascii="Times New Roman" w:hAnsi="Times New Roman" w:cs="Times New Roman"/>
          <w:sz w:val="28"/>
          <w:szCs w:val="28"/>
        </w:rPr>
        <w:t>Авангарт</w:t>
      </w:r>
      <w:proofErr w:type="spellEnd"/>
      <w:r w:rsidRPr="00C50E2F">
        <w:rPr>
          <w:rFonts w:ascii="Times New Roman" w:hAnsi="Times New Roman" w:cs="Times New Roman"/>
          <w:sz w:val="28"/>
          <w:szCs w:val="28"/>
        </w:rPr>
        <w:t xml:space="preserve"> </w:t>
      </w:r>
      <w:proofErr w:type="spellStart"/>
      <w:r w:rsidRPr="00C50E2F">
        <w:rPr>
          <w:rFonts w:ascii="Times New Roman" w:hAnsi="Times New Roman" w:cs="Times New Roman"/>
          <w:sz w:val="28"/>
          <w:szCs w:val="28"/>
        </w:rPr>
        <w:t>принт</w:t>
      </w:r>
      <w:proofErr w:type="spellEnd"/>
      <w:r w:rsidRPr="00C50E2F">
        <w:rPr>
          <w:rFonts w:ascii="Times New Roman" w:hAnsi="Times New Roman" w:cs="Times New Roman"/>
          <w:sz w:val="28"/>
          <w:szCs w:val="28"/>
        </w:rPr>
        <w:t xml:space="preserve"> – Русе, стр. 41.</w:t>
      </w:r>
    </w:p>
    <w:p w:rsidR="00C97D0B" w:rsidRPr="00C50E2F" w:rsidRDefault="00C97D0B" w:rsidP="000A39EE">
      <w:pPr>
        <w:spacing w:after="0"/>
        <w:ind w:firstLine="709"/>
        <w:jc w:val="both"/>
        <w:rPr>
          <w:rFonts w:ascii="PT Sans" w:hAnsi="PT Sans"/>
          <w:sz w:val="28"/>
          <w:szCs w:val="28"/>
          <w:shd w:val="clear" w:color="auto" w:fill="FFFFFF"/>
        </w:rPr>
      </w:pPr>
      <w:r w:rsidRPr="00C50E2F">
        <w:rPr>
          <w:rFonts w:ascii="Times New Roman" w:hAnsi="Times New Roman" w:cs="Times New Roman"/>
          <w:sz w:val="28"/>
          <w:szCs w:val="28"/>
          <w:lang w:val="en-US"/>
        </w:rPr>
        <w:t xml:space="preserve">[4] </w:t>
      </w:r>
      <w:r w:rsidR="000A39EE" w:rsidRPr="00C50E2F">
        <w:rPr>
          <w:rFonts w:ascii="PT Sans" w:hAnsi="PT Sans"/>
          <w:caps/>
          <w:sz w:val="28"/>
          <w:szCs w:val="28"/>
          <w:shd w:val="clear" w:color="auto" w:fill="FFFFFF"/>
        </w:rPr>
        <w:t>КОНАКЧИЕВА</w:t>
      </w:r>
      <w:r w:rsidRPr="00C50E2F">
        <w:rPr>
          <w:rFonts w:ascii="PT Sans" w:hAnsi="PT Sans"/>
          <w:caps/>
          <w:sz w:val="28"/>
          <w:szCs w:val="28"/>
          <w:shd w:val="clear" w:color="auto" w:fill="FFFFFF"/>
        </w:rPr>
        <w:t>, П.</w:t>
      </w:r>
      <w:r w:rsidRPr="00C50E2F">
        <w:rPr>
          <w:rFonts w:ascii="PT Sans" w:hAnsi="PT Sans"/>
          <w:sz w:val="28"/>
          <w:szCs w:val="28"/>
          <w:shd w:val="clear" w:color="auto" w:fill="FFFFFF"/>
        </w:rPr>
        <w:t> (2022)</w:t>
      </w:r>
      <w:r w:rsidR="000A39EE" w:rsidRPr="00C50E2F">
        <w:rPr>
          <w:rFonts w:ascii="PT Sans" w:hAnsi="PT Sans"/>
          <w:sz w:val="28"/>
          <w:szCs w:val="28"/>
          <w:shd w:val="clear" w:color="auto" w:fill="FFFFFF"/>
        </w:rPr>
        <w:t>.</w:t>
      </w:r>
      <w:r w:rsidRPr="00C50E2F">
        <w:rPr>
          <w:rFonts w:ascii="PT Sans" w:hAnsi="PT Sans"/>
          <w:sz w:val="28"/>
          <w:szCs w:val="28"/>
          <w:shd w:val="clear" w:color="auto" w:fill="FFFFFF"/>
        </w:rPr>
        <w:t> </w:t>
      </w:r>
      <w:r w:rsidRPr="00C50E2F">
        <w:rPr>
          <w:rFonts w:ascii="PT Sans" w:hAnsi="PT Sans"/>
          <w:i/>
          <w:iCs/>
          <w:sz w:val="28"/>
          <w:szCs w:val="28"/>
          <w:shd w:val="clear" w:color="auto" w:fill="FFFFFF"/>
        </w:rPr>
        <w:t>Традиции и иновации в предучилищното екологично образование. </w:t>
      </w:r>
      <w:r w:rsidRPr="00C50E2F">
        <w:rPr>
          <w:rFonts w:ascii="PT Sans" w:hAnsi="PT Sans"/>
          <w:sz w:val="28"/>
          <w:szCs w:val="28"/>
          <w:shd w:val="clear" w:color="auto" w:fill="FFFFFF"/>
        </w:rPr>
        <w:t>Велико Търново: ИТИ, 356 с. , стр. 20.</w:t>
      </w:r>
    </w:p>
    <w:p w:rsidR="00C97D0B" w:rsidRPr="00C50E2F" w:rsidRDefault="00C97D0B" w:rsidP="000A39EE">
      <w:pPr>
        <w:spacing w:after="0"/>
        <w:ind w:firstLine="709"/>
        <w:jc w:val="both"/>
        <w:rPr>
          <w:rFonts w:ascii="PT Sans" w:hAnsi="PT Sans"/>
          <w:sz w:val="28"/>
          <w:szCs w:val="28"/>
          <w:shd w:val="clear" w:color="auto" w:fill="FFFFFF"/>
          <w:lang w:val="en-US"/>
        </w:rPr>
      </w:pPr>
      <w:r w:rsidRPr="00C50E2F">
        <w:rPr>
          <w:rFonts w:ascii="PT Sans" w:hAnsi="PT Sans"/>
          <w:sz w:val="28"/>
          <w:szCs w:val="28"/>
          <w:shd w:val="clear" w:color="auto" w:fill="FFFFFF"/>
          <w:lang w:val="en-US"/>
        </w:rPr>
        <w:t xml:space="preserve">[5] </w:t>
      </w:r>
      <w:r w:rsidRPr="00C50E2F">
        <w:rPr>
          <w:rFonts w:ascii="PT Sans" w:hAnsi="PT Sans"/>
          <w:caps/>
          <w:sz w:val="28"/>
          <w:szCs w:val="28"/>
          <w:shd w:val="clear" w:color="auto" w:fill="FFFFFF"/>
        </w:rPr>
        <w:t>Попова, Д</w:t>
      </w:r>
      <w:r w:rsidRPr="00C50E2F">
        <w:rPr>
          <w:rFonts w:ascii="PT Sans" w:hAnsi="PT Sans"/>
          <w:caps/>
          <w:sz w:val="28"/>
          <w:szCs w:val="28"/>
          <w:shd w:val="clear" w:color="auto" w:fill="FFFFFF"/>
          <w:lang w:val="en-US"/>
        </w:rPr>
        <w:t>.</w:t>
      </w:r>
      <w:r w:rsidRPr="00C50E2F">
        <w:rPr>
          <w:rFonts w:ascii="PT Sans" w:hAnsi="PT Sans"/>
          <w:sz w:val="28"/>
          <w:szCs w:val="28"/>
          <w:shd w:val="clear" w:color="auto" w:fill="FFFFFF"/>
          <w:lang w:val="en-US"/>
        </w:rPr>
        <w:t xml:space="preserve"> </w:t>
      </w:r>
      <w:r w:rsidRPr="00C50E2F">
        <w:rPr>
          <w:rFonts w:ascii="PT Sans" w:hAnsi="PT Sans"/>
          <w:sz w:val="28"/>
          <w:szCs w:val="28"/>
          <w:shd w:val="clear" w:color="auto" w:fill="FFFFFF"/>
        </w:rPr>
        <w:t>(2022)</w:t>
      </w:r>
      <w:r w:rsidR="000A39EE" w:rsidRPr="00C50E2F">
        <w:rPr>
          <w:rFonts w:ascii="PT Sans" w:hAnsi="PT Sans"/>
          <w:sz w:val="28"/>
          <w:szCs w:val="28"/>
          <w:shd w:val="clear" w:color="auto" w:fill="FFFFFF"/>
        </w:rPr>
        <w:t>.</w:t>
      </w:r>
      <w:r w:rsidRPr="00C50E2F">
        <w:rPr>
          <w:rFonts w:ascii="PT Sans" w:hAnsi="PT Sans"/>
          <w:sz w:val="28"/>
          <w:szCs w:val="28"/>
          <w:shd w:val="clear" w:color="auto" w:fill="FFFFFF"/>
        </w:rPr>
        <w:t> </w:t>
      </w:r>
      <w:r w:rsidRPr="00C50E2F">
        <w:rPr>
          <w:rFonts w:ascii="PT Sans" w:hAnsi="PT Sans"/>
          <w:i/>
          <w:iCs/>
          <w:sz w:val="28"/>
          <w:szCs w:val="28"/>
          <w:shd w:val="clear" w:color="auto" w:fill="FFFFFF"/>
        </w:rPr>
        <w:t>Ролята на сюжетно-ролевата игра в логопедичната практ</w:t>
      </w:r>
      <w:r w:rsidR="000A39EE" w:rsidRPr="00C50E2F">
        <w:rPr>
          <w:rFonts w:ascii="PT Sans" w:hAnsi="PT Sans"/>
          <w:i/>
          <w:iCs/>
          <w:sz w:val="28"/>
          <w:szCs w:val="28"/>
          <w:shd w:val="clear" w:color="auto" w:fill="FFFFFF"/>
        </w:rPr>
        <w:t>и</w:t>
      </w:r>
      <w:r w:rsidRPr="00C50E2F">
        <w:rPr>
          <w:rFonts w:ascii="PT Sans" w:hAnsi="PT Sans"/>
          <w:i/>
          <w:iCs/>
          <w:sz w:val="28"/>
          <w:szCs w:val="28"/>
          <w:shd w:val="clear" w:color="auto" w:fill="FFFFFF"/>
        </w:rPr>
        <w:t>ка при деца в предучилищна възраст.</w:t>
      </w:r>
      <w:r w:rsidRPr="00C50E2F">
        <w:rPr>
          <w:rFonts w:ascii="PT Sans" w:hAnsi="PT Sans"/>
          <w:sz w:val="28"/>
          <w:szCs w:val="28"/>
          <w:shd w:val="clear" w:color="auto" w:fill="FFFFFF"/>
        </w:rPr>
        <w:t xml:space="preserve"> Вечното и непреходното в предучилищното възпитание: сборник доклади от Кръгла маса, проведена на 13.12.2019 г. във връзка със 100-годишнината на проф. </w:t>
      </w:r>
      <w:proofErr w:type="spellStart"/>
      <w:r w:rsidRPr="00C50E2F">
        <w:rPr>
          <w:rFonts w:ascii="PT Sans" w:hAnsi="PT Sans"/>
          <w:sz w:val="28"/>
          <w:szCs w:val="28"/>
          <w:shd w:val="clear" w:color="auto" w:fill="FFFFFF"/>
        </w:rPr>
        <w:t>д.п.н</w:t>
      </w:r>
      <w:proofErr w:type="spellEnd"/>
      <w:r w:rsidRPr="00C50E2F">
        <w:rPr>
          <w:rFonts w:ascii="PT Sans" w:hAnsi="PT Sans"/>
          <w:sz w:val="28"/>
          <w:szCs w:val="28"/>
          <w:shd w:val="clear" w:color="auto" w:fill="FFFFFF"/>
        </w:rPr>
        <w:t>. Елка Петрова-</w:t>
      </w:r>
      <w:proofErr w:type="spellStart"/>
      <w:r w:rsidRPr="00C50E2F">
        <w:rPr>
          <w:rFonts w:ascii="PT Sans" w:hAnsi="PT Sans"/>
          <w:sz w:val="28"/>
          <w:szCs w:val="28"/>
          <w:shd w:val="clear" w:color="auto" w:fill="FFFFFF"/>
        </w:rPr>
        <w:t>Кътова</w:t>
      </w:r>
      <w:proofErr w:type="spellEnd"/>
      <w:r w:rsidR="000A39EE" w:rsidRPr="00C50E2F">
        <w:rPr>
          <w:rFonts w:ascii="PT Sans" w:hAnsi="PT Sans"/>
          <w:sz w:val="28"/>
          <w:szCs w:val="28"/>
          <w:shd w:val="clear" w:color="auto" w:fill="FFFFFF"/>
        </w:rPr>
        <w:t xml:space="preserve">, </w:t>
      </w:r>
      <w:r w:rsidR="006C3D64" w:rsidRPr="00C50E2F">
        <w:rPr>
          <w:rFonts w:ascii="PT Sans" w:hAnsi="PT Sans"/>
          <w:sz w:val="28"/>
          <w:szCs w:val="28"/>
          <w:shd w:val="clear" w:color="auto" w:fill="FFFFFF"/>
        </w:rPr>
        <w:t xml:space="preserve">с. 245 </w:t>
      </w:r>
      <w:r w:rsidR="00D43549" w:rsidRPr="00C50E2F">
        <w:rPr>
          <w:rFonts w:ascii="PT Sans" w:hAnsi="PT Sans"/>
          <w:sz w:val="28"/>
          <w:szCs w:val="28"/>
          <w:shd w:val="clear" w:color="auto" w:fill="FFFFFF"/>
        </w:rPr>
        <w:t>–</w:t>
      </w:r>
      <w:r w:rsidR="006C3D64" w:rsidRPr="00C50E2F">
        <w:rPr>
          <w:rFonts w:ascii="PT Sans" w:hAnsi="PT Sans"/>
          <w:sz w:val="28"/>
          <w:szCs w:val="28"/>
          <w:shd w:val="clear" w:color="auto" w:fill="FFFFFF"/>
        </w:rPr>
        <w:t xml:space="preserve"> 2</w:t>
      </w:r>
      <w:r w:rsidR="00D43549" w:rsidRPr="00C50E2F">
        <w:rPr>
          <w:rFonts w:ascii="PT Sans" w:hAnsi="PT Sans"/>
          <w:sz w:val="28"/>
          <w:szCs w:val="28"/>
          <w:shd w:val="clear" w:color="auto" w:fill="FFFFFF"/>
        </w:rPr>
        <w:t>54,</w:t>
      </w:r>
      <w:r w:rsidRPr="00C50E2F">
        <w:rPr>
          <w:rFonts w:ascii="PT Sans" w:hAnsi="PT Sans"/>
          <w:sz w:val="28"/>
          <w:szCs w:val="28"/>
          <w:shd w:val="clear" w:color="auto" w:fill="FFFFFF"/>
        </w:rPr>
        <w:t xml:space="preserve"> стр. 248.</w:t>
      </w:r>
    </w:p>
    <w:p w:rsidR="00C97D0B" w:rsidRPr="00C50E2F" w:rsidRDefault="00C97D0B" w:rsidP="000A39EE">
      <w:pPr>
        <w:spacing w:after="0"/>
        <w:ind w:firstLine="709"/>
        <w:jc w:val="both"/>
        <w:rPr>
          <w:rFonts w:ascii="Times New Roman" w:hAnsi="Times New Roman" w:cs="Times New Roman"/>
          <w:sz w:val="28"/>
          <w:szCs w:val="28"/>
          <w:shd w:val="clear" w:color="auto" w:fill="FFFFFF"/>
        </w:rPr>
      </w:pPr>
      <w:r w:rsidRPr="00C50E2F">
        <w:rPr>
          <w:rFonts w:ascii="Times New Roman" w:hAnsi="Times New Roman" w:cs="Times New Roman"/>
          <w:sz w:val="28"/>
          <w:szCs w:val="28"/>
          <w:lang w:val="en-US"/>
        </w:rPr>
        <w:t>[6]</w:t>
      </w:r>
      <w:r w:rsidRPr="00C50E2F">
        <w:rPr>
          <w:rFonts w:ascii="Times New Roman" w:hAnsi="Times New Roman" w:cs="Times New Roman"/>
          <w:sz w:val="28"/>
          <w:szCs w:val="28"/>
        </w:rPr>
        <w:t xml:space="preserve"> </w:t>
      </w:r>
      <w:r w:rsidRPr="00C50E2F">
        <w:rPr>
          <w:rFonts w:ascii="Times New Roman" w:hAnsi="Times New Roman" w:cs="Times New Roman"/>
          <w:caps/>
          <w:sz w:val="28"/>
          <w:szCs w:val="28"/>
          <w:shd w:val="clear" w:color="auto" w:fill="FFFFFF"/>
        </w:rPr>
        <w:t>Цанева, Й.</w:t>
      </w:r>
      <w:r w:rsidRPr="00C50E2F">
        <w:rPr>
          <w:rFonts w:ascii="Times New Roman" w:hAnsi="Times New Roman" w:cs="Times New Roman"/>
          <w:sz w:val="28"/>
          <w:szCs w:val="28"/>
          <w:shd w:val="clear" w:color="auto" w:fill="FFFFFF"/>
        </w:rPr>
        <w:t> (2020)</w:t>
      </w:r>
      <w:r w:rsidR="00683494" w:rsidRPr="00C50E2F">
        <w:rPr>
          <w:rFonts w:ascii="Times New Roman" w:hAnsi="Times New Roman" w:cs="Times New Roman"/>
          <w:sz w:val="28"/>
          <w:szCs w:val="28"/>
          <w:shd w:val="clear" w:color="auto" w:fill="FFFFFF"/>
        </w:rPr>
        <w:t>.</w:t>
      </w:r>
      <w:r w:rsidRPr="00C50E2F">
        <w:rPr>
          <w:rFonts w:ascii="Times New Roman" w:hAnsi="Times New Roman" w:cs="Times New Roman"/>
          <w:sz w:val="28"/>
          <w:szCs w:val="28"/>
          <w:shd w:val="clear" w:color="auto" w:fill="FFFFFF"/>
        </w:rPr>
        <w:t> </w:t>
      </w:r>
      <w:proofErr w:type="spellStart"/>
      <w:r w:rsidRPr="00C50E2F">
        <w:rPr>
          <w:rFonts w:ascii="Times New Roman" w:hAnsi="Times New Roman" w:cs="Times New Roman"/>
          <w:i/>
          <w:iCs/>
          <w:sz w:val="28"/>
          <w:szCs w:val="28"/>
          <w:shd w:val="clear" w:color="auto" w:fill="FFFFFF"/>
        </w:rPr>
        <w:t>Приказкотерапията</w:t>
      </w:r>
      <w:proofErr w:type="spellEnd"/>
      <w:r w:rsidRPr="00C50E2F">
        <w:rPr>
          <w:rFonts w:ascii="Times New Roman" w:hAnsi="Times New Roman" w:cs="Times New Roman"/>
          <w:i/>
          <w:iCs/>
          <w:sz w:val="28"/>
          <w:szCs w:val="28"/>
          <w:shd w:val="clear" w:color="auto" w:fill="FFFFFF"/>
        </w:rPr>
        <w:t xml:space="preserve"> в помощ на педагога при работа с деца в депресивни състояния. В </w:t>
      </w:r>
      <w:proofErr w:type="spellStart"/>
      <w:r w:rsidRPr="00C50E2F">
        <w:rPr>
          <w:rFonts w:ascii="Times New Roman" w:hAnsi="Times New Roman" w:cs="Times New Roman"/>
          <w:i/>
          <w:iCs/>
          <w:sz w:val="28"/>
          <w:szCs w:val="28"/>
          <w:shd w:val="clear" w:color="auto" w:fill="FFFFFF"/>
        </w:rPr>
        <w:t>сб</w:t>
      </w:r>
      <w:proofErr w:type="spellEnd"/>
      <w:r w:rsidRPr="00C50E2F">
        <w:rPr>
          <w:rFonts w:ascii="Times New Roman" w:hAnsi="Times New Roman" w:cs="Times New Roman"/>
          <w:i/>
          <w:iCs/>
          <w:sz w:val="28"/>
          <w:szCs w:val="28"/>
          <w:shd w:val="clear" w:color="auto" w:fill="FFFFFF"/>
        </w:rPr>
        <w:t xml:space="preserve">. Актуални проблеми на сигурността, Велико Търново, 22 – 23 октомври 2020, Велико Търново, Издателски комплекс на НВУ „Васил Левски“, с. 154 </w:t>
      </w:r>
      <w:r w:rsidR="00683494" w:rsidRPr="00C50E2F">
        <w:rPr>
          <w:rFonts w:ascii="Times New Roman" w:hAnsi="Times New Roman" w:cs="Times New Roman"/>
          <w:i/>
          <w:iCs/>
          <w:sz w:val="28"/>
          <w:szCs w:val="28"/>
          <w:shd w:val="clear" w:color="auto" w:fill="FFFFFF"/>
        </w:rPr>
        <w:t>–</w:t>
      </w:r>
      <w:r w:rsidRPr="00C50E2F">
        <w:rPr>
          <w:rFonts w:ascii="Times New Roman" w:hAnsi="Times New Roman" w:cs="Times New Roman"/>
          <w:i/>
          <w:iCs/>
          <w:sz w:val="28"/>
          <w:szCs w:val="28"/>
          <w:shd w:val="clear" w:color="auto" w:fill="FFFFFF"/>
        </w:rPr>
        <w:t xml:space="preserve"> 160, </w:t>
      </w:r>
      <w:r w:rsidRPr="00C50E2F">
        <w:rPr>
          <w:rFonts w:ascii="Times New Roman" w:hAnsi="Times New Roman" w:cs="Times New Roman"/>
          <w:sz w:val="28"/>
          <w:szCs w:val="28"/>
          <w:shd w:val="clear" w:color="auto" w:fill="FFFFFF"/>
        </w:rPr>
        <w:t>стр. 156.</w:t>
      </w:r>
    </w:p>
    <w:p w:rsidR="00C97D0B" w:rsidRPr="00C50E2F" w:rsidRDefault="00C97D0B" w:rsidP="000A39EE">
      <w:pPr>
        <w:spacing w:after="0"/>
        <w:ind w:firstLine="709"/>
        <w:jc w:val="both"/>
        <w:rPr>
          <w:rFonts w:ascii="Times New Roman" w:hAnsi="Times New Roman" w:cs="Times New Roman"/>
          <w:sz w:val="28"/>
          <w:szCs w:val="28"/>
          <w:shd w:val="clear" w:color="auto" w:fill="FFFFFF"/>
        </w:rPr>
      </w:pPr>
      <w:r w:rsidRPr="00C50E2F">
        <w:rPr>
          <w:sz w:val="28"/>
          <w:szCs w:val="28"/>
          <w:lang w:val="en-US"/>
        </w:rPr>
        <w:t>[7]</w:t>
      </w:r>
      <w:r w:rsidRPr="00C50E2F">
        <w:rPr>
          <w:rFonts w:ascii="Times New Roman" w:hAnsi="Times New Roman" w:cs="Times New Roman"/>
          <w:sz w:val="28"/>
          <w:szCs w:val="28"/>
        </w:rPr>
        <w:t xml:space="preserve"> </w:t>
      </w:r>
      <w:r w:rsidR="00683494" w:rsidRPr="00C50E2F">
        <w:rPr>
          <w:rFonts w:ascii="Times New Roman" w:hAnsi="Times New Roman" w:cs="Times New Roman"/>
          <w:caps/>
          <w:sz w:val="28"/>
          <w:szCs w:val="28"/>
          <w:shd w:val="clear" w:color="auto" w:fill="FFFFFF"/>
        </w:rPr>
        <w:t>КОНАКЧИЕВА</w:t>
      </w:r>
      <w:r w:rsidRPr="00C50E2F">
        <w:rPr>
          <w:rFonts w:ascii="Times New Roman" w:hAnsi="Times New Roman" w:cs="Times New Roman"/>
          <w:caps/>
          <w:sz w:val="28"/>
          <w:szCs w:val="28"/>
          <w:shd w:val="clear" w:color="auto" w:fill="FFFFFF"/>
        </w:rPr>
        <w:t>, П.</w:t>
      </w:r>
      <w:r w:rsidRPr="00C50E2F">
        <w:rPr>
          <w:rFonts w:ascii="Times New Roman" w:hAnsi="Times New Roman" w:cs="Times New Roman"/>
          <w:sz w:val="28"/>
          <w:szCs w:val="28"/>
          <w:shd w:val="clear" w:color="auto" w:fill="FFFFFF"/>
        </w:rPr>
        <w:t> (2023)</w:t>
      </w:r>
      <w:r w:rsidR="00683494" w:rsidRPr="00C50E2F">
        <w:rPr>
          <w:rFonts w:ascii="Times New Roman" w:hAnsi="Times New Roman" w:cs="Times New Roman"/>
          <w:sz w:val="28"/>
          <w:szCs w:val="28"/>
          <w:shd w:val="clear" w:color="auto" w:fill="FFFFFF"/>
        </w:rPr>
        <w:t>.</w:t>
      </w:r>
      <w:r w:rsidRPr="00C50E2F">
        <w:rPr>
          <w:rFonts w:ascii="Times New Roman" w:hAnsi="Times New Roman" w:cs="Times New Roman"/>
          <w:sz w:val="28"/>
          <w:szCs w:val="28"/>
          <w:shd w:val="clear" w:color="auto" w:fill="FFFFFF"/>
        </w:rPr>
        <w:t> </w:t>
      </w:r>
      <w:r w:rsidRPr="00C50E2F">
        <w:rPr>
          <w:rFonts w:ascii="Times New Roman" w:hAnsi="Times New Roman" w:cs="Times New Roman"/>
          <w:i/>
          <w:iCs/>
          <w:sz w:val="28"/>
          <w:szCs w:val="28"/>
          <w:shd w:val="clear" w:color="auto" w:fill="FFFFFF"/>
        </w:rPr>
        <w:t>Репери за иновиране на предучилищното екологично образование. </w:t>
      </w:r>
      <w:proofErr w:type="spellStart"/>
      <w:r w:rsidRPr="00C50E2F">
        <w:rPr>
          <w:rFonts w:ascii="Times New Roman" w:hAnsi="Times New Roman" w:cs="Times New Roman"/>
          <w:sz w:val="28"/>
          <w:szCs w:val="28"/>
          <w:shd w:val="clear" w:color="auto" w:fill="FFFFFF"/>
        </w:rPr>
        <w:t>Сб</w:t>
      </w:r>
      <w:proofErr w:type="spellEnd"/>
      <w:r w:rsidRPr="00C50E2F">
        <w:rPr>
          <w:rFonts w:ascii="Times New Roman" w:hAnsi="Times New Roman" w:cs="Times New Roman"/>
          <w:sz w:val="28"/>
          <w:szCs w:val="28"/>
          <w:shd w:val="clear" w:color="auto" w:fill="FFFFFF"/>
        </w:rPr>
        <w:t>. 75 години световна организация ОМЕП: предучилищното образование в България в перспективата на международния педагогически опит. 16 – 17 март, Русе, съставител проф. дн Юлия Дончева. Русе: Регионална библиотека „Любен Каравелов“, с. 191 – 208.  стр. 205.</w:t>
      </w:r>
    </w:p>
    <w:p w:rsidR="00C97D0B" w:rsidRPr="00C50E2F" w:rsidRDefault="00C97D0B" w:rsidP="000A39EE">
      <w:pPr>
        <w:spacing w:after="0"/>
        <w:ind w:firstLine="709"/>
        <w:jc w:val="both"/>
        <w:rPr>
          <w:rFonts w:ascii="Times New Roman" w:hAnsi="Times New Roman" w:cs="Times New Roman"/>
          <w:b/>
          <w:sz w:val="28"/>
          <w:szCs w:val="28"/>
        </w:rPr>
      </w:pPr>
    </w:p>
    <w:p w:rsidR="00C97D0B" w:rsidRPr="00C50E2F" w:rsidRDefault="00C97D0B" w:rsidP="000A39EE">
      <w:pPr>
        <w:spacing w:after="0"/>
        <w:ind w:firstLine="709"/>
        <w:jc w:val="both"/>
        <w:rPr>
          <w:rFonts w:ascii="Times New Roman" w:hAnsi="Times New Roman" w:cs="Times New Roman"/>
          <w:b/>
          <w:sz w:val="28"/>
          <w:szCs w:val="28"/>
        </w:rPr>
      </w:pPr>
    </w:p>
    <w:p w:rsidR="00C97D0B" w:rsidRPr="00C50E2F" w:rsidRDefault="00C97D0B" w:rsidP="000A39EE">
      <w:pPr>
        <w:spacing w:after="0" w:line="240" w:lineRule="auto"/>
        <w:ind w:firstLine="720"/>
        <w:jc w:val="both"/>
        <w:rPr>
          <w:rFonts w:ascii="Times New Roman" w:eastAsia="Calibri" w:hAnsi="Times New Roman" w:cs="Times New Roman"/>
          <w:sz w:val="24"/>
          <w:szCs w:val="24"/>
        </w:rPr>
      </w:pPr>
      <w:r w:rsidRPr="00C50E2F">
        <w:rPr>
          <w:rFonts w:ascii="Times New Roman" w:eastAsia="Calibri" w:hAnsi="Times New Roman" w:cs="Times New Roman"/>
          <w:sz w:val="24"/>
          <w:szCs w:val="24"/>
        </w:rPr>
        <w:t>доц. д-р Деляна Христова Чуховска</w:t>
      </w:r>
    </w:p>
    <w:p w:rsidR="00C97D0B" w:rsidRPr="00C50E2F" w:rsidRDefault="00C97D0B" w:rsidP="000A39EE">
      <w:pPr>
        <w:spacing w:after="0" w:line="240" w:lineRule="auto"/>
        <w:ind w:firstLine="720"/>
        <w:jc w:val="both"/>
        <w:rPr>
          <w:rFonts w:ascii="Times New Roman" w:eastAsia="Calibri" w:hAnsi="Times New Roman" w:cs="Times New Roman"/>
          <w:sz w:val="24"/>
          <w:szCs w:val="24"/>
        </w:rPr>
      </w:pPr>
      <w:r w:rsidRPr="00C50E2F">
        <w:rPr>
          <w:rFonts w:ascii="Times New Roman" w:eastAsia="Calibri" w:hAnsi="Times New Roman" w:cs="Times New Roman"/>
          <w:sz w:val="24"/>
          <w:szCs w:val="24"/>
        </w:rPr>
        <w:t>ВТУ „Св. св. Кирил и Методий“</w:t>
      </w:r>
    </w:p>
    <w:p w:rsidR="00C97D0B" w:rsidRPr="00C50E2F" w:rsidRDefault="00C97D0B" w:rsidP="000A39EE">
      <w:pPr>
        <w:spacing w:after="0" w:line="240" w:lineRule="auto"/>
        <w:ind w:firstLine="720"/>
        <w:jc w:val="both"/>
        <w:rPr>
          <w:rFonts w:ascii="Times New Roman" w:eastAsia="Calibri" w:hAnsi="Times New Roman" w:cs="Times New Roman"/>
          <w:sz w:val="28"/>
          <w:szCs w:val="28"/>
        </w:rPr>
      </w:pPr>
      <w:r w:rsidRPr="00C50E2F">
        <w:rPr>
          <w:rFonts w:ascii="Times New Roman" w:eastAsia="Calibri" w:hAnsi="Times New Roman" w:cs="Times New Roman"/>
          <w:sz w:val="24"/>
          <w:szCs w:val="24"/>
          <w:lang w:val="en-US"/>
        </w:rPr>
        <w:t>e-mail</w:t>
      </w:r>
      <w:r w:rsidRPr="00C50E2F">
        <w:rPr>
          <w:rFonts w:ascii="Times New Roman" w:eastAsia="Calibri" w:hAnsi="Times New Roman" w:cs="Times New Roman"/>
          <w:sz w:val="24"/>
          <w:szCs w:val="24"/>
        </w:rPr>
        <w:t>:</w:t>
      </w:r>
      <w:r w:rsidRPr="00C50E2F">
        <w:rPr>
          <w:rFonts w:ascii="PT Sans" w:hAnsi="PT Sans"/>
          <w:sz w:val="21"/>
          <w:szCs w:val="21"/>
          <w:shd w:val="clear" w:color="auto" w:fill="FFFFFF"/>
        </w:rPr>
        <w:t xml:space="preserve"> </w:t>
      </w:r>
      <w:proofErr w:type="spellStart"/>
      <w:r w:rsidRPr="00C50E2F">
        <w:rPr>
          <w:rFonts w:ascii="PT Sans" w:hAnsi="PT Sans"/>
          <w:sz w:val="21"/>
          <w:szCs w:val="21"/>
          <w:shd w:val="clear" w:color="auto" w:fill="FFFFFF"/>
        </w:rPr>
        <w:t>d.chuhovska</w:t>
      </w:r>
      <w:proofErr w:type="spellEnd"/>
      <w:r w:rsidRPr="00C50E2F">
        <w:rPr>
          <w:rFonts w:ascii="PT Sans" w:hAnsi="PT Sans"/>
          <w:sz w:val="21"/>
          <w:szCs w:val="21"/>
          <w:shd w:val="clear" w:color="auto" w:fill="FFFFFF"/>
          <w:lang w:val="en-US"/>
        </w:rPr>
        <w:t>@</w:t>
      </w:r>
      <w:r w:rsidRPr="00C50E2F">
        <w:rPr>
          <w:rFonts w:ascii="PT Sans" w:hAnsi="PT Sans"/>
          <w:sz w:val="21"/>
          <w:szCs w:val="21"/>
          <w:shd w:val="clear" w:color="auto" w:fill="FFFFFF"/>
        </w:rPr>
        <w:t>ts.uni-vt.bg</w:t>
      </w:r>
    </w:p>
    <w:p w:rsidR="00C97D0B" w:rsidRPr="00C50E2F" w:rsidRDefault="00C97D0B" w:rsidP="000A39EE">
      <w:pPr>
        <w:spacing w:after="0"/>
        <w:ind w:firstLine="709"/>
        <w:jc w:val="both"/>
        <w:rPr>
          <w:rFonts w:ascii="Times New Roman" w:hAnsi="Times New Roman" w:cs="Times New Roman"/>
          <w:b/>
          <w:sz w:val="28"/>
          <w:szCs w:val="28"/>
        </w:rPr>
      </w:pPr>
    </w:p>
    <w:p w:rsidR="00C97D0B" w:rsidRPr="00C50E2F" w:rsidRDefault="00C97D0B" w:rsidP="000A39EE">
      <w:pPr>
        <w:spacing w:after="0"/>
        <w:ind w:firstLine="709"/>
        <w:jc w:val="both"/>
        <w:rPr>
          <w:rFonts w:ascii="Times New Roman" w:hAnsi="Times New Roman" w:cs="Times New Roman"/>
          <w:b/>
          <w:sz w:val="28"/>
          <w:szCs w:val="28"/>
        </w:rPr>
      </w:pPr>
    </w:p>
    <w:p w:rsidR="00C97D0B" w:rsidRPr="00C50E2F" w:rsidRDefault="00C97D0B" w:rsidP="000A39EE">
      <w:pPr>
        <w:spacing w:after="0"/>
        <w:ind w:firstLine="709"/>
        <w:jc w:val="both"/>
        <w:rPr>
          <w:rFonts w:ascii="Times New Roman" w:hAnsi="Times New Roman" w:cs="Times New Roman"/>
          <w:b/>
          <w:sz w:val="28"/>
          <w:szCs w:val="28"/>
        </w:rPr>
      </w:pPr>
    </w:p>
    <w:p w:rsidR="00C97D0B" w:rsidRPr="00C50E2F" w:rsidRDefault="00C97D0B" w:rsidP="000A39EE">
      <w:pPr>
        <w:spacing w:after="0"/>
        <w:ind w:firstLine="709"/>
        <w:jc w:val="both"/>
        <w:rPr>
          <w:rFonts w:ascii="Times New Roman" w:hAnsi="Times New Roman" w:cs="Times New Roman"/>
          <w:b/>
          <w:sz w:val="28"/>
          <w:szCs w:val="28"/>
        </w:rPr>
      </w:pPr>
      <w:bookmarkStart w:id="0" w:name="_GoBack"/>
      <w:bookmarkEnd w:id="0"/>
    </w:p>
    <w:sectPr w:rsidR="00C97D0B" w:rsidRPr="00C50E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T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D1872"/>
    <w:multiLevelType w:val="hybridMultilevel"/>
    <w:tmpl w:val="B4A0DB3C"/>
    <w:lvl w:ilvl="0" w:tplc="4B52DFF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D0B"/>
    <w:rsid w:val="00013355"/>
    <w:rsid w:val="000A39EE"/>
    <w:rsid w:val="00196DAD"/>
    <w:rsid w:val="001D55D5"/>
    <w:rsid w:val="002F4689"/>
    <w:rsid w:val="004201E2"/>
    <w:rsid w:val="004425C3"/>
    <w:rsid w:val="004A34A6"/>
    <w:rsid w:val="00545F2E"/>
    <w:rsid w:val="00636C06"/>
    <w:rsid w:val="00683494"/>
    <w:rsid w:val="006C3D64"/>
    <w:rsid w:val="007C1512"/>
    <w:rsid w:val="008B2DED"/>
    <w:rsid w:val="008C7CEA"/>
    <w:rsid w:val="0093356D"/>
    <w:rsid w:val="00B105F3"/>
    <w:rsid w:val="00B40047"/>
    <w:rsid w:val="00C50E2F"/>
    <w:rsid w:val="00C97D0B"/>
    <w:rsid w:val="00D43549"/>
    <w:rsid w:val="00ED2DB7"/>
    <w:rsid w:val="00F93303"/>
    <w:rsid w:val="00FC6376"/>
    <w:rsid w:val="00FD05E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18BADB-51FA-4AEB-A7D0-D7BEA5FD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7D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7D0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30">
    <w:name w:val="A3"/>
    <w:uiPriority w:val="99"/>
    <w:rsid w:val="00C97D0B"/>
    <w:rPr>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10</Pages>
  <Words>2431</Words>
  <Characters>13857</Characters>
  <Application>Microsoft Office Word</Application>
  <DocSecurity>0</DocSecurity>
  <Lines>115</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Delyana Chuhovska</dc:creator>
  <cp:keywords/>
  <dc:description/>
  <cp:lastModifiedBy>Delyana Chuhovska</cp:lastModifiedBy>
  <cp:revision>25</cp:revision>
  <dcterms:created xsi:type="dcterms:W3CDTF">2026-09-01T13:25:00Z</dcterms:created>
  <dcterms:modified xsi:type="dcterms:W3CDTF">2026-09-12T05:54:00Z</dcterms:modified>
</cp:coreProperties>
</file>