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C67D5" w14:textId="54E608F8" w:rsidR="00E8797D" w:rsidRPr="00213595" w:rsidRDefault="00213595" w:rsidP="00E019C5">
      <w:pPr>
        <w:jc w:val="center"/>
        <w:rPr>
          <w:b/>
          <w:bCs/>
          <w:sz w:val="32"/>
          <w:szCs w:val="32"/>
        </w:rPr>
      </w:pPr>
      <w:r>
        <w:rPr>
          <w:b/>
          <w:bCs/>
          <w:sz w:val="32"/>
          <w:szCs w:val="32"/>
        </w:rPr>
        <w:t>ДЕТЕРМИНАНТИ НА КОГНИТИВНАТА ВОЙНА</w:t>
      </w:r>
    </w:p>
    <w:p w14:paraId="13DE7E26" w14:textId="599A3F6F" w:rsidR="008D1109" w:rsidRDefault="008D1109" w:rsidP="00E019C5">
      <w:pPr>
        <w:jc w:val="center"/>
        <w:rPr>
          <w:szCs w:val="28"/>
        </w:rPr>
      </w:pPr>
    </w:p>
    <w:p w14:paraId="0D80780B" w14:textId="62B3C3C7" w:rsidR="008D1109" w:rsidRDefault="00213595" w:rsidP="00E019C5">
      <w:pPr>
        <w:jc w:val="center"/>
        <w:rPr>
          <w:b/>
          <w:bCs/>
          <w:sz w:val="32"/>
          <w:szCs w:val="32"/>
        </w:rPr>
      </w:pPr>
      <w:r>
        <w:rPr>
          <w:b/>
          <w:bCs/>
          <w:sz w:val="32"/>
          <w:szCs w:val="32"/>
        </w:rPr>
        <w:t>Тодор Колев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0849D2D9" w:rsidR="008D1109" w:rsidRPr="00213595" w:rsidRDefault="00213595" w:rsidP="00E019C5">
      <w:pPr>
        <w:jc w:val="center"/>
        <w:rPr>
          <w:b/>
          <w:bCs/>
          <w:sz w:val="32"/>
          <w:szCs w:val="32"/>
          <w:lang w:val="en-US"/>
        </w:rPr>
      </w:pPr>
      <w:r>
        <w:rPr>
          <w:b/>
          <w:bCs/>
          <w:sz w:val="32"/>
          <w:szCs w:val="32"/>
          <w:lang w:val="en-US"/>
        </w:rPr>
        <w:t>DETERMINANTS OF COGNITIVE WARFARE</w:t>
      </w:r>
    </w:p>
    <w:p w14:paraId="22751C3F" w14:textId="2A3FBF33" w:rsidR="008D1109" w:rsidRDefault="008D1109" w:rsidP="00E019C5">
      <w:pPr>
        <w:jc w:val="center"/>
        <w:rPr>
          <w:szCs w:val="28"/>
          <w:lang w:val="en-US"/>
        </w:rPr>
      </w:pPr>
    </w:p>
    <w:p w14:paraId="142C5542" w14:textId="7BE49C73" w:rsidR="00274819" w:rsidRDefault="00213595" w:rsidP="00E019C5">
      <w:pPr>
        <w:jc w:val="center"/>
        <w:rPr>
          <w:szCs w:val="28"/>
          <w:lang w:val="en-US"/>
        </w:rPr>
      </w:pPr>
      <w:r>
        <w:rPr>
          <w:b/>
          <w:bCs/>
          <w:sz w:val="32"/>
          <w:szCs w:val="32"/>
          <w:lang w:val="en-US"/>
        </w:rPr>
        <w:t>Todor Kolev</w:t>
      </w:r>
    </w:p>
    <w:p w14:paraId="1072AA97" w14:textId="1A070D58" w:rsidR="00274819" w:rsidRDefault="00274819" w:rsidP="00E019C5">
      <w:pPr>
        <w:jc w:val="center"/>
        <w:rPr>
          <w:szCs w:val="28"/>
          <w:lang w:val="en-US"/>
        </w:rPr>
      </w:pPr>
    </w:p>
    <w:p w14:paraId="1B979C13" w14:textId="5405529F" w:rsidR="00274819" w:rsidRPr="00213595" w:rsidRDefault="00274819" w:rsidP="003004BD">
      <w:pPr>
        <w:ind w:firstLine="567"/>
        <w:jc w:val="both"/>
        <w:rPr>
          <w:i/>
          <w:iCs/>
          <w:sz w:val="24"/>
          <w:lang w:val="en-US"/>
        </w:rPr>
      </w:pPr>
      <w:r>
        <w:rPr>
          <w:b/>
          <w:bCs/>
          <w:i/>
          <w:iCs/>
          <w:sz w:val="24"/>
        </w:rPr>
        <w:t>Резюме:</w:t>
      </w:r>
      <w:r>
        <w:rPr>
          <w:i/>
          <w:iCs/>
          <w:sz w:val="24"/>
        </w:rPr>
        <w:t xml:space="preserve"> </w:t>
      </w:r>
      <w:r w:rsidR="00213595" w:rsidRPr="00213595">
        <w:rPr>
          <w:i/>
          <w:iCs/>
          <w:sz w:val="24"/>
        </w:rPr>
        <w:t>Настоящият доклад разглежда детерминантите на когнитивната война като фактори, определящи нейното проявление и развитие в съвременната среда за сигурност. Анализирани са същността и характеристиките на когнитивната война, основните когнитивно-психологически, информационно-технологични, социално-политически и стратегически детерминанти, както и взаимовръзките между тях. Предложен е авторски концептуален модел, който систематизира влиянието на основните детерминанти върху процеса на когнитивно въздействие.</w:t>
      </w:r>
    </w:p>
    <w:p w14:paraId="29DBD415" w14:textId="71640005" w:rsidR="00274819" w:rsidRDefault="00274819" w:rsidP="003004BD">
      <w:pPr>
        <w:ind w:firstLine="567"/>
        <w:jc w:val="both"/>
        <w:rPr>
          <w:szCs w:val="28"/>
        </w:rPr>
      </w:pPr>
    </w:p>
    <w:p w14:paraId="2461AA37" w14:textId="4D19A239" w:rsidR="00274819" w:rsidRPr="005022FD" w:rsidRDefault="00274819" w:rsidP="003004BD">
      <w:pPr>
        <w:ind w:firstLine="567"/>
        <w:jc w:val="both"/>
        <w:rPr>
          <w:i/>
          <w:iCs/>
          <w:sz w:val="24"/>
          <w:lang w:val="en-US"/>
        </w:rPr>
      </w:pPr>
      <w:r>
        <w:rPr>
          <w:b/>
          <w:bCs/>
          <w:i/>
          <w:iCs/>
          <w:sz w:val="24"/>
        </w:rPr>
        <w:t>Ключови думи:</w:t>
      </w:r>
      <w:r>
        <w:rPr>
          <w:i/>
          <w:iCs/>
          <w:sz w:val="24"/>
        </w:rPr>
        <w:t xml:space="preserve"> </w:t>
      </w:r>
      <w:r w:rsidR="005022FD" w:rsidRPr="005022FD">
        <w:rPr>
          <w:i/>
          <w:iCs/>
          <w:sz w:val="24"/>
        </w:rPr>
        <w:t>когнитивна война, детерминанти, въздействие, среда.</w:t>
      </w:r>
    </w:p>
    <w:p w14:paraId="14068DE0" w14:textId="5A7D97ED" w:rsidR="00274819" w:rsidRDefault="00274819" w:rsidP="003004BD">
      <w:pPr>
        <w:ind w:firstLine="567"/>
        <w:jc w:val="both"/>
        <w:rPr>
          <w:szCs w:val="28"/>
        </w:rPr>
      </w:pPr>
    </w:p>
    <w:p w14:paraId="1F3A38DD" w14:textId="4B9934A6" w:rsidR="00274819" w:rsidRPr="005022FD" w:rsidRDefault="00274819" w:rsidP="003004BD">
      <w:pPr>
        <w:ind w:firstLine="567"/>
        <w:jc w:val="both"/>
        <w:rPr>
          <w:i/>
          <w:iCs/>
          <w:sz w:val="24"/>
          <w:lang w:val="en-US"/>
        </w:rPr>
      </w:pPr>
      <w:r>
        <w:rPr>
          <w:b/>
          <w:bCs/>
          <w:i/>
          <w:iCs/>
          <w:sz w:val="24"/>
          <w:lang w:val="en-US"/>
        </w:rPr>
        <w:t>Abstract:</w:t>
      </w:r>
      <w:r w:rsidR="005022FD">
        <w:rPr>
          <w:i/>
          <w:iCs/>
          <w:sz w:val="24"/>
          <w:lang w:val="en-US"/>
        </w:rPr>
        <w:t xml:space="preserve"> </w:t>
      </w:r>
      <w:r w:rsidR="005022FD" w:rsidRPr="005022FD">
        <w:rPr>
          <w:i/>
          <w:iCs/>
          <w:sz w:val="24"/>
        </w:rPr>
        <w:t xml:space="preserve">This report examines the determinants of cognitive warfare as the factors shaping its manifestation and development within the contemporary security environment. It analyzes the nature and characteristics of cognitive warfare, as well as the principal cognitive-psychological, information-technological, socio-political, and strategic determinants and the interrelationships among them. </w:t>
      </w:r>
      <w:r w:rsidR="00BA5E13" w:rsidRPr="00BA5E13">
        <w:rPr>
          <w:i/>
          <w:iCs/>
          <w:sz w:val="24"/>
        </w:rPr>
        <w:t>An original conceptual model is proposed to systematize the influence of the key determinants on the process of cognitive influence.</w:t>
      </w:r>
    </w:p>
    <w:p w14:paraId="42E0ACE4" w14:textId="405591FA" w:rsidR="00274819" w:rsidRPr="00274819" w:rsidRDefault="00274819" w:rsidP="003004BD">
      <w:pPr>
        <w:ind w:firstLine="567"/>
        <w:jc w:val="both"/>
        <w:rPr>
          <w:szCs w:val="28"/>
          <w:lang w:val="en-US"/>
        </w:rPr>
      </w:pPr>
    </w:p>
    <w:p w14:paraId="2DCDF3EC" w14:textId="56BAC49B" w:rsidR="00274819" w:rsidRPr="005022FD" w:rsidRDefault="00274819" w:rsidP="003004BD">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5022FD" w:rsidRPr="005022FD">
        <w:rPr>
          <w:i/>
          <w:iCs/>
          <w:sz w:val="24"/>
        </w:rPr>
        <w:t>Cognitive Warfare</w:t>
      </w:r>
      <w:r w:rsidR="005022FD">
        <w:rPr>
          <w:i/>
          <w:iCs/>
          <w:sz w:val="24"/>
        </w:rPr>
        <w:t xml:space="preserve">, </w:t>
      </w:r>
      <w:r w:rsidR="005022FD" w:rsidRPr="005022FD">
        <w:rPr>
          <w:i/>
          <w:iCs/>
          <w:sz w:val="24"/>
        </w:rPr>
        <w:t>Determinants</w:t>
      </w:r>
      <w:r w:rsidR="005022FD">
        <w:rPr>
          <w:i/>
          <w:iCs/>
          <w:sz w:val="24"/>
        </w:rPr>
        <w:t xml:space="preserve">, </w:t>
      </w:r>
      <w:r w:rsidR="005022FD" w:rsidRPr="005022FD">
        <w:rPr>
          <w:i/>
          <w:iCs/>
          <w:sz w:val="24"/>
        </w:rPr>
        <w:t>Influence</w:t>
      </w:r>
      <w:r w:rsidR="005022FD">
        <w:rPr>
          <w:i/>
          <w:iCs/>
          <w:sz w:val="24"/>
        </w:rPr>
        <w:t xml:space="preserve">, </w:t>
      </w:r>
      <w:r w:rsidR="005022FD" w:rsidRPr="005022FD">
        <w:rPr>
          <w:i/>
          <w:iCs/>
          <w:sz w:val="24"/>
        </w:rPr>
        <w:t>Environment</w:t>
      </w:r>
      <w:r w:rsidR="005022FD">
        <w:rPr>
          <w:i/>
          <w:iCs/>
          <w:sz w:val="24"/>
        </w:rPr>
        <w:t>.</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2F1B9C8B" w14:textId="77777777" w:rsidR="00D45D68" w:rsidRPr="00D45D68" w:rsidRDefault="00D45D68" w:rsidP="00D45D68">
      <w:pPr>
        <w:ind w:firstLine="567"/>
        <w:jc w:val="both"/>
        <w:rPr>
          <w:b/>
          <w:bCs/>
          <w:szCs w:val="28"/>
        </w:rPr>
      </w:pPr>
      <w:r w:rsidRPr="00D45D68">
        <w:rPr>
          <w:b/>
          <w:bCs/>
          <w:szCs w:val="28"/>
        </w:rPr>
        <w:t>Въведение</w:t>
      </w:r>
    </w:p>
    <w:p w14:paraId="2195BC9E" w14:textId="5EC72CFF" w:rsidR="00BA5E13" w:rsidRPr="00D45D68" w:rsidRDefault="00BA5E13" w:rsidP="00D45D68">
      <w:pPr>
        <w:ind w:firstLine="567"/>
        <w:jc w:val="both"/>
        <w:rPr>
          <w:szCs w:val="28"/>
        </w:rPr>
      </w:pPr>
      <w:r w:rsidRPr="00BA5E13">
        <w:rPr>
          <w:szCs w:val="28"/>
        </w:rPr>
        <w:t>Развитието на цифровите технологии, глобалната свързаност и нарастващата зависимост на обществата от информационната среда създават нови възможности за целенасочено въздействие върху човешкото възприятие, преценка и поведение. В съвременната среда за сигурност когнитивната сфера придобива все по-голямо значение, тъй като въздействието върху възприятията, интерпретацията на информацията и процесите на вземане на решения може да бъде използвано за постигане на политически и стратегически цели. Това обуславя необходимостта от изследване на когнитивната война и на факторите, които определят нейното възникване, развитие и проявление.</w:t>
      </w:r>
    </w:p>
    <w:p w14:paraId="365A2591" w14:textId="77777777" w:rsidR="00D45D68" w:rsidRPr="00D45D68" w:rsidRDefault="00D45D68" w:rsidP="00D45D68">
      <w:pPr>
        <w:ind w:firstLine="567"/>
        <w:jc w:val="both"/>
        <w:rPr>
          <w:szCs w:val="28"/>
        </w:rPr>
      </w:pPr>
      <w:r w:rsidRPr="00D45D68">
        <w:rPr>
          <w:szCs w:val="28"/>
        </w:rPr>
        <w:t>Обект на изследване е когнитивната война като явление в съвременната среда за сигурност.</w:t>
      </w:r>
    </w:p>
    <w:p w14:paraId="3B5FF050" w14:textId="77777777" w:rsidR="00D45D68" w:rsidRPr="00D45D68" w:rsidRDefault="00D45D68" w:rsidP="00D45D68">
      <w:pPr>
        <w:ind w:firstLine="567"/>
        <w:jc w:val="both"/>
        <w:rPr>
          <w:szCs w:val="28"/>
        </w:rPr>
      </w:pPr>
      <w:r w:rsidRPr="00D45D68">
        <w:rPr>
          <w:szCs w:val="28"/>
        </w:rPr>
        <w:t>Предмет на изследване са основните детерминанти на когнитивната война и взаимовръзките между тях.</w:t>
      </w:r>
    </w:p>
    <w:p w14:paraId="6A92EF39" w14:textId="374AD24F" w:rsidR="00D45D68" w:rsidRPr="002E611A" w:rsidRDefault="00D45D68" w:rsidP="00D45D68">
      <w:pPr>
        <w:ind w:firstLine="567"/>
        <w:jc w:val="both"/>
        <w:rPr>
          <w:szCs w:val="28"/>
          <w:lang w:val="en-US"/>
        </w:rPr>
      </w:pPr>
      <w:r w:rsidRPr="00D45D68">
        <w:rPr>
          <w:szCs w:val="28"/>
        </w:rPr>
        <w:t xml:space="preserve">Целта </w:t>
      </w:r>
      <w:r w:rsidR="00BA5E13" w:rsidRPr="00BA5E13">
        <w:rPr>
          <w:szCs w:val="28"/>
        </w:rPr>
        <w:t>на доклада е да бъдат идентифицирани, систематизирани и анализирани основните детерминанти на когнитивната война, както и взаимовръзките между тях.</w:t>
      </w:r>
    </w:p>
    <w:p w14:paraId="21F04675" w14:textId="77777777" w:rsidR="00D45D68" w:rsidRPr="00D45D68" w:rsidRDefault="00D45D68" w:rsidP="00D45D68">
      <w:pPr>
        <w:ind w:firstLine="567"/>
        <w:jc w:val="both"/>
        <w:rPr>
          <w:szCs w:val="28"/>
        </w:rPr>
      </w:pPr>
      <w:r w:rsidRPr="00D45D68">
        <w:rPr>
          <w:szCs w:val="28"/>
        </w:rPr>
        <w:lastRenderedPageBreak/>
        <w:t>За постигане на поставената цел са формулирани следните основни изследователски задачи:</w:t>
      </w:r>
    </w:p>
    <w:p w14:paraId="19CBCDCC" w14:textId="70C8FFE6" w:rsidR="00D45D68" w:rsidRPr="00D45D68" w:rsidRDefault="00D45D68" w:rsidP="00D45D68">
      <w:pPr>
        <w:numPr>
          <w:ilvl w:val="0"/>
          <w:numId w:val="2"/>
        </w:numPr>
        <w:jc w:val="both"/>
        <w:rPr>
          <w:szCs w:val="28"/>
        </w:rPr>
      </w:pPr>
      <w:r w:rsidRPr="00D45D68">
        <w:rPr>
          <w:szCs w:val="28"/>
        </w:rPr>
        <w:t>Да се изяснят същността и основните характеристики на когнитивната война</w:t>
      </w:r>
      <w:r w:rsidR="002E611A">
        <w:rPr>
          <w:szCs w:val="28"/>
          <w:lang w:val="en-US"/>
        </w:rPr>
        <w:t>;</w:t>
      </w:r>
    </w:p>
    <w:p w14:paraId="3AA2D60A" w14:textId="3867CA32" w:rsidR="00D45D68" w:rsidRPr="00D45D68" w:rsidRDefault="00D45D68" w:rsidP="00D45D68">
      <w:pPr>
        <w:numPr>
          <w:ilvl w:val="0"/>
          <w:numId w:val="2"/>
        </w:numPr>
        <w:jc w:val="both"/>
        <w:rPr>
          <w:szCs w:val="28"/>
        </w:rPr>
      </w:pPr>
      <w:r w:rsidRPr="00D45D68">
        <w:rPr>
          <w:szCs w:val="28"/>
        </w:rPr>
        <w:t>Да се идентифицират и систематизират основните детерминанти на когнитивната война</w:t>
      </w:r>
      <w:r w:rsidR="002E611A">
        <w:rPr>
          <w:szCs w:val="28"/>
          <w:lang w:val="en-US"/>
        </w:rPr>
        <w:t>;</w:t>
      </w:r>
    </w:p>
    <w:p w14:paraId="13FA09B0" w14:textId="77777777" w:rsidR="00D45D68" w:rsidRPr="00D45D68" w:rsidRDefault="00D45D68" w:rsidP="00D45D68">
      <w:pPr>
        <w:numPr>
          <w:ilvl w:val="0"/>
          <w:numId w:val="2"/>
        </w:numPr>
        <w:jc w:val="both"/>
        <w:rPr>
          <w:szCs w:val="28"/>
        </w:rPr>
      </w:pPr>
      <w:r w:rsidRPr="00D45D68">
        <w:rPr>
          <w:szCs w:val="28"/>
        </w:rPr>
        <w:t>Да се анализират взаимовръзките между идентифицираните детерминанти.</w:t>
      </w:r>
    </w:p>
    <w:p w14:paraId="4558011D" w14:textId="7722B734" w:rsidR="007C4BAE" w:rsidRDefault="00D45D68" w:rsidP="00192717">
      <w:pPr>
        <w:ind w:firstLine="567"/>
        <w:jc w:val="both"/>
        <w:rPr>
          <w:szCs w:val="28"/>
        </w:rPr>
      </w:pPr>
      <w:r w:rsidRPr="00D45D68">
        <w:rPr>
          <w:szCs w:val="28"/>
        </w:rPr>
        <w:t>За реализиране на целта и задачите на изследването са използвани методите на анализ и синтез, сравнителен анализ, систематизация и обобщение на научни и доктринални източници. Чрез тях се изгражда аналитична основа за идентифициране на основните групи детерминанти и за изследване на взаимовръзките между тях.</w:t>
      </w:r>
    </w:p>
    <w:p w14:paraId="494EA7E4" w14:textId="77777777" w:rsidR="00192717" w:rsidRDefault="00192717" w:rsidP="00192717">
      <w:pPr>
        <w:ind w:firstLine="567"/>
        <w:jc w:val="both"/>
        <w:rPr>
          <w:szCs w:val="28"/>
        </w:rPr>
      </w:pPr>
    </w:p>
    <w:p w14:paraId="328F38DC" w14:textId="6A0FEBA4" w:rsidR="007C4BAE" w:rsidRPr="007C4BAE" w:rsidRDefault="007C4BAE" w:rsidP="007C4BAE">
      <w:pPr>
        <w:pStyle w:val="ListParagraph"/>
        <w:numPr>
          <w:ilvl w:val="0"/>
          <w:numId w:val="3"/>
        </w:numPr>
        <w:jc w:val="both"/>
        <w:rPr>
          <w:b/>
          <w:bCs/>
          <w:szCs w:val="28"/>
        </w:rPr>
      </w:pPr>
      <w:r w:rsidRPr="007C4BAE">
        <w:rPr>
          <w:b/>
          <w:bCs/>
          <w:szCs w:val="28"/>
        </w:rPr>
        <w:t>Същност и характеристика на конгнитивната война.</w:t>
      </w:r>
    </w:p>
    <w:p w14:paraId="3DAA3CDC" w14:textId="77777777" w:rsidR="00BA5E13" w:rsidRDefault="00BA5E13" w:rsidP="00BA5E13">
      <w:pPr>
        <w:ind w:firstLine="567"/>
        <w:jc w:val="both"/>
        <w:rPr>
          <w:szCs w:val="28"/>
        </w:rPr>
      </w:pPr>
      <w:r w:rsidRPr="00BA5E13">
        <w:rPr>
          <w:szCs w:val="28"/>
        </w:rPr>
        <w:t>Промените в съвременната среда за сигурност разширяват разбирането за характера и пространството на противопоставянето в конфликтите. Наред с традиционните форми на въоръжена борба все по-голямо значение придобиват действията, насочени към човешките възприятия, нагласи, убеждения и процеси на вземане на решения. Развитието на цифровите технологии и глобалната информационна свързаност създава условия човешкото познание да се превърне в непосредствен обект на целенасочено въздействие. В този контекст се развива концепцията за когнитивната война, при която постигането на преимущество се свързва не само с въздействие върху информацията, а и върху начина, по който тя се възприема, интерпретира и превръща в решения и поведение.</w:t>
      </w:r>
    </w:p>
    <w:p w14:paraId="77BF7BE7" w14:textId="3FE19612" w:rsidR="00561C14" w:rsidRDefault="00561C14" w:rsidP="00BA5E13">
      <w:pPr>
        <w:ind w:firstLine="567"/>
        <w:jc w:val="both"/>
        <w:rPr>
          <w:szCs w:val="28"/>
        </w:rPr>
      </w:pPr>
      <w:r w:rsidRPr="00561C14">
        <w:rPr>
          <w:szCs w:val="28"/>
        </w:rPr>
        <w:t>Когнитивната война не възниква като самостоятелно и откъснато от предходните форми на противопоставяне явление. Нейното развитие е свързано с информационното и психологическото въздействие, стратегическите комуникации, действията в киберпространството и използването на електромагнитната среда, включително чрез способности за сигнално и електронно разузнаване [1]. Съществената промяна се изразява в разширяването на мащаба, скоростта и възможностите за насочване на въздействието. Съвременните технологии позволяват едновременно достигане до широки аудитории и прецизно насочване към конкретни групи и индивиди чрез използване на данни за техните интереси, нагласи и поведенчески характеристики</w:t>
      </w:r>
      <w:r w:rsidR="00946E7C">
        <w:rPr>
          <w:szCs w:val="28"/>
        </w:rPr>
        <w:t>.</w:t>
      </w:r>
    </w:p>
    <w:p w14:paraId="23ECBD79" w14:textId="3CE27D14" w:rsidR="00BA5E13" w:rsidRPr="00BA5E13" w:rsidRDefault="00BA5E13" w:rsidP="00BA5E13">
      <w:pPr>
        <w:ind w:firstLine="567"/>
        <w:jc w:val="both"/>
        <w:rPr>
          <w:szCs w:val="28"/>
        </w:rPr>
      </w:pPr>
      <w:r w:rsidRPr="00BA5E13">
        <w:rPr>
          <w:szCs w:val="28"/>
        </w:rPr>
        <w:t>В една от ранните разработки когнитивната война е определена като стратегия, насочена към промяна на начина, по който определена целева аудитория мисли и действа, като акцентът е поставен върху възприемането и интерпретирането на информацията, а не единствено върху достъпа до нея [</w:t>
      </w:r>
      <w:r w:rsidR="00561C14">
        <w:rPr>
          <w:szCs w:val="28"/>
        </w:rPr>
        <w:t>2</w:t>
      </w:r>
      <w:r w:rsidRPr="00BA5E13">
        <w:rPr>
          <w:szCs w:val="28"/>
        </w:rPr>
        <w:t>]. Организацията за наука и технологии на НАТО разглежда когнитивната война като средство за постигане на когнитивно преимущество чрез съгласувано използване на военни и невоенни дейности за въздействие върху човешкото познание и поведение</w:t>
      </w:r>
      <w:r w:rsidR="00B165DC">
        <w:rPr>
          <w:szCs w:val="28"/>
        </w:rPr>
        <w:t>.</w:t>
      </w:r>
    </w:p>
    <w:p w14:paraId="4C2D8866" w14:textId="77777777" w:rsidR="00BA5E13" w:rsidRPr="00BA5E13" w:rsidRDefault="00BA5E13" w:rsidP="00BA5E13">
      <w:pPr>
        <w:ind w:firstLine="567"/>
        <w:jc w:val="both"/>
        <w:rPr>
          <w:szCs w:val="28"/>
        </w:rPr>
      </w:pPr>
      <w:r w:rsidRPr="00BA5E13">
        <w:rPr>
          <w:szCs w:val="28"/>
        </w:rPr>
        <w:t>Основен обект на когнитивното въздействие са процесите, чрез които човек възприема, интерпретира, оценява информацията и формира решения. Поради това въздействието може да бъде насочено към вниманието, възприятията, емоциите, убежденията и процесите на вземане на решения. Търсеният ефект невинаги се изразява в непосредствена промяна на мнение, а може да се прояви чрез създаване на несигурност, объркване, недоверие или противоречиви интерпретации, които затрудняват формирането на обоснована оценка и вземането на решения.</w:t>
      </w:r>
    </w:p>
    <w:p w14:paraId="09D688CD" w14:textId="1C61DB62" w:rsidR="00BA5E13" w:rsidRPr="00BA5E13" w:rsidRDefault="00BA5E13" w:rsidP="00BA5E13">
      <w:pPr>
        <w:ind w:firstLine="567"/>
        <w:jc w:val="both"/>
        <w:rPr>
          <w:szCs w:val="28"/>
        </w:rPr>
      </w:pPr>
      <w:r w:rsidRPr="00BA5E13">
        <w:rPr>
          <w:szCs w:val="28"/>
        </w:rPr>
        <w:t>Когнитивната война има многостепенен характер. Въздействието може да бъде насочено към отделния индивид, към социални групи или към обществото като цяло. На индивидуално равнище се засягат възприятията, нагласите и решенията</w:t>
      </w:r>
      <w:r w:rsidR="002E611A">
        <w:rPr>
          <w:szCs w:val="28"/>
          <w:lang w:val="en-US"/>
        </w:rPr>
        <w:t xml:space="preserve">, </w:t>
      </w:r>
      <w:r w:rsidR="002E611A">
        <w:rPr>
          <w:szCs w:val="28"/>
        </w:rPr>
        <w:t>докато при</w:t>
      </w:r>
      <w:r w:rsidRPr="00BA5E13">
        <w:rPr>
          <w:szCs w:val="28"/>
        </w:rPr>
        <w:t xml:space="preserve"> групово </w:t>
      </w:r>
      <w:r w:rsidR="002E611A">
        <w:rPr>
          <w:szCs w:val="28"/>
        </w:rPr>
        <w:t>са</w:t>
      </w:r>
      <w:r w:rsidRPr="00BA5E13">
        <w:rPr>
          <w:szCs w:val="28"/>
        </w:rPr>
        <w:t xml:space="preserve"> съществуващите разделения и противоречия</w:t>
      </w:r>
      <w:r w:rsidR="002E611A">
        <w:rPr>
          <w:szCs w:val="28"/>
        </w:rPr>
        <w:t>. Към</w:t>
      </w:r>
      <w:r w:rsidRPr="00BA5E13">
        <w:rPr>
          <w:szCs w:val="28"/>
        </w:rPr>
        <w:t xml:space="preserve"> обществено </w:t>
      </w:r>
      <w:r w:rsidR="002E611A">
        <w:rPr>
          <w:szCs w:val="28"/>
        </w:rPr>
        <w:t>равнище са относими</w:t>
      </w:r>
      <w:r w:rsidRPr="00BA5E13">
        <w:rPr>
          <w:szCs w:val="28"/>
        </w:rPr>
        <w:t xml:space="preserve"> доверието, социалната кохезия и институционалната устойчивост.</w:t>
      </w:r>
    </w:p>
    <w:p w14:paraId="064AC87D" w14:textId="77777777" w:rsidR="00BA5E13" w:rsidRPr="00BA5E13" w:rsidRDefault="00BA5E13" w:rsidP="00BA5E13">
      <w:pPr>
        <w:ind w:firstLine="567"/>
        <w:jc w:val="both"/>
        <w:rPr>
          <w:szCs w:val="28"/>
        </w:rPr>
      </w:pPr>
      <w:r w:rsidRPr="00BA5E13">
        <w:rPr>
          <w:szCs w:val="28"/>
        </w:rPr>
        <w:t>Друга характерна особеност е непрекъснатостта на въздействието. То не е ограничено до въоръжен конфликт, а може да се осъществява в условията на мир, криза и война. Това позволява постепенно натрупване на ефекти, включително изменение на нагласите, ерозия на общественото доверие и задълбочаване на социалните разделения.</w:t>
      </w:r>
    </w:p>
    <w:p w14:paraId="7DFA16BC" w14:textId="77777777" w:rsidR="00BA5E13" w:rsidRPr="00BA5E13" w:rsidRDefault="00BA5E13" w:rsidP="00BA5E13">
      <w:pPr>
        <w:ind w:firstLine="567"/>
        <w:jc w:val="both"/>
        <w:rPr>
          <w:szCs w:val="28"/>
        </w:rPr>
      </w:pPr>
      <w:r w:rsidRPr="00BA5E13">
        <w:rPr>
          <w:szCs w:val="28"/>
        </w:rPr>
        <w:t>Съществена роля има и технологичното опосредстване на когнитивното въздействие. Социалните мрежи, алгоритмичните системи, автоматизираното разпространение на съдържание и изкуственият интелект увеличават неговия мащаб, скорост и възможностите за персонализиране. Технологиите обаче не са самостоятелна причина за когнитивната война, а фактор, който позволява по-ефективно използване на съществуващите когнитивни, информационни и социални уязвимости.</w:t>
      </w:r>
    </w:p>
    <w:p w14:paraId="7E471464" w14:textId="77777777" w:rsidR="00BA5E13" w:rsidRPr="00BA5E13" w:rsidRDefault="00BA5E13" w:rsidP="00BA5E13">
      <w:pPr>
        <w:ind w:firstLine="567"/>
        <w:jc w:val="both"/>
        <w:rPr>
          <w:szCs w:val="28"/>
        </w:rPr>
      </w:pPr>
      <w:r w:rsidRPr="00BA5E13">
        <w:rPr>
          <w:szCs w:val="28"/>
        </w:rPr>
        <w:t>На тази основа като основни характеристики на когнитивната война могат да бъдат определени: насоченост към човешкото познание и поведение; многостепенност на въздействието; използване на различни средства; технологична усиленост; непрекъснатост; трудна разпознаваемост и кумулативност на ефектите. Тяхната съвкупност определя когнитивната война като комплексно явление, чиято специфика произтича от интегрираното използване на различни средства за въздействие върху начина, по който индивидите и обществата възприемат действителността, формират оценки и вземат решения.</w:t>
      </w:r>
    </w:p>
    <w:p w14:paraId="0CA9F8D3" w14:textId="78913ECA" w:rsidR="001744E6" w:rsidRDefault="00BA5E13" w:rsidP="00192717">
      <w:pPr>
        <w:ind w:firstLine="567"/>
        <w:jc w:val="both"/>
        <w:rPr>
          <w:szCs w:val="28"/>
          <w:lang w:val="en-US"/>
        </w:rPr>
      </w:pPr>
      <w:r w:rsidRPr="00BA5E13">
        <w:rPr>
          <w:szCs w:val="28"/>
        </w:rPr>
        <w:t>Следователно когнитивната война може да бъде определена като системно и целенасочено противопоставяне, при което човешкото познание и свързаното с него поведение се превръщат в основен обект на въздействие с цел постигане на стратегическо преимущество. Това разбиране създава концептуалната основа за идентифициране и систематизиране на детерминантите, които обуславят нейното възникване, развитие и проявление.</w:t>
      </w:r>
    </w:p>
    <w:p w14:paraId="461FB84F" w14:textId="77777777" w:rsidR="005008ED" w:rsidRPr="005008ED" w:rsidRDefault="005008ED" w:rsidP="00192717">
      <w:pPr>
        <w:ind w:firstLine="567"/>
        <w:jc w:val="both"/>
        <w:rPr>
          <w:szCs w:val="28"/>
          <w:lang w:val="en-US"/>
        </w:rPr>
      </w:pPr>
    </w:p>
    <w:p w14:paraId="53C1F2E8" w14:textId="76BB3B89" w:rsidR="00870BC5" w:rsidRPr="00870BC5" w:rsidRDefault="00870BC5" w:rsidP="00870BC5">
      <w:pPr>
        <w:ind w:firstLine="567"/>
        <w:jc w:val="both"/>
        <w:rPr>
          <w:b/>
          <w:bCs/>
          <w:szCs w:val="28"/>
        </w:rPr>
      </w:pPr>
      <w:r w:rsidRPr="00870BC5">
        <w:rPr>
          <w:b/>
          <w:bCs/>
          <w:szCs w:val="28"/>
        </w:rPr>
        <w:t>2. Основни детерминанти на когнитивната война</w:t>
      </w:r>
      <w:r>
        <w:rPr>
          <w:b/>
          <w:bCs/>
          <w:szCs w:val="28"/>
        </w:rPr>
        <w:t>.</w:t>
      </w:r>
    </w:p>
    <w:p w14:paraId="5F3636FE" w14:textId="3906EE96" w:rsidR="009F12DD" w:rsidRPr="005008ED" w:rsidRDefault="009F12DD" w:rsidP="00870BC5">
      <w:pPr>
        <w:ind w:firstLine="567"/>
        <w:jc w:val="both"/>
        <w:rPr>
          <w:szCs w:val="28"/>
        </w:rPr>
      </w:pPr>
      <w:r w:rsidRPr="009F12DD">
        <w:rPr>
          <w:szCs w:val="28"/>
        </w:rPr>
        <w:t xml:space="preserve">Когнитивната война се формира и развива под въздействието на комплекс от взаимосвързани фактори и условия. За целите на настоящото изследване те се разглеждат като детерминанти – фактори, които обуславят възможностите за осъществяване на когнитивно въздействие и влияят върху неговия характер, обхват и потенциални ефекти. Според техния произход и функционална роля могат да бъдат обособени четири основни групи: когнитивно-психологически, информационни и технологични, социални и политически, както и стратегически детерминанти. Това разграничение има аналитичен характер, тъй като в реалната среда отделните групи действат в </w:t>
      </w:r>
      <w:r w:rsidRPr="005008ED">
        <w:rPr>
          <w:szCs w:val="28"/>
        </w:rPr>
        <w:t>тясно взаимодействие.</w:t>
      </w:r>
    </w:p>
    <w:p w14:paraId="0C3630C9" w14:textId="49EE7967" w:rsidR="00870BC5" w:rsidRPr="005008ED" w:rsidRDefault="00870BC5" w:rsidP="00870BC5">
      <w:pPr>
        <w:ind w:firstLine="567"/>
        <w:jc w:val="both"/>
        <w:rPr>
          <w:szCs w:val="28"/>
          <w:lang w:val="en-US"/>
        </w:rPr>
      </w:pPr>
      <w:r w:rsidRPr="005008ED">
        <w:rPr>
          <w:szCs w:val="28"/>
        </w:rPr>
        <w:t>2.1. Когнитивно-психологически детерминанти</w:t>
      </w:r>
      <w:r w:rsidR="005008ED">
        <w:rPr>
          <w:szCs w:val="28"/>
          <w:lang w:val="en-US"/>
        </w:rPr>
        <w:t>.</w:t>
      </w:r>
    </w:p>
    <w:p w14:paraId="27245016" w14:textId="77777777" w:rsidR="009F12DD" w:rsidRPr="009F12DD" w:rsidRDefault="009F12DD" w:rsidP="009F12DD">
      <w:pPr>
        <w:ind w:firstLine="567"/>
        <w:jc w:val="both"/>
        <w:rPr>
          <w:szCs w:val="28"/>
        </w:rPr>
      </w:pPr>
      <w:r w:rsidRPr="009F12DD">
        <w:rPr>
          <w:szCs w:val="28"/>
        </w:rPr>
        <w:t>Когнитивно-психологическите детерминанти произтичат от особеностите на човешкото познание и механизмите, чрез които хората възприемат, интерпретират и оценяват информацията, както и вземат решения. Човешката преценка не се формира единствено чрез рационална обработка на информацията, а се влияе от предходни знания, убеждения, мотивация, емоции и конкретния контекст. Тези особености създават естествени когнитивни уязвимости, които могат да бъдат използвани при целенасочено въздействие.</w:t>
      </w:r>
    </w:p>
    <w:p w14:paraId="37212AF8" w14:textId="361201A9" w:rsidR="009F12DD" w:rsidRPr="009F12DD" w:rsidRDefault="009F12DD" w:rsidP="009F12DD">
      <w:pPr>
        <w:ind w:firstLine="567"/>
        <w:jc w:val="both"/>
        <w:rPr>
          <w:szCs w:val="28"/>
        </w:rPr>
      </w:pPr>
      <w:r w:rsidRPr="009F12DD">
        <w:rPr>
          <w:szCs w:val="28"/>
        </w:rPr>
        <w:t>Сред основните когнитивно-психологически детерминанти се открояват вниманието, възприятието, паметта, емоциите, когнитивните пристрастия и процесите на вземане на решения. Вниманието определя кои елементи от информационния поток получават приоритет, възприятието и интерпретацията формират значението на информацията, а паметта свързва новите данни с натрупания опит. Емоциите оказват съществено влияние върху оценката на ситуации, рискове и възможни действия. Поради взаимната обусловеност на тези процеси въздействието върху един от тях може да промени последващата преценка и поведение [</w:t>
      </w:r>
      <w:r w:rsidR="00BB0875">
        <w:rPr>
          <w:szCs w:val="28"/>
        </w:rPr>
        <w:t>3</w:t>
      </w:r>
      <w:r w:rsidRPr="009F12DD">
        <w:rPr>
          <w:szCs w:val="28"/>
        </w:rPr>
        <w:t xml:space="preserve">, </w:t>
      </w:r>
      <w:r w:rsidR="00BB0875">
        <w:rPr>
          <w:szCs w:val="28"/>
        </w:rPr>
        <w:t>5</w:t>
      </w:r>
      <w:r w:rsidRPr="009F12DD">
        <w:rPr>
          <w:szCs w:val="28"/>
        </w:rPr>
        <w:t>].</w:t>
      </w:r>
    </w:p>
    <w:p w14:paraId="0E7A30CE" w14:textId="77777777" w:rsidR="009F12DD" w:rsidRPr="009F12DD" w:rsidRDefault="009F12DD" w:rsidP="009F12DD">
      <w:pPr>
        <w:ind w:firstLine="567"/>
        <w:jc w:val="both"/>
        <w:rPr>
          <w:szCs w:val="28"/>
        </w:rPr>
      </w:pPr>
      <w:r w:rsidRPr="009F12DD">
        <w:rPr>
          <w:szCs w:val="28"/>
        </w:rPr>
        <w:t>Особено значение имат когнитивните пристрастия, които влияят върху начина на подбор, приемане и оценяване на информацията. Съществуващите убеждения и мотивации улесняват приемането на информация, съответстваща на предварително формирани нагласи, и затрудняват тяхното преосмисляне. Изследванията върху дезинформацията показват, че нейната устойчивост е резултат не само от недостиг на информация, а и от взаимодействието между когнитивни и мотивационни фактори. В условията на информационно пренасищане тези особености увеличават уязвимостта към манипулативно съдържание.</w:t>
      </w:r>
    </w:p>
    <w:p w14:paraId="55D8B865" w14:textId="730C44CB" w:rsidR="009F12DD" w:rsidRPr="00870BC5" w:rsidRDefault="009F12DD" w:rsidP="009F12DD">
      <w:pPr>
        <w:ind w:firstLine="567"/>
        <w:jc w:val="both"/>
        <w:rPr>
          <w:szCs w:val="28"/>
        </w:rPr>
      </w:pPr>
      <w:r w:rsidRPr="009F12DD">
        <w:rPr>
          <w:szCs w:val="28"/>
        </w:rPr>
        <w:t>Следователно когнитивно-психологическите детерминанти представляват човешката основа на когнитивното въздействие. Тяхното значение произтича от начина, по който индивидите и групите възприемат, интерпретират и оценяват информацията, а взаимодействието им с информационната, технологичната и социалната среда определя възможностите за постигане на когнитивни ефекти.</w:t>
      </w:r>
    </w:p>
    <w:p w14:paraId="3F7DA7D2" w14:textId="5CB441ED" w:rsidR="00870BC5" w:rsidRPr="005008ED" w:rsidRDefault="00870BC5" w:rsidP="00870BC5">
      <w:pPr>
        <w:ind w:firstLine="567"/>
        <w:jc w:val="both"/>
        <w:rPr>
          <w:szCs w:val="28"/>
          <w:lang w:val="en-US"/>
        </w:rPr>
      </w:pPr>
      <w:r w:rsidRPr="005008ED">
        <w:rPr>
          <w:szCs w:val="28"/>
        </w:rPr>
        <w:t>2.2. Информационни и технологични детерминанти</w:t>
      </w:r>
      <w:r w:rsidR="005008ED">
        <w:rPr>
          <w:szCs w:val="28"/>
          <w:lang w:val="en-US"/>
        </w:rPr>
        <w:t>.</w:t>
      </w:r>
    </w:p>
    <w:p w14:paraId="5DA117CF" w14:textId="77777777" w:rsidR="009F12DD" w:rsidRPr="009F12DD" w:rsidRDefault="009F12DD" w:rsidP="009F12DD">
      <w:pPr>
        <w:ind w:firstLine="567"/>
        <w:jc w:val="both"/>
        <w:rPr>
          <w:szCs w:val="28"/>
        </w:rPr>
      </w:pPr>
      <w:r w:rsidRPr="009F12DD">
        <w:rPr>
          <w:szCs w:val="28"/>
        </w:rPr>
        <w:t>Информационните и технологичните детерминанти формират средата, в която когнитивното въздействие може да бъде създавано, разпространявано и насочвано към определени аудитории. Докато когнитивно-психологическите детерминанти определят особеностите и уязвимостите на човешкото познание, информационните и технологичните създават външните условия и техническите възможности за тяхното използване. Поради това развитието на когнитивната война е тясно свързано с трансформацията на съвременната информационна среда.</w:t>
      </w:r>
    </w:p>
    <w:p w14:paraId="081B426F" w14:textId="71E97150" w:rsidR="009F12DD" w:rsidRPr="009F12DD" w:rsidRDefault="009F12DD" w:rsidP="009F12DD">
      <w:pPr>
        <w:ind w:firstLine="567"/>
        <w:jc w:val="both"/>
        <w:rPr>
          <w:szCs w:val="28"/>
        </w:rPr>
      </w:pPr>
      <w:r w:rsidRPr="009F12DD">
        <w:rPr>
          <w:szCs w:val="28"/>
        </w:rPr>
        <w:t>Сред основните информационни детерминанти се открояват нарастващият обем и скорост на информационните потоци, непрекъснатият достъп до съдържание, конкуренцията за внимание и затрудненото разграничаване между достоверна, невярна и манипулативна информация. В условията на информационно пренасищане способността за критична оценка на информацията намалява, което създава предпоставки повторението, емоционалното съдържание и предварително формираните нагласи да влияят върху нейното възприемане и интерпретация [</w:t>
      </w:r>
      <w:r w:rsidR="00BB0875">
        <w:rPr>
          <w:szCs w:val="28"/>
        </w:rPr>
        <w:t>3</w:t>
      </w:r>
      <w:r w:rsidRPr="009F12DD">
        <w:rPr>
          <w:szCs w:val="28"/>
        </w:rPr>
        <w:t xml:space="preserve">, </w:t>
      </w:r>
      <w:r w:rsidR="00BB0875">
        <w:rPr>
          <w:szCs w:val="28"/>
        </w:rPr>
        <w:t>4</w:t>
      </w:r>
      <w:r w:rsidRPr="009F12DD">
        <w:rPr>
          <w:szCs w:val="28"/>
        </w:rPr>
        <w:t>].</w:t>
      </w:r>
    </w:p>
    <w:p w14:paraId="18D054D3" w14:textId="77777777" w:rsidR="009F12DD" w:rsidRPr="009F12DD" w:rsidRDefault="009F12DD" w:rsidP="009F12DD">
      <w:pPr>
        <w:ind w:firstLine="567"/>
        <w:jc w:val="both"/>
        <w:rPr>
          <w:szCs w:val="28"/>
        </w:rPr>
      </w:pPr>
      <w:r w:rsidRPr="009F12DD">
        <w:rPr>
          <w:szCs w:val="28"/>
        </w:rPr>
        <w:t>Особено значение имат социалните мрежи и цифровите платформи, които променят начина на създаване, разпространение и потребление на информация. Те позволяват едновременно достигане до широки аудитории и прецизно насочване на съдържание към конкретни групи. Алгоритмите за подбор и препоръчване определят кои послания получават по-голяма видимост и по този начин могат да усилят разпространението на определени информационни наративи.</w:t>
      </w:r>
    </w:p>
    <w:p w14:paraId="0B52D47C" w14:textId="77777777" w:rsidR="009F12DD" w:rsidRPr="009F12DD" w:rsidRDefault="009F12DD" w:rsidP="009F12DD">
      <w:pPr>
        <w:ind w:firstLine="567"/>
        <w:jc w:val="both"/>
        <w:rPr>
          <w:szCs w:val="28"/>
        </w:rPr>
      </w:pPr>
      <w:r w:rsidRPr="009F12DD">
        <w:rPr>
          <w:szCs w:val="28"/>
        </w:rPr>
        <w:t>Технологичното развитие допълнително разширява тези възможности. Големите масиви от данни, автоматизацията и изкуственият интелект позволяват по-бърз анализ на аудитории, създаване на съдържание и адаптиране на посланията към конкретния информационен контекст. Генеративният изкуствен интелект улеснява създаването на текстово, визуално и аудиовизуално съдържание, включително синтетични материали с висока степен на реалистичност, което увеличава мащаба, скоростта и адаптивността на когнитивното въздействие.</w:t>
      </w:r>
    </w:p>
    <w:p w14:paraId="2C6CBBCB" w14:textId="6773B31A" w:rsidR="009F12DD" w:rsidRPr="00870BC5" w:rsidRDefault="009F12DD" w:rsidP="009F12DD">
      <w:pPr>
        <w:ind w:firstLine="567"/>
        <w:jc w:val="both"/>
        <w:rPr>
          <w:szCs w:val="28"/>
        </w:rPr>
      </w:pPr>
      <w:r w:rsidRPr="009F12DD">
        <w:rPr>
          <w:szCs w:val="28"/>
        </w:rPr>
        <w:t>На тази основа към основните информационни и технологични детерминанти могат да бъдат отнесени дигитализацията на информационната среда, информационното пренасищане, социалните мрежи и цифровите платформи, използването на данни, автоматизацията, изкуственият интелект и синтетичното съдържание. Тяхното значение произтича от способността им да свързват съдържанието с когнитивните особености на аудиторията и да увеличават възможностите за мащабно, бързо и адаптивно въздействие [</w:t>
      </w:r>
      <w:r w:rsidR="00BB0875">
        <w:rPr>
          <w:szCs w:val="28"/>
        </w:rPr>
        <w:t>3</w:t>
      </w:r>
      <w:r w:rsidRPr="009F12DD">
        <w:rPr>
          <w:szCs w:val="28"/>
        </w:rPr>
        <w:t xml:space="preserve">, </w:t>
      </w:r>
      <w:r w:rsidR="00BB0875">
        <w:rPr>
          <w:szCs w:val="28"/>
        </w:rPr>
        <w:t>6</w:t>
      </w:r>
      <w:r w:rsidRPr="009F12DD">
        <w:rPr>
          <w:szCs w:val="28"/>
        </w:rPr>
        <w:t>].</w:t>
      </w:r>
    </w:p>
    <w:p w14:paraId="515D1957" w14:textId="0A521551" w:rsidR="00B825AF" w:rsidRPr="005008ED" w:rsidRDefault="00870BC5" w:rsidP="00B825AF">
      <w:pPr>
        <w:ind w:firstLine="567"/>
        <w:jc w:val="both"/>
        <w:rPr>
          <w:szCs w:val="28"/>
          <w:lang w:val="en-US"/>
        </w:rPr>
      </w:pPr>
      <w:r w:rsidRPr="005008ED">
        <w:rPr>
          <w:szCs w:val="28"/>
        </w:rPr>
        <w:t>2.3. Социални и политически детерминанти</w:t>
      </w:r>
      <w:r w:rsidR="005008ED">
        <w:rPr>
          <w:szCs w:val="28"/>
          <w:lang w:val="en-US"/>
        </w:rPr>
        <w:t>.</w:t>
      </w:r>
    </w:p>
    <w:p w14:paraId="1DF91E09" w14:textId="77777777" w:rsidR="00EF35AF" w:rsidRPr="00EF35AF" w:rsidRDefault="00EF35AF" w:rsidP="00EF35AF">
      <w:pPr>
        <w:ind w:firstLine="567"/>
        <w:jc w:val="both"/>
        <w:rPr>
          <w:szCs w:val="28"/>
        </w:rPr>
      </w:pPr>
      <w:r w:rsidRPr="00EF35AF">
        <w:rPr>
          <w:szCs w:val="28"/>
        </w:rPr>
        <w:t>Когнитивната война се осъществява не само спрямо отделния индивид, а в конкретна социална и политическа среда. Обществените отношения, колективните идентичности, доверието, обществените разделения и институционалната устойчивост влияят върху възприемането и разпространението на информацията, както и върху възможността когнитивните ефекти да придобият по-широко обществено значение. Поради това социалната и политическата среда представлява съществена група детерминанти на когнитивната война.</w:t>
      </w:r>
    </w:p>
    <w:p w14:paraId="790209F8" w14:textId="284A6DA5" w:rsidR="00EF35AF" w:rsidRPr="00EF35AF" w:rsidRDefault="00EF35AF" w:rsidP="00EF35AF">
      <w:pPr>
        <w:ind w:firstLine="567"/>
        <w:jc w:val="both"/>
        <w:rPr>
          <w:szCs w:val="28"/>
        </w:rPr>
      </w:pPr>
      <w:r w:rsidRPr="00EF35AF">
        <w:rPr>
          <w:szCs w:val="28"/>
        </w:rPr>
        <w:t>Сред основните социални детерминанти се открояват социалната идентичност, обществената поляризация, социалната кохезия и междуличностното доверие. При наличие на устойчиви обществени разделения информацията често се възприема не само според съдържанието и достоверността ѝ, а и според принадлежността на източника или съответствието ѝ с вече формирани нагласи. Това създава условия съществуващите противоречия да бъдат използвани за задълбочаване на общественото противопоставяне [</w:t>
      </w:r>
      <w:r w:rsidR="00BB0875">
        <w:rPr>
          <w:szCs w:val="28"/>
        </w:rPr>
        <w:t>4</w:t>
      </w:r>
      <w:r w:rsidRPr="00EF35AF">
        <w:rPr>
          <w:szCs w:val="28"/>
        </w:rPr>
        <w:t xml:space="preserve">, </w:t>
      </w:r>
      <w:r w:rsidR="00BB0875">
        <w:rPr>
          <w:szCs w:val="28"/>
        </w:rPr>
        <w:t>7</w:t>
      </w:r>
      <w:r w:rsidRPr="00EF35AF">
        <w:rPr>
          <w:szCs w:val="28"/>
        </w:rPr>
        <w:t>].</w:t>
      </w:r>
    </w:p>
    <w:p w14:paraId="5E4572F7" w14:textId="77777777" w:rsidR="00EF35AF" w:rsidRPr="00EF35AF" w:rsidRDefault="00EF35AF" w:rsidP="00EF35AF">
      <w:pPr>
        <w:ind w:firstLine="567"/>
        <w:jc w:val="both"/>
        <w:rPr>
          <w:szCs w:val="28"/>
        </w:rPr>
      </w:pPr>
      <w:r w:rsidRPr="00EF35AF">
        <w:rPr>
          <w:szCs w:val="28"/>
        </w:rPr>
        <w:t>Обществената поляризация не следва да се разглежда като пряк резултат от когнитивната война, тъй като може да произтича от вътрешни политически, икономически и социални процеси. Тези разделения обаче могат да бъдат използвани за засилване на недоверието и различията във възприемането на действителността, превръщайки се в благоприятна среда за когнитивно въздействие.</w:t>
      </w:r>
    </w:p>
    <w:p w14:paraId="295861F2" w14:textId="39415B5E" w:rsidR="00EF35AF" w:rsidRPr="00EF35AF" w:rsidRDefault="00EF35AF" w:rsidP="00EF35AF">
      <w:pPr>
        <w:ind w:firstLine="567"/>
        <w:jc w:val="both"/>
        <w:rPr>
          <w:szCs w:val="28"/>
        </w:rPr>
      </w:pPr>
      <w:r w:rsidRPr="00EF35AF">
        <w:rPr>
          <w:szCs w:val="28"/>
        </w:rPr>
        <w:t>Ключова политическа детерминанта е доверието в публичните институции и обществените източници на информация. То влияе върху готовността на гражданите да приемат информация и да следват публични решения. Ниските равнища на доверие ограничават способността на институциите да комуникират ефективно и увеличават уязвимостта към манипулативни интерпретации</w:t>
      </w:r>
      <w:r w:rsidR="00561C14">
        <w:rPr>
          <w:szCs w:val="28"/>
        </w:rPr>
        <w:t>.</w:t>
      </w:r>
    </w:p>
    <w:p w14:paraId="3EB25030" w14:textId="77777777" w:rsidR="00EF35AF" w:rsidRPr="00EF35AF" w:rsidRDefault="00EF35AF" w:rsidP="00EF35AF">
      <w:pPr>
        <w:ind w:firstLine="567"/>
        <w:jc w:val="both"/>
        <w:rPr>
          <w:szCs w:val="28"/>
        </w:rPr>
      </w:pPr>
      <w:r w:rsidRPr="00EF35AF">
        <w:rPr>
          <w:szCs w:val="28"/>
        </w:rPr>
        <w:t>Социалната кохезия и институционалната устойчивост ограничават възможностите за манипулиране на съществуващи разделения. Обратно, натрупването на недоверие, социална фрагментация и политическо отчуждение увеличава потенциала за външно или вътрешно когнитивно въздействие.</w:t>
      </w:r>
    </w:p>
    <w:p w14:paraId="6004E6D5" w14:textId="6678B162" w:rsidR="00EF35AF" w:rsidRPr="009F12DD" w:rsidRDefault="00EF35AF" w:rsidP="00192717">
      <w:pPr>
        <w:ind w:firstLine="567"/>
        <w:jc w:val="both"/>
        <w:rPr>
          <w:szCs w:val="28"/>
        </w:rPr>
      </w:pPr>
      <w:r w:rsidRPr="00EF35AF">
        <w:rPr>
          <w:szCs w:val="28"/>
        </w:rPr>
        <w:t>Следователно към основните социални и политически детерминанти на когнитивната война могат да бъдат отнесени социалната идентичност, обществената поляризация, социалната кохезия, междуличностното и институционалното доверие, обществените разделения и институционалната устойчивост. Тяхното значение произтича от способността им да определят социалния контекст, в който когнитивното въздействие се възприема и трансформира в колективни нагласи и поведение.</w:t>
      </w:r>
    </w:p>
    <w:p w14:paraId="4085B2F8" w14:textId="0A086D57" w:rsidR="00870BC5" w:rsidRPr="005008ED" w:rsidRDefault="00870BC5" w:rsidP="00870BC5">
      <w:pPr>
        <w:ind w:firstLine="567"/>
        <w:jc w:val="both"/>
        <w:rPr>
          <w:szCs w:val="28"/>
          <w:lang w:val="en-US"/>
        </w:rPr>
      </w:pPr>
      <w:r w:rsidRPr="005008ED">
        <w:rPr>
          <w:szCs w:val="28"/>
        </w:rPr>
        <w:t>2.4. Стратегически детерминанти</w:t>
      </w:r>
      <w:r w:rsidR="005008ED">
        <w:rPr>
          <w:szCs w:val="28"/>
          <w:lang w:val="en-US"/>
        </w:rPr>
        <w:t>.</w:t>
      </w:r>
    </w:p>
    <w:p w14:paraId="7BFC59FC" w14:textId="57B4A4FB" w:rsidR="009F12DD" w:rsidRPr="009F12DD" w:rsidRDefault="009F12DD" w:rsidP="009F12DD">
      <w:pPr>
        <w:ind w:firstLine="567"/>
        <w:jc w:val="both"/>
        <w:rPr>
          <w:szCs w:val="28"/>
        </w:rPr>
      </w:pPr>
      <w:r w:rsidRPr="009F12DD">
        <w:rPr>
          <w:szCs w:val="28"/>
        </w:rPr>
        <w:t>Стратегическите детерминанти определят целевата насоченост и предназначението на когнитивната война. За разлика от когнитивно-психологическите, информационните и технологичните, както и социалните и политическите детерминанти, които формират човешките и средовите условия за въздействие, стратегическите детерминанти са свързани с интересите, целите, избора на обект на въздействие и търсените ефекти. Именно те придават целенасочен характер на използването на съществуващите когнитивни уязвимости и възможностите на информационната среда.</w:t>
      </w:r>
    </w:p>
    <w:p w14:paraId="1B15019A" w14:textId="4A5BD729" w:rsidR="009F12DD" w:rsidRPr="009F12DD" w:rsidRDefault="009F12DD" w:rsidP="009F12DD">
      <w:pPr>
        <w:ind w:firstLine="567"/>
        <w:jc w:val="both"/>
        <w:rPr>
          <w:szCs w:val="28"/>
        </w:rPr>
      </w:pPr>
      <w:r w:rsidRPr="009F12DD">
        <w:rPr>
          <w:szCs w:val="28"/>
        </w:rPr>
        <w:t>Основна стратегическа детерминанта са целите на субекта на въздействие. Когнитивната война придобива стратегическо значение, когато въздействието върху възприятията, нагласите и процесите на вземане на решения е насочено към постигането на по-широки политически, военни или обществени резултати. Търсените ефекти могат да се изразяват в промяна на поведението, затрудняване на процесите на вземане на решения, отслабване на обществената или институционалната устойчивост или създаване на условия, благоприятстващи реализирането на определени стратегически цели [</w:t>
      </w:r>
      <w:r w:rsidR="00BB0875">
        <w:rPr>
          <w:szCs w:val="28"/>
        </w:rPr>
        <w:t>3</w:t>
      </w:r>
      <w:r w:rsidRPr="009F12DD">
        <w:rPr>
          <w:szCs w:val="28"/>
        </w:rPr>
        <w:t xml:space="preserve">, </w:t>
      </w:r>
      <w:r w:rsidR="00BB0875">
        <w:rPr>
          <w:szCs w:val="28"/>
        </w:rPr>
        <w:t>7</w:t>
      </w:r>
      <w:r w:rsidRPr="009F12DD">
        <w:rPr>
          <w:szCs w:val="28"/>
        </w:rPr>
        <w:t>].</w:t>
      </w:r>
    </w:p>
    <w:p w14:paraId="0FEB22ED" w14:textId="77777777" w:rsidR="009F12DD" w:rsidRPr="009F12DD" w:rsidRDefault="009F12DD" w:rsidP="009F12DD">
      <w:pPr>
        <w:ind w:firstLine="567"/>
        <w:jc w:val="both"/>
        <w:rPr>
          <w:szCs w:val="28"/>
        </w:rPr>
      </w:pPr>
      <w:r w:rsidRPr="009F12DD">
        <w:rPr>
          <w:szCs w:val="28"/>
        </w:rPr>
        <w:t>Съществена детерминанта е изборът и познаването на целевата аудитория. Когнитивното въздействие може да бъде насочено към отделни лица, социални групи, военнослужещи, политически и военни ръководители или обществото като цяло. Характеристиките на аудиторията – ценности, идентичности, нагласи, уязвимости и информационно поведение – определят избора на средства и възможността за постигане на търсения ефект. Следователно еднакво въздействие не води непременно до еднакви резултати при различни аудитории.</w:t>
      </w:r>
    </w:p>
    <w:p w14:paraId="4AA7977E" w14:textId="5E601306" w:rsidR="009F12DD" w:rsidRPr="009F12DD" w:rsidRDefault="009F12DD" w:rsidP="009F12DD">
      <w:pPr>
        <w:ind w:firstLine="567"/>
        <w:jc w:val="both"/>
        <w:rPr>
          <w:szCs w:val="28"/>
        </w:rPr>
      </w:pPr>
      <w:r w:rsidRPr="009F12DD">
        <w:rPr>
          <w:szCs w:val="28"/>
        </w:rPr>
        <w:t>Трети съществен фактор е стратегическият и конфликтният контекст. Когнитивната война може да се проявява в условия на стратегическо съперничество, криза или въоръжен конфликт. Разработките на NATO ACT подчертават, че когнитивното противопоставяне може да се осъществява продължително и извън рамките на въоръжен конфликт, което разширява времевите и пространствените граници на стратегическото въздействие [</w:t>
      </w:r>
      <w:r w:rsidR="00BB0875">
        <w:rPr>
          <w:szCs w:val="28"/>
        </w:rPr>
        <w:t>3</w:t>
      </w:r>
      <w:r w:rsidRPr="009F12DD">
        <w:rPr>
          <w:szCs w:val="28"/>
        </w:rPr>
        <w:t>].</w:t>
      </w:r>
    </w:p>
    <w:p w14:paraId="3290E9AA" w14:textId="2B4592A6" w:rsidR="005008ED" w:rsidRDefault="009F12DD" w:rsidP="005008ED">
      <w:pPr>
        <w:ind w:firstLine="567"/>
        <w:jc w:val="both"/>
        <w:rPr>
          <w:szCs w:val="28"/>
          <w:lang w:val="en-US"/>
        </w:rPr>
      </w:pPr>
      <w:r w:rsidRPr="009F12DD">
        <w:rPr>
          <w:szCs w:val="28"/>
        </w:rPr>
        <w:t xml:space="preserve">Следователно като основни стратегически детерминанти могат да бъдат определени стратегическите цели, характеристиките на целевата аудитория, конкретният конфликтен и геополитически контекст, наличните способности за въздействие и търсените когнитивни и поведенчески ефекти. </w:t>
      </w:r>
    </w:p>
    <w:p w14:paraId="517CC2C6" w14:textId="77777777" w:rsidR="005008ED" w:rsidRPr="005008ED" w:rsidRDefault="005008ED" w:rsidP="005008ED">
      <w:pPr>
        <w:ind w:firstLine="567"/>
        <w:jc w:val="both"/>
        <w:rPr>
          <w:szCs w:val="28"/>
          <w:lang w:val="en-US"/>
        </w:rPr>
      </w:pPr>
    </w:p>
    <w:p w14:paraId="20A5EABE" w14:textId="60D8FB65" w:rsidR="00683E63" w:rsidRPr="00683E63" w:rsidRDefault="00683E63" w:rsidP="00683E63">
      <w:pPr>
        <w:ind w:firstLine="567"/>
        <w:jc w:val="both"/>
        <w:rPr>
          <w:b/>
          <w:bCs/>
          <w:szCs w:val="28"/>
        </w:rPr>
      </w:pPr>
      <w:r w:rsidRPr="00683E63">
        <w:rPr>
          <w:b/>
          <w:bCs/>
          <w:szCs w:val="28"/>
        </w:rPr>
        <w:t>3. Анализ на взаимовръзките</w:t>
      </w:r>
      <w:r w:rsidR="00CC24AA">
        <w:rPr>
          <w:b/>
          <w:bCs/>
          <w:szCs w:val="28"/>
        </w:rPr>
        <w:t xml:space="preserve"> </w:t>
      </w:r>
      <w:r w:rsidR="00CC24AA" w:rsidRPr="00CC24AA">
        <w:rPr>
          <w:b/>
          <w:bCs/>
          <w:szCs w:val="28"/>
        </w:rPr>
        <w:t>между основните детерминанти</w:t>
      </w:r>
      <w:r w:rsidR="001A382A">
        <w:rPr>
          <w:b/>
          <w:bCs/>
          <w:szCs w:val="28"/>
        </w:rPr>
        <w:t>.</w:t>
      </w:r>
    </w:p>
    <w:p w14:paraId="195D8FAF" w14:textId="77777777" w:rsidR="001A382A" w:rsidRPr="001A382A" w:rsidRDefault="001A382A" w:rsidP="001A382A">
      <w:pPr>
        <w:ind w:firstLine="567"/>
        <w:jc w:val="both"/>
        <w:rPr>
          <w:szCs w:val="28"/>
        </w:rPr>
      </w:pPr>
      <w:r w:rsidRPr="001A382A">
        <w:rPr>
          <w:szCs w:val="28"/>
        </w:rPr>
        <w:t>Разгледаните детерминанти на когнитивната война не действат самостоятелно, а формират взаимосвързана система, в която промяната или активирането на един фактор влияе върху действието на останалите. Обособяването им в когнитивно-психологически, информационни и технологични, социални и политически и стратегически детерминанти има аналитичен характер. В практическа среда потенциалът за когнитивно въздействие се формира в резултат от тяхното взаимодействие.</w:t>
      </w:r>
    </w:p>
    <w:p w14:paraId="355DFBD9" w14:textId="17113F75" w:rsidR="001A382A" w:rsidRPr="001A382A" w:rsidRDefault="001A382A" w:rsidP="001A382A">
      <w:pPr>
        <w:ind w:firstLine="567"/>
        <w:jc w:val="both"/>
        <w:rPr>
          <w:szCs w:val="28"/>
        </w:rPr>
      </w:pPr>
      <w:r w:rsidRPr="001A382A">
        <w:rPr>
          <w:szCs w:val="28"/>
        </w:rPr>
        <w:t>Когнитивно-психологическите детерминанти формират човешката основа на въздействието. Особеностите на вниманието, възприятието, емоциите, когнитивните пристрастия и процесите на вземане на решения определят начина, по който информацията се възприема и интерпретира. Тяхното значение се проявява в конкретна информационна и социална среда. Например информационното пренасищане може да ограничи възможностите за критична оценка на съдържанието, а алгоритмичното посредничество – да увеличи видимостта и повторяемостта на определени послания</w:t>
      </w:r>
      <w:r w:rsidR="00735076">
        <w:rPr>
          <w:szCs w:val="28"/>
        </w:rPr>
        <w:t xml:space="preserve"> </w:t>
      </w:r>
      <w:r w:rsidRPr="001A382A">
        <w:rPr>
          <w:szCs w:val="28"/>
        </w:rPr>
        <w:t>[</w:t>
      </w:r>
      <w:r w:rsidR="00BB0875">
        <w:rPr>
          <w:szCs w:val="28"/>
        </w:rPr>
        <w:t>4</w:t>
      </w:r>
      <w:r w:rsidRPr="001A382A">
        <w:rPr>
          <w:szCs w:val="28"/>
        </w:rPr>
        <w:t xml:space="preserve">, </w:t>
      </w:r>
      <w:r w:rsidR="00BB0875">
        <w:rPr>
          <w:szCs w:val="28"/>
        </w:rPr>
        <w:t>6</w:t>
      </w:r>
      <w:r w:rsidRPr="001A382A">
        <w:rPr>
          <w:szCs w:val="28"/>
        </w:rPr>
        <w:t>].</w:t>
      </w:r>
    </w:p>
    <w:p w14:paraId="71939469" w14:textId="620BEC7E" w:rsidR="001A382A" w:rsidRPr="001A382A" w:rsidRDefault="001A382A" w:rsidP="001A382A">
      <w:pPr>
        <w:ind w:firstLine="567"/>
        <w:jc w:val="both"/>
        <w:rPr>
          <w:szCs w:val="28"/>
        </w:rPr>
      </w:pPr>
      <w:r w:rsidRPr="001A382A">
        <w:rPr>
          <w:szCs w:val="28"/>
        </w:rPr>
        <w:t>Връзката между когнитивно-психологическите и социално-политическите детерминанти се проявява чрез взаимодействието между индивидуалното възприятие и груповата принадлежност. Идентичността, обществените разделения и равнището на доверие влияят върху оценката на източниците и съдържанието. От своя страна натрупването на индивидуални когнитивни и поведенчески ефекти може да се пренесе на групово и обществено равнище и да повлияе върху социалната кохезия, общественото доверие и институционалната устойчивост [</w:t>
      </w:r>
      <w:r w:rsidR="00BB0875">
        <w:rPr>
          <w:szCs w:val="28"/>
        </w:rPr>
        <w:t>7</w:t>
      </w:r>
      <w:r w:rsidRPr="001A382A">
        <w:rPr>
          <w:szCs w:val="28"/>
        </w:rPr>
        <w:t xml:space="preserve">, </w:t>
      </w:r>
      <w:r w:rsidR="00BB0875">
        <w:rPr>
          <w:szCs w:val="28"/>
        </w:rPr>
        <w:t>8</w:t>
      </w:r>
      <w:r w:rsidRPr="001A382A">
        <w:rPr>
          <w:szCs w:val="28"/>
        </w:rPr>
        <w:t>]. Така социалната среда едновременно обуславя когнитивното въздействие и може да бъде променяна от него.</w:t>
      </w:r>
    </w:p>
    <w:p w14:paraId="45B18584" w14:textId="77777777" w:rsidR="001A382A" w:rsidRPr="001A382A" w:rsidRDefault="001A382A" w:rsidP="001A382A">
      <w:pPr>
        <w:ind w:firstLine="567"/>
        <w:jc w:val="both"/>
        <w:rPr>
          <w:szCs w:val="28"/>
        </w:rPr>
      </w:pPr>
      <w:r w:rsidRPr="001A382A">
        <w:rPr>
          <w:szCs w:val="28"/>
        </w:rPr>
        <w:t>Информационните и технологичните детерминанти изпълняват свързваща и усилваща функция. Цифровите платформи, алгоритмичните системи, данните и изкуственият интелект увеличават възможностите за създаване, адаптиране и разпространение на съдържание към определени аудитории. Тяхното значение обаче зависи от съчетаването им с познаване на когнитивните особености на аудиторията и на съществуващия социален и политически контекст. Следователно технологичните възможности придобиват реален ефект единствено чрез взаимодействието си с човешките и обществените фактори.</w:t>
      </w:r>
    </w:p>
    <w:p w14:paraId="465BFF15" w14:textId="77777777" w:rsidR="001A382A" w:rsidRPr="001A382A" w:rsidRDefault="001A382A" w:rsidP="001A382A">
      <w:pPr>
        <w:ind w:firstLine="567"/>
        <w:jc w:val="both"/>
        <w:rPr>
          <w:szCs w:val="28"/>
        </w:rPr>
      </w:pPr>
      <w:r w:rsidRPr="001A382A">
        <w:rPr>
          <w:szCs w:val="28"/>
        </w:rPr>
        <w:t>Стратегическите детерминанти придават целенасоченост на цялата система. Те определят търсения ефект, целевата аудитория и начина, по който могат да бъдат използвани съществуващите когнитивни, информационни и социални условия. Без подобна целенасоченост наличието на когнитивни пристрастия, информационно пренасищане, социална поляризация или технологични способности не е достатъчно, за да бъде определено като когнитивна война.</w:t>
      </w:r>
    </w:p>
    <w:p w14:paraId="52559235" w14:textId="42ABEE21" w:rsidR="001A382A" w:rsidRDefault="001A382A" w:rsidP="001A382A">
      <w:pPr>
        <w:ind w:firstLine="567"/>
        <w:jc w:val="both"/>
        <w:rPr>
          <w:szCs w:val="28"/>
          <w:lang w:val="en-US"/>
        </w:rPr>
      </w:pPr>
      <w:r w:rsidRPr="001A382A">
        <w:rPr>
          <w:szCs w:val="28"/>
        </w:rPr>
        <w:t xml:space="preserve">Проведеният анализ показва, че когнитивната война се формира под въздействието на взаимосвързани когнитивно-психологически, информационни и технологични, социални и политически, както и стратегически детерминанти. За систематизиране на установените взаимовръзки </w:t>
      </w:r>
      <w:r>
        <w:rPr>
          <w:szCs w:val="28"/>
        </w:rPr>
        <w:t>на ф</w:t>
      </w:r>
      <w:r w:rsidRPr="001A382A">
        <w:rPr>
          <w:szCs w:val="28"/>
        </w:rPr>
        <w:t>иг. 1</w:t>
      </w:r>
      <w:r>
        <w:rPr>
          <w:szCs w:val="28"/>
        </w:rPr>
        <w:t xml:space="preserve"> </w:t>
      </w:r>
      <w:r w:rsidRPr="001A382A">
        <w:rPr>
          <w:szCs w:val="28"/>
        </w:rPr>
        <w:t>е разработен авторски концептуален модел, който представя тяхното взаимодействие в процеса на когнитивно въздействие.</w:t>
      </w:r>
    </w:p>
    <w:p w14:paraId="1EE7AA76" w14:textId="77777777" w:rsidR="005008ED" w:rsidRPr="005008ED" w:rsidRDefault="005008ED" w:rsidP="001A382A">
      <w:pPr>
        <w:ind w:firstLine="567"/>
        <w:jc w:val="both"/>
        <w:rPr>
          <w:szCs w:val="28"/>
          <w:lang w:val="en-US"/>
        </w:rPr>
      </w:pPr>
    </w:p>
    <w:p w14:paraId="3208B352" w14:textId="747724AA" w:rsidR="002565CF" w:rsidRDefault="002356BA" w:rsidP="001744E6">
      <w:pPr>
        <w:ind w:firstLine="567"/>
        <w:jc w:val="center"/>
        <w:rPr>
          <w:szCs w:val="28"/>
        </w:rPr>
      </w:pPr>
      <w:r>
        <w:rPr>
          <w:noProof/>
        </w:rPr>
        <w:drawing>
          <wp:inline distT="0" distB="0" distL="0" distR="0" wp14:anchorId="19C671DD" wp14:editId="538C41BE">
            <wp:extent cx="5372100" cy="2787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2100" cy="2787650"/>
                    </a:xfrm>
                    <a:prstGeom prst="rect">
                      <a:avLst/>
                    </a:prstGeom>
                    <a:noFill/>
                    <a:ln>
                      <a:noFill/>
                    </a:ln>
                  </pic:spPr>
                </pic:pic>
              </a:graphicData>
            </a:graphic>
          </wp:inline>
        </w:drawing>
      </w:r>
    </w:p>
    <w:p w14:paraId="6E5976C3" w14:textId="77777777" w:rsidR="002356BA" w:rsidRDefault="002356BA" w:rsidP="002356BA">
      <w:pPr>
        <w:pStyle w:val="NoSpacing"/>
        <w:jc w:val="both"/>
        <w:rPr>
          <w:szCs w:val="28"/>
        </w:rPr>
      </w:pPr>
      <w:r w:rsidRPr="00FF5FED">
        <w:rPr>
          <w:szCs w:val="28"/>
        </w:rPr>
        <w:t>ИЗТОЧНИК:</w:t>
      </w:r>
      <w:r>
        <w:rPr>
          <w:szCs w:val="28"/>
        </w:rPr>
        <w:t xml:space="preserve"> Авторска разработка</w:t>
      </w:r>
    </w:p>
    <w:p w14:paraId="46E1D804" w14:textId="77777777" w:rsidR="008652CB" w:rsidRDefault="008652CB" w:rsidP="002565CF">
      <w:pPr>
        <w:ind w:firstLine="567"/>
        <w:jc w:val="both"/>
        <w:rPr>
          <w:szCs w:val="28"/>
        </w:rPr>
      </w:pPr>
    </w:p>
    <w:p w14:paraId="48FDC5B7" w14:textId="77777777" w:rsidR="002356BA" w:rsidRDefault="002356BA" w:rsidP="002356BA">
      <w:pPr>
        <w:pStyle w:val="NoSpacing"/>
        <w:jc w:val="center"/>
        <w:rPr>
          <w:szCs w:val="28"/>
        </w:rPr>
      </w:pPr>
      <w:r w:rsidRPr="005A25EF">
        <w:rPr>
          <w:b/>
          <w:bCs/>
          <w:szCs w:val="28"/>
        </w:rPr>
        <w:t>Фигура 1 – Концептуален модел на</w:t>
      </w:r>
      <w:r>
        <w:rPr>
          <w:b/>
          <w:bCs/>
          <w:szCs w:val="28"/>
        </w:rPr>
        <w:t xml:space="preserve"> взаимодействието между основните детерминанти на когнитивната война</w:t>
      </w:r>
    </w:p>
    <w:p w14:paraId="6866C0C2" w14:textId="77777777" w:rsidR="002356BA" w:rsidRDefault="002356BA" w:rsidP="002565CF">
      <w:pPr>
        <w:ind w:firstLine="567"/>
        <w:jc w:val="both"/>
        <w:rPr>
          <w:szCs w:val="28"/>
        </w:rPr>
      </w:pPr>
    </w:p>
    <w:p w14:paraId="1EED6ADC" w14:textId="77777777" w:rsidR="001A382A" w:rsidRPr="001A382A" w:rsidRDefault="001A382A" w:rsidP="001A382A">
      <w:pPr>
        <w:ind w:firstLine="567"/>
        <w:jc w:val="both"/>
        <w:rPr>
          <w:szCs w:val="28"/>
        </w:rPr>
      </w:pPr>
      <w:r w:rsidRPr="001A382A">
        <w:rPr>
          <w:szCs w:val="28"/>
        </w:rPr>
        <w:t>Предложеният концептуален модел не представя строго последователен процес, а аналитична рамка за систематизиране на взаимовръзките между основните детерминанти. Взаимодействието между тях е динамично, като промени в една група могат да окажат влияние върху останалите. По този начин потенциалът за когнитивно въздействие се формира в резултат от тяхното комплексно взаимодействие, а не от действието на отделен фактор.</w:t>
      </w:r>
    </w:p>
    <w:p w14:paraId="21073D2A" w14:textId="09DB2E6B" w:rsidR="002356BA" w:rsidRDefault="001A382A" w:rsidP="00192717">
      <w:pPr>
        <w:ind w:firstLine="567"/>
        <w:jc w:val="both"/>
        <w:rPr>
          <w:szCs w:val="28"/>
        </w:rPr>
      </w:pPr>
      <w:r w:rsidRPr="001A382A">
        <w:rPr>
          <w:szCs w:val="28"/>
        </w:rPr>
        <w:t>На тази основа може да се направи извод, че потенциалът за когнитивно въздействие не се определя от наличието на една доминираща детерминанта, а от взаимодействието между човешките уязвимости, информационно-технологичните възможности, социално-политическите условия и стратегическата целенасоченост. Именно тяхната взаимна обусловеност позволява отделни информационни въздействия да се трансформират в когнитивни, поведенчески и стратегически ефекти. Следователно анализът на когнитивната война изисква системен подход, при който детерминантите се разглеждат не изолирано, а като взаимосвързани елементи на единна система за реализиране на когнитивно въздействие.</w:t>
      </w:r>
    </w:p>
    <w:p w14:paraId="1ABE7824" w14:textId="77777777" w:rsidR="00192717" w:rsidRDefault="00192717" w:rsidP="00192717">
      <w:pPr>
        <w:ind w:firstLine="567"/>
        <w:jc w:val="both"/>
        <w:rPr>
          <w:szCs w:val="28"/>
        </w:rPr>
      </w:pPr>
    </w:p>
    <w:p w14:paraId="0287CFBC" w14:textId="77777777" w:rsidR="004F1C93" w:rsidRPr="004F1C93" w:rsidRDefault="004F1C93" w:rsidP="004F1C93">
      <w:pPr>
        <w:ind w:firstLine="567"/>
        <w:jc w:val="both"/>
        <w:rPr>
          <w:b/>
          <w:bCs/>
          <w:szCs w:val="28"/>
        </w:rPr>
      </w:pPr>
      <w:r w:rsidRPr="004F1C93">
        <w:rPr>
          <w:b/>
          <w:bCs/>
          <w:szCs w:val="28"/>
        </w:rPr>
        <w:t>Заключение</w:t>
      </w:r>
    </w:p>
    <w:p w14:paraId="1A534127" w14:textId="77777777" w:rsidR="001A382A" w:rsidRPr="001A382A" w:rsidRDefault="001A382A" w:rsidP="001A382A">
      <w:pPr>
        <w:ind w:firstLine="567"/>
        <w:jc w:val="both"/>
        <w:rPr>
          <w:szCs w:val="28"/>
        </w:rPr>
      </w:pPr>
      <w:r w:rsidRPr="001A382A">
        <w:rPr>
          <w:szCs w:val="28"/>
        </w:rPr>
        <w:t>Когнитивната война се утвърждава като комплексно явление в съвременната среда за сигурност, при което човешкото познание и свързаното с него поведение се превръщат в обект на целенасочено въздействие. Проведеният анализ показва, че нейното проявление не може да бъде обяснено чрез един доминиращ фактор, а е резултат от взаимодействието на множество взаимосвързани детерминанти.</w:t>
      </w:r>
    </w:p>
    <w:p w14:paraId="06F73396" w14:textId="77777777" w:rsidR="001A382A" w:rsidRPr="001A382A" w:rsidRDefault="001A382A" w:rsidP="001A382A">
      <w:pPr>
        <w:ind w:firstLine="567"/>
        <w:jc w:val="both"/>
        <w:rPr>
          <w:szCs w:val="28"/>
        </w:rPr>
      </w:pPr>
      <w:r w:rsidRPr="001A382A">
        <w:rPr>
          <w:szCs w:val="28"/>
        </w:rPr>
        <w:t>В доклада са систематизирани четири основни групи детерминанти – когнитивно-психологически, информационни и технологични, социални и политически, както и стратегически. Те формират единна система, в която човешките особености, информационната среда, обществените условия и стратегическите цели взаимно се допълват и определят възможностите за реализиране на когнитивно въздействие.</w:t>
      </w:r>
    </w:p>
    <w:p w14:paraId="5482C0BB" w14:textId="77777777" w:rsidR="001A382A" w:rsidRPr="001A382A" w:rsidRDefault="001A382A" w:rsidP="001A382A">
      <w:pPr>
        <w:ind w:firstLine="567"/>
        <w:jc w:val="both"/>
        <w:rPr>
          <w:szCs w:val="28"/>
        </w:rPr>
      </w:pPr>
      <w:r w:rsidRPr="001A382A">
        <w:rPr>
          <w:szCs w:val="28"/>
        </w:rPr>
        <w:t>Основният извод от изследването е, че потенциалът на когнитивната война произтича не от самостоятелното действие на отделна детерминанта, а от тяхното взаимодействие. Именно тази взаимна обусловеност създава условия за трансформиране на информационното въздействие в когнитивни, поведенчески и стратегически ефекти.</w:t>
      </w:r>
    </w:p>
    <w:p w14:paraId="3EEA3D3A" w14:textId="698BBA28" w:rsidR="001F6E53" w:rsidRDefault="001A382A" w:rsidP="00192717">
      <w:pPr>
        <w:ind w:firstLine="567"/>
        <w:jc w:val="both"/>
        <w:rPr>
          <w:szCs w:val="28"/>
        </w:rPr>
      </w:pPr>
      <w:r w:rsidRPr="001A382A">
        <w:rPr>
          <w:szCs w:val="28"/>
        </w:rPr>
        <w:t>Следователно изследването на когнитивната война изисква системен подход, при който детерминантите се разглеждат като взаимосвързани елементи на единна система. Предложената систематизация и анализът на техните взаимовръзки създават основа за по-нататъшни изследвания на механизмите на когнитивното въздействие и за разработване на подходи за повишаване на индивидуалната, обществената и институционалната устойчивост.</w:t>
      </w:r>
    </w:p>
    <w:p w14:paraId="4E308FFF" w14:textId="77777777" w:rsidR="00735076" w:rsidRDefault="00735076" w:rsidP="005008ED">
      <w:pPr>
        <w:jc w:val="both"/>
        <w:rPr>
          <w:szCs w:val="28"/>
          <w:lang w:val="en-US"/>
        </w:rPr>
      </w:pPr>
    </w:p>
    <w:p w14:paraId="1F295B30" w14:textId="77777777" w:rsidR="005008ED" w:rsidRPr="005008ED" w:rsidRDefault="005008ED" w:rsidP="005008ED">
      <w:pPr>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t>ЛИТЕРАТУРА:</w:t>
      </w:r>
    </w:p>
    <w:p w14:paraId="42E03792" w14:textId="39A66B94" w:rsidR="00083FBE" w:rsidRPr="003B7D36" w:rsidRDefault="00F947F9" w:rsidP="003004BD">
      <w:pPr>
        <w:ind w:firstLine="567"/>
        <w:jc w:val="both"/>
        <w:rPr>
          <w:szCs w:val="28"/>
        </w:rPr>
      </w:pPr>
      <w:r w:rsidRPr="003B7D36">
        <w:rPr>
          <w:szCs w:val="28"/>
        </w:rPr>
        <w:t xml:space="preserve">1. </w:t>
      </w:r>
      <w:r w:rsidR="00083FBE" w:rsidRPr="003B7D36">
        <w:rPr>
          <w:szCs w:val="28"/>
        </w:rPr>
        <w:t>Славев, С. Signals intelligence and electronic intelligence in conventional operations, MIL&amp;SEC 2023, article collection vol. 1 „military sciences“, 2023, ISSN 2603-3607.</w:t>
      </w:r>
    </w:p>
    <w:p w14:paraId="5B72EEFF" w14:textId="1CE58C08" w:rsidR="007B5909" w:rsidRPr="003B7D36" w:rsidRDefault="00083FBE" w:rsidP="003004BD">
      <w:pPr>
        <w:ind w:firstLine="567"/>
        <w:jc w:val="both"/>
        <w:rPr>
          <w:szCs w:val="28"/>
        </w:rPr>
      </w:pPr>
      <w:r w:rsidRPr="003B7D36">
        <w:rPr>
          <w:szCs w:val="28"/>
        </w:rPr>
        <w:t>2.</w:t>
      </w:r>
      <w:r w:rsidR="00561C14" w:rsidRPr="003B7D36">
        <w:rPr>
          <w:szCs w:val="28"/>
        </w:rPr>
        <w:t xml:space="preserve"> </w:t>
      </w:r>
      <w:r w:rsidR="00F947F9" w:rsidRPr="003B7D36">
        <w:rPr>
          <w:szCs w:val="28"/>
        </w:rPr>
        <w:t>BERNAL, A., CARTER, C., SINGH, I., CAO, K. and MADREPERLA, O. Cognitive Warfare: An Attack on Truth and Thought. Baltimore: Johns Hopkins University Applied Physics Laboratory; NATO, 2020.</w:t>
      </w:r>
    </w:p>
    <w:p w14:paraId="545DF884" w14:textId="2D756C4F" w:rsidR="00F947F9" w:rsidRPr="003B7D36" w:rsidRDefault="00083FBE" w:rsidP="00F947F9">
      <w:pPr>
        <w:ind w:firstLine="567"/>
        <w:jc w:val="both"/>
        <w:rPr>
          <w:szCs w:val="28"/>
        </w:rPr>
      </w:pPr>
      <w:r w:rsidRPr="003B7D36">
        <w:rPr>
          <w:szCs w:val="28"/>
        </w:rPr>
        <w:t>3</w:t>
      </w:r>
      <w:r w:rsidR="00F947F9" w:rsidRPr="003B7D36">
        <w:rPr>
          <w:szCs w:val="28"/>
        </w:rPr>
        <w:t>. NATO Science &amp; Technology Organization. Cognitive Warfare: NATO Chief Scientist Research Report. Brussels: NATO Science &amp; Technology Organization, 2021.</w:t>
      </w:r>
    </w:p>
    <w:p w14:paraId="0A5D600F" w14:textId="0E395495" w:rsidR="00F947F9" w:rsidRPr="003B7D36" w:rsidRDefault="00083FBE" w:rsidP="00F947F9">
      <w:pPr>
        <w:ind w:firstLine="567"/>
        <w:jc w:val="both"/>
        <w:rPr>
          <w:szCs w:val="28"/>
        </w:rPr>
      </w:pPr>
      <w:r w:rsidRPr="003B7D36">
        <w:rPr>
          <w:szCs w:val="28"/>
        </w:rPr>
        <w:t>4</w:t>
      </w:r>
      <w:r w:rsidR="00F947F9" w:rsidRPr="003B7D36">
        <w:rPr>
          <w:szCs w:val="28"/>
        </w:rPr>
        <w:t xml:space="preserve">. ZHOU, Y. et al. Processing of misinformation as motivational and cognitive biases in information processing. Online. 2024. Available from: </w:t>
      </w:r>
      <w:hyperlink r:id="rId9" w:tgtFrame="_new" w:history="1">
        <w:r w:rsidR="00F947F9" w:rsidRPr="003B7D36">
          <w:rPr>
            <w:rStyle w:val="Hyperlink"/>
            <w:color w:val="auto"/>
            <w:szCs w:val="28"/>
            <w:u w:val="none"/>
          </w:rPr>
          <w:t>https://pmc.ncbi.nl</w:t>
        </w:r>
        <w:r w:rsidR="00F947F9" w:rsidRPr="003B7D36">
          <w:rPr>
            <w:rStyle w:val="Hyperlink"/>
            <w:color w:val="auto"/>
            <w:szCs w:val="28"/>
            <w:u w:val="none"/>
          </w:rPr>
          <w:t>m</w:t>
        </w:r>
        <w:r w:rsidR="00F947F9" w:rsidRPr="003B7D36">
          <w:rPr>
            <w:rStyle w:val="Hyperlink"/>
            <w:color w:val="auto"/>
            <w:szCs w:val="28"/>
            <w:u w:val="none"/>
          </w:rPr>
          <w:t>.nih.gov/</w:t>
        </w:r>
      </w:hyperlink>
      <w:r w:rsidR="00F947F9" w:rsidRPr="003B7D36">
        <w:rPr>
          <w:szCs w:val="28"/>
        </w:rPr>
        <w:t>.... [viewed 2026-07-14].</w:t>
      </w:r>
    </w:p>
    <w:p w14:paraId="65DE2FE5" w14:textId="54C62148" w:rsidR="00F947F9" w:rsidRPr="003B7D36" w:rsidRDefault="00083FBE" w:rsidP="00F947F9">
      <w:pPr>
        <w:ind w:firstLine="567"/>
        <w:jc w:val="both"/>
        <w:rPr>
          <w:szCs w:val="28"/>
        </w:rPr>
      </w:pPr>
      <w:r w:rsidRPr="003B7D36">
        <w:rPr>
          <w:szCs w:val="28"/>
        </w:rPr>
        <w:t>5</w:t>
      </w:r>
      <w:r w:rsidR="00F947F9" w:rsidRPr="003B7D36">
        <w:rPr>
          <w:szCs w:val="28"/>
        </w:rPr>
        <w:t xml:space="preserve">. LERNER, Jennifer S., LI, Ye, VALDESOLO, Piercarlo and KASSAM, Karim S. Emotion and Decision Making. Online. Annual Review of Psychology. 2015, vol. 66, pp. 799–823. DOI: 10.1146/annurev-psych-010213-115043. Available from: </w:t>
      </w:r>
      <w:hyperlink r:id="rId10" w:tgtFrame="_new" w:history="1">
        <w:r w:rsidR="00F947F9" w:rsidRPr="003B7D36">
          <w:rPr>
            <w:rStyle w:val="Hyperlink"/>
            <w:color w:val="auto"/>
            <w:szCs w:val="28"/>
            <w:u w:val="none"/>
          </w:rPr>
          <w:t>https://www.annualreviews.org/doi/10.1146/annurev-psych-010213-115043</w:t>
        </w:r>
      </w:hyperlink>
      <w:r w:rsidR="00F947F9" w:rsidRPr="003B7D36">
        <w:rPr>
          <w:szCs w:val="28"/>
        </w:rPr>
        <w:t>. [viewed 2026-07-14].</w:t>
      </w:r>
    </w:p>
    <w:p w14:paraId="748D51CE" w14:textId="69838CD5" w:rsidR="00F947F9" w:rsidRPr="003B7D36" w:rsidRDefault="00083FBE" w:rsidP="00F947F9">
      <w:pPr>
        <w:ind w:firstLine="567"/>
        <w:jc w:val="both"/>
        <w:rPr>
          <w:szCs w:val="28"/>
        </w:rPr>
      </w:pPr>
      <w:r w:rsidRPr="003B7D36">
        <w:rPr>
          <w:szCs w:val="28"/>
        </w:rPr>
        <w:t>6</w:t>
      </w:r>
      <w:r w:rsidR="00F947F9" w:rsidRPr="003B7D36">
        <w:rPr>
          <w:szCs w:val="28"/>
        </w:rPr>
        <w:t xml:space="preserve"> NATO Strategic Communications Centre of Excellence. The NextGen Information Environment. Online. Riga: NATO Strategic Communications Centre of Excellence, 2026. ISBN 978-9934-619-76-2. Available from: </w:t>
      </w:r>
      <w:hyperlink r:id="rId11" w:tgtFrame="_new" w:history="1">
        <w:r w:rsidR="00F947F9" w:rsidRPr="003B7D36">
          <w:rPr>
            <w:rStyle w:val="Hyperlink"/>
            <w:color w:val="auto"/>
            <w:szCs w:val="28"/>
            <w:u w:val="none"/>
          </w:rPr>
          <w:t>https://stratcomcoe.org/</w:t>
        </w:r>
      </w:hyperlink>
      <w:r w:rsidR="00F947F9" w:rsidRPr="003B7D36">
        <w:rPr>
          <w:szCs w:val="28"/>
        </w:rPr>
        <w:t>. [viewed 2026-07-14].</w:t>
      </w:r>
    </w:p>
    <w:p w14:paraId="18CBD8D3" w14:textId="0E88A17D" w:rsidR="00F947F9" w:rsidRPr="003B7D36" w:rsidRDefault="00083FBE" w:rsidP="00F947F9">
      <w:pPr>
        <w:ind w:firstLine="567"/>
        <w:jc w:val="both"/>
        <w:rPr>
          <w:szCs w:val="28"/>
        </w:rPr>
      </w:pPr>
      <w:r w:rsidRPr="003B7D36">
        <w:rPr>
          <w:szCs w:val="28"/>
        </w:rPr>
        <w:t>7</w:t>
      </w:r>
      <w:r w:rsidR="00F947F9" w:rsidRPr="003B7D36">
        <w:rPr>
          <w:szCs w:val="28"/>
        </w:rPr>
        <w:t xml:space="preserve">. DEPPE, Christian et al. The Understanding of Cognitive Warfare in Comparative Perspective: Taking Stock and Bridging the Gap to Extant Literatures. Online. Brussels: NATO Science &amp; Technology Organization, 2025. Available from: </w:t>
      </w:r>
      <w:hyperlink r:id="rId12" w:tgtFrame="_new" w:history="1">
        <w:r w:rsidR="00F947F9" w:rsidRPr="003B7D36">
          <w:rPr>
            <w:rStyle w:val="Hyperlink"/>
            <w:color w:val="auto"/>
            <w:szCs w:val="28"/>
            <w:u w:val="none"/>
          </w:rPr>
          <w:t>https://www.sto.nato.int/</w:t>
        </w:r>
      </w:hyperlink>
      <w:r w:rsidR="00F947F9" w:rsidRPr="003B7D36">
        <w:rPr>
          <w:szCs w:val="28"/>
        </w:rPr>
        <w:t>. [viewed 2026-07-14].</w:t>
      </w:r>
    </w:p>
    <w:p w14:paraId="35E6222C" w14:textId="0630FF3A" w:rsidR="00083FBE" w:rsidRPr="003B7D36" w:rsidRDefault="00083FBE" w:rsidP="00083FBE">
      <w:pPr>
        <w:ind w:firstLine="567"/>
        <w:jc w:val="both"/>
        <w:rPr>
          <w:szCs w:val="28"/>
        </w:rPr>
      </w:pPr>
      <w:r w:rsidRPr="003B7D36">
        <w:rPr>
          <w:szCs w:val="28"/>
        </w:rPr>
        <w:t>8</w:t>
      </w:r>
      <w:r w:rsidR="00F947F9" w:rsidRPr="003B7D36">
        <w:rPr>
          <w:szCs w:val="28"/>
        </w:rPr>
        <w:t xml:space="preserve">. OECD. OECD Survey on Drivers of Trust in Public Institutions – 2024 Results: Building Trust in a Complex Policy Environment. Online. Paris: OECD Publishing, 2024. Available from: </w:t>
      </w:r>
      <w:hyperlink r:id="rId13" w:tgtFrame="_new" w:history="1">
        <w:r w:rsidR="00F947F9" w:rsidRPr="003B7D36">
          <w:rPr>
            <w:rStyle w:val="Hyperlink"/>
            <w:color w:val="auto"/>
            <w:szCs w:val="28"/>
            <w:u w:val="none"/>
          </w:rPr>
          <w:t>https://www.oecd.org/</w:t>
        </w:r>
      </w:hyperlink>
      <w:r w:rsidR="00F947F9" w:rsidRPr="003B7D36">
        <w:rPr>
          <w:szCs w:val="28"/>
        </w:rPr>
        <w:t>. [viewed 2026-07-14].</w:t>
      </w:r>
    </w:p>
    <w:p w14:paraId="2339F307" w14:textId="77777777" w:rsidR="00F947F9" w:rsidRDefault="00F947F9" w:rsidP="003004BD">
      <w:pPr>
        <w:ind w:firstLine="567"/>
        <w:jc w:val="both"/>
        <w:rPr>
          <w:szCs w:val="28"/>
        </w:rPr>
      </w:pPr>
    </w:p>
    <w:p w14:paraId="7C3FA055" w14:textId="164DEB34" w:rsidR="007B5909" w:rsidRPr="00F2077C" w:rsidRDefault="00F2077C" w:rsidP="003004BD">
      <w:pPr>
        <w:ind w:firstLine="567"/>
        <w:jc w:val="both"/>
        <w:rPr>
          <w:i/>
          <w:iCs/>
          <w:sz w:val="24"/>
        </w:rPr>
      </w:pPr>
      <w:r>
        <w:rPr>
          <w:i/>
          <w:iCs/>
          <w:sz w:val="24"/>
        </w:rPr>
        <w:t>Тодор Красимиров Колев</w:t>
      </w:r>
    </w:p>
    <w:p w14:paraId="27805E87" w14:textId="66BD12B9" w:rsidR="007B5909" w:rsidRDefault="00F2077C" w:rsidP="003004BD">
      <w:pPr>
        <w:ind w:firstLine="567"/>
        <w:jc w:val="both"/>
        <w:rPr>
          <w:i/>
          <w:iCs/>
          <w:sz w:val="24"/>
        </w:rPr>
      </w:pPr>
      <w:r>
        <w:rPr>
          <w:i/>
          <w:iCs/>
          <w:sz w:val="24"/>
        </w:rPr>
        <w:t>НВУ „Васил Левски“</w:t>
      </w:r>
    </w:p>
    <w:p w14:paraId="6D469D28" w14:textId="5457D50D" w:rsidR="00CD71B9" w:rsidRDefault="00F2077C" w:rsidP="003004BD">
      <w:pPr>
        <w:ind w:firstLine="567"/>
        <w:jc w:val="both"/>
        <w:rPr>
          <w:i/>
          <w:iCs/>
          <w:sz w:val="24"/>
        </w:rPr>
      </w:pPr>
      <w:r>
        <w:rPr>
          <w:i/>
          <w:iCs/>
          <w:sz w:val="24"/>
        </w:rPr>
        <w:t>гр. В. Търново</w:t>
      </w:r>
      <w:r w:rsidR="007B5909" w:rsidRPr="007B5909">
        <w:rPr>
          <w:i/>
          <w:iCs/>
          <w:sz w:val="24"/>
        </w:rPr>
        <w:t>,</w:t>
      </w:r>
      <w:r w:rsidR="00CD71B9">
        <w:rPr>
          <w:i/>
          <w:iCs/>
          <w:sz w:val="24"/>
        </w:rPr>
        <w:t xml:space="preserve"> 5000, бул. „България“ № 76,</w:t>
      </w:r>
    </w:p>
    <w:p w14:paraId="7962B294" w14:textId="7E3FB66E" w:rsidR="00D1767C" w:rsidRPr="00F2077C" w:rsidRDefault="007B5909" w:rsidP="003004BD">
      <w:pPr>
        <w:ind w:firstLine="567"/>
        <w:jc w:val="both"/>
        <w:rPr>
          <w:i/>
          <w:iCs/>
          <w:sz w:val="24"/>
          <w:lang w:val="en-US"/>
        </w:rPr>
      </w:pPr>
      <w:r w:rsidRPr="007B5909">
        <w:rPr>
          <w:i/>
          <w:iCs/>
          <w:sz w:val="24"/>
        </w:rPr>
        <w:t xml:space="preserve"> </w:t>
      </w:r>
      <w:r w:rsidR="00F2077C">
        <w:rPr>
          <w:i/>
          <w:iCs/>
          <w:sz w:val="24"/>
        </w:rPr>
        <w:t>+359888883537</w:t>
      </w:r>
      <w:r w:rsidR="00192717">
        <w:rPr>
          <w:i/>
          <w:iCs/>
          <w:sz w:val="24"/>
        </w:rPr>
        <w:t xml:space="preserve">, </w:t>
      </w:r>
      <w:r w:rsidR="00F2077C">
        <w:rPr>
          <w:i/>
          <w:iCs/>
          <w:sz w:val="24"/>
          <w:lang w:val="en-US"/>
        </w:rPr>
        <w:t>tkkolevtk@gmail.com</w:t>
      </w:r>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E8301" w14:textId="77777777" w:rsidR="006A5150" w:rsidRDefault="006A5150" w:rsidP="00A0193A">
      <w:r>
        <w:separator/>
      </w:r>
    </w:p>
  </w:endnote>
  <w:endnote w:type="continuationSeparator" w:id="0">
    <w:p w14:paraId="10BD206F" w14:textId="77777777" w:rsidR="006A5150" w:rsidRDefault="006A5150"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857A8" w14:textId="77777777" w:rsidR="006A5150" w:rsidRDefault="006A5150" w:rsidP="00A0193A">
      <w:r>
        <w:separator/>
      </w:r>
    </w:p>
  </w:footnote>
  <w:footnote w:type="continuationSeparator" w:id="0">
    <w:p w14:paraId="5E69CA3C" w14:textId="77777777" w:rsidR="006A5150" w:rsidRDefault="006A5150"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5A98327A"/>
    <w:multiLevelType w:val="hybridMultilevel"/>
    <w:tmpl w:val="4EACADDC"/>
    <w:lvl w:ilvl="0" w:tplc="3B5EF83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777A581B"/>
    <w:multiLevelType w:val="multilevel"/>
    <w:tmpl w:val="988A6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9363235">
    <w:abstractNumId w:val="0"/>
  </w:num>
  <w:num w:numId="2" w16cid:durableId="464737065">
    <w:abstractNumId w:val="2"/>
  </w:num>
  <w:num w:numId="3" w16cid:durableId="1360624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mirrorMargins/>
  <w:proofState w:spelling="clean" w:grammar="clean"/>
  <w:defaultTabStop w:val="708"/>
  <w:hyphenationZone w:val="425"/>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4DFC"/>
    <w:rsid w:val="00051D66"/>
    <w:rsid w:val="0007387D"/>
    <w:rsid w:val="00083FBE"/>
    <w:rsid w:val="000B2FA3"/>
    <w:rsid w:val="000C0AD8"/>
    <w:rsid w:val="000E49AE"/>
    <w:rsid w:val="00121F6A"/>
    <w:rsid w:val="00124CF7"/>
    <w:rsid w:val="00127C45"/>
    <w:rsid w:val="00134639"/>
    <w:rsid w:val="001524D5"/>
    <w:rsid w:val="001537E6"/>
    <w:rsid w:val="00155CA9"/>
    <w:rsid w:val="00164EFF"/>
    <w:rsid w:val="001712CF"/>
    <w:rsid w:val="001744E6"/>
    <w:rsid w:val="00192717"/>
    <w:rsid w:val="001A382A"/>
    <w:rsid w:val="001B5649"/>
    <w:rsid w:val="001E6585"/>
    <w:rsid w:val="001F6E53"/>
    <w:rsid w:val="00213595"/>
    <w:rsid w:val="00214AFE"/>
    <w:rsid w:val="00226429"/>
    <w:rsid w:val="0022685B"/>
    <w:rsid w:val="002356BA"/>
    <w:rsid w:val="00237706"/>
    <w:rsid w:val="00241969"/>
    <w:rsid w:val="00245689"/>
    <w:rsid w:val="002521A9"/>
    <w:rsid w:val="002565CF"/>
    <w:rsid w:val="0026135C"/>
    <w:rsid w:val="00261DCD"/>
    <w:rsid w:val="00274819"/>
    <w:rsid w:val="00276C0F"/>
    <w:rsid w:val="002A7C9B"/>
    <w:rsid w:val="002B00F1"/>
    <w:rsid w:val="002B1FEE"/>
    <w:rsid w:val="002E611A"/>
    <w:rsid w:val="002F6F16"/>
    <w:rsid w:val="003004BD"/>
    <w:rsid w:val="0030751A"/>
    <w:rsid w:val="00371186"/>
    <w:rsid w:val="00386A6A"/>
    <w:rsid w:val="003B1F44"/>
    <w:rsid w:val="003B7D36"/>
    <w:rsid w:val="003D7A54"/>
    <w:rsid w:val="003E4E40"/>
    <w:rsid w:val="00415DF1"/>
    <w:rsid w:val="004F1C93"/>
    <w:rsid w:val="004F589D"/>
    <w:rsid w:val="005008ED"/>
    <w:rsid w:val="005022FD"/>
    <w:rsid w:val="00503623"/>
    <w:rsid w:val="0052174B"/>
    <w:rsid w:val="00534842"/>
    <w:rsid w:val="00561C14"/>
    <w:rsid w:val="005C35F1"/>
    <w:rsid w:val="0068049F"/>
    <w:rsid w:val="0068074F"/>
    <w:rsid w:val="00683E63"/>
    <w:rsid w:val="00686EAC"/>
    <w:rsid w:val="00694543"/>
    <w:rsid w:val="006A5150"/>
    <w:rsid w:val="006A7C1E"/>
    <w:rsid w:val="006D7048"/>
    <w:rsid w:val="006F2052"/>
    <w:rsid w:val="007041A3"/>
    <w:rsid w:val="00710DE2"/>
    <w:rsid w:val="00735076"/>
    <w:rsid w:val="00763C2E"/>
    <w:rsid w:val="0077663F"/>
    <w:rsid w:val="00784A27"/>
    <w:rsid w:val="007973BD"/>
    <w:rsid w:val="007B5909"/>
    <w:rsid w:val="007B686C"/>
    <w:rsid w:val="007C4BAE"/>
    <w:rsid w:val="007C65B7"/>
    <w:rsid w:val="007E2105"/>
    <w:rsid w:val="00800C76"/>
    <w:rsid w:val="008129C2"/>
    <w:rsid w:val="008652CB"/>
    <w:rsid w:val="00870BC5"/>
    <w:rsid w:val="00877F5E"/>
    <w:rsid w:val="008B22A4"/>
    <w:rsid w:val="008B7B8F"/>
    <w:rsid w:val="008C7A58"/>
    <w:rsid w:val="008D1109"/>
    <w:rsid w:val="009003B5"/>
    <w:rsid w:val="00901270"/>
    <w:rsid w:val="0091243D"/>
    <w:rsid w:val="00915C6C"/>
    <w:rsid w:val="00925081"/>
    <w:rsid w:val="00934811"/>
    <w:rsid w:val="009375B6"/>
    <w:rsid w:val="00940E4A"/>
    <w:rsid w:val="00946E7C"/>
    <w:rsid w:val="00957EAF"/>
    <w:rsid w:val="009605D7"/>
    <w:rsid w:val="00967173"/>
    <w:rsid w:val="0098344D"/>
    <w:rsid w:val="00996456"/>
    <w:rsid w:val="009A4A67"/>
    <w:rsid w:val="009B47A1"/>
    <w:rsid w:val="009E6451"/>
    <w:rsid w:val="009F12DD"/>
    <w:rsid w:val="009F29F2"/>
    <w:rsid w:val="009F6B0F"/>
    <w:rsid w:val="00A0193A"/>
    <w:rsid w:val="00A25E7D"/>
    <w:rsid w:val="00A86955"/>
    <w:rsid w:val="00A8717A"/>
    <w:rsid w:val="00B165DC"/>
    <w:rsid w:val="00B245AD"/>
    <w:rsid w:val="00B3091F"/>
    <w:rsid w:val="00B41AF1"/>
    <w:rsid w:val="00B5127C"/>
    <w:rsid w:val="00B601CF"/>
    <w:rsid w:val="00B73727"/>
    <w:rsid w:val="00B74F4B"/>
    <w:rsid w:val="00B825AF"/>
    <w:rsid w:val="00B869A3"/>
    <w:rsid w:val="00B9433C"/>
    <w:rsid w:val="00B97CDE"/>
    <w:rsid w:val="00BA5E13"/>
    <w:rsid w:val="00BB0875"/>
    <w:rsid w:val="00BC2FB1"/>
    <w:rsid w:val="00BD084C"/>
    <w:rsid w:val="00C144B9"/>
    <w:rsid w:val="00C46C28"/>
    <w:rsid w:val="00C544B2"/>
    <w:rsid w:val="00CA7C37"/>
    <w:rsid w:val="00CB7B8B"/>
    <w:rsid w:val="00CC24AA"/>
    <w:rsid w:val="00CC2D24"/>
    <w:rsid w:val="00CD71B9"/>
    <w:rsid w:val="00CF19F3"/>
    <w:rsid w:val="00D1767C"/>
    <w:rsid w:val="00D403D8"/>
    <w:rsid w:val="00D45D68"/>
    <w:rsid w:val="00D940F8"/>
    <w:rsid w:val="00DF315E"/>
    <w:rsid w:val="00E00BFC"/>
    <w:rsid w:val="00E019C5"/>
    <w:rsid w:val="00E0218D"/>
    <w:rsid w:val="00E0714D"/>
    <w:rsid w:val="00E16576"/>
    <w:rsid w:val="00E26ABF"/>
    <w:rsid w:val="00E746D1"/>
    <w:rsid w:val="00E766EE"/>
    <w:rsid w:val="00E8797D"/>
    <w:rsid w:val="00E87BD7"/>
    <w:rsid w:val="00E97395"/>
    <w:rsid w:val="00EA28F3"/>
    <w:rsid w:val="00EA48CD"/>
    <w:rsid w:val="00ED1FBC"/>
    <w:rsid w:val="00EF35AF"/>
    <w:rsid w:val="00EF5F53"/>
    <w:rsid w:val="00F0297C"/>
    <w:rsid w:val="00F1545C"/>
    <w:rsid w:val="00F2077C"/>
    <w:rsid w:val="00F43811"/>
    <w:rsid w:val="00F64D1C"/>
    <w:rsid w:val="00F814FB"/>
    <w:rsid w:val="00F930D7"/>
    <w:rsid w:val="00F947F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F947F9"/>
    <w:rPr>
      <w:color w:val="605E5C"/>
      <w:shd w:val="clear" w:color="auto" w:fill="E1DFDD"/>
    </w:rPr>
  </w:style>
  <w:style w:type="character" w:styleId="FollowedHyperlink">
    <w:name w:val="FollowedHyperlink"/>
    <w:basedOn w:val="DefaultParagraphFont"/>
    <w:uiPriority w:val="99"/>
    <w:semiHidden/>
    <w:unhideWhenUsed/>
    <w:rsid w:val="00F947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67733">
      <w:bodyDiv w:val="1"/>
      <w:marLeft w:val="0"/>
      <w:marRight w:val="0"/>
      <w:marTop w:val="0"/>
      <w:marBottom w:val="0"/>
      <w:divBdr>
        <w:top w:val="none" w:sz="0" w:space="0" w:color="auto"/>
        <w:left w:val="none" w:sz="0" w:space="0" w:color="auto"/>
        <w:bottom w:val="none" w:sz="0" w:space="0" w:color="auto"/>
        <w:right w:val="none" w:sz="0" w:space="0" w:color="auto"/>
      </w:divBdr>
    </w:div>
    <w:div w:id="263420262">
      <w:bodyDiv w:val="1"/>
      <w:marLeft w:val="0"/>
      <w:marRight w:val="0"/>
      <w:marTop w:val="0"/>
      <w:marBottom w:val="0"/>
      <w:divBdr>
        <w:top w:val="none" w:sz="0" w:space="0" w:color="auto"/>
        <w:left w:val="none" w:sz="0" w:space="0" w:color="auto"/>
        <w:bottom w:val="none" w:sz="0" w:space="0" w:color="auto"/>
        <w:right w:val="none" w:sz="0" w:space="0" w:color="auto"/>
      </w:divBdr>
    </w:div>
    <w:div w:id="352070636">
      <w:bodyDiv w:val="1"/>
      <w:marLeft w:val="0"/>
      <w:marRight w:val="0"/>
      <w:marTop w:val="0"/>
      <w:marBottom w:val="0"/>
      <w:divBdr>
        <w:top w:val="none" w:sz="0" w:space="0" w:color="auto"/>
        <w:left w:val="none" w:sz="0" w:space="0" w:color="auto"/>
        <w:bottom w:val="none" w:sz="0" w:space="0" w:color="auto"/>
        <w:right w:val="none" w:sz="0" w:space="0" w:color="auto"/>
      </w:divBdr>
    </w:div>
    <w:div w:id="537933237">
      <w:bodyDiv w:val="1"/>
      <w:marLeft w:val="0"/>
      <w:marRight w:val="0"/>
      <w:marTop w:val="0"/>
      <w:marBottom w:val="0"/>
      <w:divBdr>
        <w:top w:val="none" w:sz="0" w:space="0" w:color="auto"/>
        <w:left w:val="none" w:sz="0" w:space="0" w:color="auto"/>
        <w:bottom w:val="none" w:sz="0" w:space="0" w:color="auto"/>
        <w:right w:val="none" w:sz="0" w:space="0" w:color="auto"/>
      </w:divBdr>
    </w:div>
    <w:div w:id="570316768">
      <w:bodyDiv w:val="1"/>
      <w:marLeft w:val="0"/>
      <w:marRight w:val="0"/>
      <w:marTop w:val="0"/>
      <w:marBottom w:val="0"/>
      <w:divBdr>
        <w:top w:val="none" w:sz="0" w:space="0" w:color="auto"/>
        <w:left w:val="none" w:sz="0" w:space="0" w:color="auto"/>
        <w:bottom w:val="none" w:sz="0" w:space="0" w:color="auto"/>
        <w:right w:val="none" w:sz="0" w:space="0" w:color="auto"/>
      </w:divBdr>
    </w:div>
    <w:div w:id="749497336">
      <w:bodyDiv w:val="1"/>
      <w:marLeft w:val="0"/>
      <w:marRight w:val="0"/>
      <w:marTop w:val="0"/>
      <w:marBottom w:val="0"/>
      <w:divBdr>
        <w:top w:val="none" w:sz="0" w:space="0" w:color="auto"/>
        <w:left w:val="none" w:sz="0" w:space="0" w:color="auto"/>
        <w:bottom w:val="none" w:sz="0" w:space="0" w:color="auto"/>
        <w:right w:val="none" w:sz="0" w:space="0" w:color="auto"/>
      </w:divBdr>
    </w:div>
    <w:div w:id="858356602">
      <w:bodyDiv w:val="1"/>
      <w:marLeft w:val="0"/>
      <w:marRight w:val="0"/>
      <w:marTop w:val="0"/>
      <w:marBottom w:val="0"/>
      <w:divBdr>
        <w:top w:val="none" w:sz="0" w:space="0" w:color="auto"/>
        <w:left w:val="none" w:sz="0" w:space="0" w:color="auto"/>
        <w:bottom w:val="none" w:sz="0" w:space="0" w:color="auto"/>
        <w:right w:val="none" w:sz="0" w:space="0" w:color="auto"/>
      </w:divBdr>
    </w:div>
    <w:div w:id="1078287776">
      <w:bodyDiv w:val="1"/>
      <w:marLeft w:val="0"/>
      <w:marRight w:val="0"/>
      <w:marTop w:val="0"/>
      <w:marBottom w:val="0"/>
      <w:divBdr>
        <w:top w:val="none" w:sz="0" w:space="0" w:color="auto"/>
        <w:left w:val="none" w:sz="0" w:space="0" w:color="auto"/>
        <w:bottom w:val="none" w:sz="0" w:space="0" w:color="auto"/>
        <w:right w:val="none" w:sz="0" w:space="0" w:color="auto"/>
      </w:divBdr>
    </w:div>
    <w:div w:id="1466116415">
      <w:bodyDiv w:val="1"/>
      <w:marLeft w:val="0"/>
      <w:marRight w:val="0"/>
      <w:marTop w:val="0"/>
      <w:marBottom w:val="0"/>
      <w:divBdr>
        <w:top w:val="none" w:sz="0" w:space="0" w:color="auto"/>
        <w:left w:val="none" w:sz="0" w:space="0" w:color="auto"/>
        <w:bottom w:val="none" w:sz="0" w:space="0" w:color="auto"/>
        <w:right w:val="none" w:sz="0" w:space="0" w:color="auto"/>
      </w:divBdr>
    </w:div>
    <w:div w:id="1550263034">
      <w:bodyDiv w:val="1"/>
      <w:marLeft w:val="0"/>
      <w:marRight w:val="0"/>
      <w:marTop w:val="0"/>
      <w:marBottom w:val="0"/>
      <w:divBdr>
        <w:top w:val="none" w:sz="0" w:space="0" w:color="auto"/>
        <w:left w:val="none" w:sz="0" w:space="0" w:color="auto"/>
        <w:bottom w:val="none" w:sz="0" w:space="0" w:color="auto"/>
        <w:right w:val="none" w:sz="0" w:space="0" w:color="auto"/>
      </w:divBdr>
    </w:div>
    <w:div w:id="1624193002">
      <w:bodyDiv w:val="1"/>
      <w:marLeft w:val="0"/>
      <w:marRight w:val="0"/>
      <w:marTop w:val="0"/>
      <w:marBottom w:val="0"/>
      <w:divBdr>
        <w:top w:val="none" w:sz="0" w:space="0" w:color="auto"/>
        <w:left w:val="none" w:sz="0" w:space="0" w:color="auto"/>
        <w:bottom w:val="none" w:sz="0" w:space="0" w:color="auto"/>
        <w:right w:val="none" w:sz="0" w:space="0" w:color="auto"/>
      </w:divBdr>
    </w:div>
    <w:div w:id="1663579505">
      <w:bodyDiv w:val="1"/>
      <w:marLeft w:val="0"/>
      <w:marRight w:val="0"/>
      <w:marTop w:val="0"/>
      <w:marBottom w:val="0"/>
      <w:divBdr>
        <w:top w:val="none" w:sz="0" w:space="0" w:color="auto"/>
        <w:left w:val="none" w:sz="0" w:space="0" w:color="auto"/>
        <w:bottom w:val="none" w:sz="0" w:space="0" w:color="auto"/>
        <w:right w:val="none" w:sz="0" w:space="0" w:color="auto"/>
      </w:divBdr>
    </w:div>
    <w:div w:id="1679195282">
      <w:bodyDiv w:val="1"/>
      <w:marLeft w:val="0"/>
      <w:marRight w:val="0"/>
      <w:marTop w:val="0"/>
      <w:marBottom w:val="0"/>
      <w:divBdr>
        <w:top w:val="none" w:sz="0" w:space="0" w:color="auto"/>
        <w:left w:val="none" w:sz="0" w:space="0" w:color="auto"/>
        <w:bottom w:val="none" w:sz="0" w:space="0" w:color="auto"/>
        <w:right w:val="none" w:sz="0" w:space="0" w:color="auto"/>
      </w:divBdr>
    </w:div>
    <w:div w:id="1697777081">
      <w:bodyDiv w:val="1"/>
      <w:marLeft w:val="0"/>
      <w:marRight w:val="0"/>
      <w:marTop w:val="0"/>
      <w:marBottom w:val="0"/>
      <w:divBdr>
        <w:top w:val="none" w:sz="0" w:space="0" w:color="auto"/>
        <w:left w:val="none" w:sz="0" w:space="0" w:color="auto"/>
        <w:bottom w:val="none" w:sz="0" w:space="0" w:color="auto"/>
        <w:right w:val="none" w:sz="0" w:space="0" w:color="auto"/>
      </w:divBdr>
    </w:div>
    <w:div w:id="1826313629">
      <w:bodyDiv w:val="1"/>
      <w:marLeft w:val="0"/>
      <w:marRight w:val="0"/>
      <w:marTop w:val="0"/>
      <w:marBottom w:val="0"/>
      <w:divBdr>
        <w:top w:val="none" w:sz="0" w:space="0" w:color="auto"/>
        <w:left w:val="none" w:sz="0" w:space="0" w:color="auto"/>
        <w:bottom w:val="none" w:sz="0" w:space="0" w:color="auto"/>
        <w:right w:val="none" w:sz="0" w:space="0" w:color="auto"/>
      </w:divBdr>
    </w:div>
    <w:div w:id="1881087896">
      <w:bodyDiv w:val="1"/>
      <w:marLeft w:val="0"/>
      <w:marRight w:val="0"/>
      <w:marTop w:val="0"/>
      <w:marBottom w:val="0"/>
      <w:divBdr>
        <w:top w:val="none" w:sz="0" w:space="0" w:color="auto"/>
        <w:left w:val="none" w:sz="0" w:space="0" w:color="auto"/>
        <w:bottom w:val="none" w:sz="0" w:space="0" w:color="auto"/>
        <w:right w:val="none" w:sz="0" w:space="0" w:color="auto"/>
      </w:divBdr>
    </w:div>
    <w:div w:id="19010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ec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o.nato.i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atcomcoe.org/?utm_source=chatgp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nnualreviews.org/doi/10.1146/annurev-psych-010213-115043" TargetMode="External"/><Relationship Id="rId4" Type="http://schemas.openxmlformats.org/officeDocument/2006/relationships/settings" Target="settings.xml"/><Relationship Id="rId9" Type="http://schemas.openxmlformats.org/officeDocument/2006/relationships/hyperlink" Target="https://pmc.ncbi.nlm.nih.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1</Pages>
  <Words>3835</Words>
  <Characters>21860</Characters>
  <Application>Microsoft Office Word</Application>
  <DocSecurity>0</DocSecurity>
  <Lines>182</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Todor Kolev</cp:lastModifiedBy>
  <cp:revision>89</cp:revision>
  <dcterms:created xsi:type="dcterms:W3CDTF">2022-08-11T05:55:00Z</dcterms:created>
  <dcterms:modified xsi:type="dcterms:W3CDTF">2026-09-07T08:40:00Z</dcterms:modified>
</cp:coreProperties>
</file>