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7F197" w14:textId="77777777" w:rsidR="006975E5" w:rsidRDefault="006975E5" w:rsidP="005F35B5">
      <w:pPr>
        <w:jc w:val="center"/>
        <w:rPr>
          <w:b/>
          <w:bCs/>
          <w:sz w:val="32"/>
          <w:szCs w:val="32"/>
        </w:rPr>
      </w:pPr>
      <w:r>
        <w:rPr>
          <w:b/>
          <w:bCs/>
          <w:sz w:val="32"/>
          <w:szCs w:val="32"/>
        </w:rPr>
        <w:t>РОЛЯТА</w:t>
      </w:r>
      <w:r w:rsidR="005F35B5" w:rsidRPr="005F35B5">
        <w:rPr>
          <w:b/>
          <w:bCs/>
          <w:sz w:val="32"/>
          <w:szCs w:val="32"/>
        </w:rPr>
        <w:t xml:space="preserve"> НА УЧЕБНИЯ ВЪПРОС ЗА РАЗВИТИЕ </w:t>
      </w:r>
    </w:p>
    <w:p w14:paraId="2EA867C8" w14:textId="7F9D955C" w:rsidR="00BA07DC" w:rsidRDefault="005F35B5" w:rsidP="005F35B5">
      <w:pPr>
        <w:jc w:val="center"/>
        <w:rPr>
          <w:b/>
          <w:bCs/>
          <w:sz w:val="32"/>
          <w:szCs w:val="32"/>
        </w:rPr>
      </w:pPr>
      <w:r w:rsidRPr="005F35B5">
        <w:rPr>
          <w:b/>
          <w:bCs/>
          <w:sz w:val="32"/>
          <w:szCs w:val="32"/>
        </w:rPr>
        <w:t>НА</w:t>
      </w:r>
      <w:r w:rsidR="00BA07DC">
        <w:rPr>
          <w:b/>
          <w:bCs/>
          <w:sz w:val="32"/>
          <w:szCs w:val="32"/>
        </w:rPr>
        <w:t xml:space="preserve"> </w:t>
      </w:r>
      <w:r w:rsidRPr="005F35B5">
        <w:rPr>
          <w:b/>
          <w:bCs/>
          <w:sz w:val="32"/>
          <w:szCs w:val="32"/>
        </w:rPr>
        <w:t xml:space="preserve">УМЕНИЯТА ЗА ИНТЕРПРЕТАЦИЯ </w:t>
      </w:r>
    </w:p>
    <w:p w14:paraId="0E22896B" w14:textId="5AE56D8C" w:rsidR="005F35B5" w:rsidRDefault="005F35B5" w:rsidP="005F35B5">
      <w:pPr>
        <w:jc w:val="center"/>
        <w:rPr>
          <w:b/>
          <w:bCs/>
          <w:sz w:val="32"/>
          <w:szCs w:val="32"/>
        </w:rPr>
      </w:pPr>
      <w:r w:rsidRPr="005F35B5">
        <w:rPr>
          <w:b/>
          <w:bCs/>
          <w:sz w:val="32"/>
          <w:szCs w:val="32"/>
        </w:rPr>
        <w:t>НА ЛИТЕРАТУРЕН ТЕКСТ</w:t>
      </w:r>
      <w:r>
        <w:rPr>
          <w:b/>
          <w:bCs/>
          <w:sz w:val="32"/>
          <w:szCs w:val="32"/>
        </w:rPr>
        <w:t xml:space="preserve"> </w:t>
      </w:r>
      <w:r w:rsidRPr="005F35B5">
        <w:rPr>
          <w:b/>
          <w:bCs/>
          <w:sz w:val="32"/>
          <w:szCs w:val="32"/>
        </w:rPr>
        <w:t xml:space="preserve">В </w:t>
      </w:r>
      <w:r w:rsidR="00BA07DC">
        <w:rPr>
          <w:b/>
          <w:bCs/>
          <w:sz w:val="32"/>
          <w:szCs w:val="32"/>
        </w:rPr>
        <w:t>3. КЛАС</w:t>
      </w:r>
    </w:p>
    <w:p w14:paraId="52103BE7" w14:textId="77777777" w:rsidR="005F35B5" w:rsidRDefault="005F35B5" w:rsidP="005F35B5">
      <w:pPr>
        <w:jc w:val="center"/>
        <w:rPr>
          <w:szCs w:val="28"/>
        </w:rPr>
      </w:pPr>
    </w:p>
    <w:p w14:paraId="5DFE7BBA" w14:textId="77777777" w:rsidR="005F35B5" w:rsidRDefault="005F35B5" w:rsidP="005F35B5">
      <w:pPr>
        <w:jc w:val="center"/>
        <w:rPr>
          <w:b/>
          <w:bCs/>
          <w:sz w:val="32"/>
          <w:szCs w:val="32"/>
        </w:rPr>
      </w:pPr>
      <w:r>
        <w:rPr>
          <w:b/>
          <w:bCs/>
          <w:sz w:val="32"/>
          <w:szCs w:val="32"/>
        </w:rPr>
        <w:t>Златина Димитрова</w:t>
      </w:r>
    </w:p>
    <w:p w14:paraId="06DD7A35" w14:textId="77777777" w:rsidR="005F35B5" w:rsidRDefault="005F35B5" w:rsidP="005F35B5">
      <w:pPr>
        <w:jc w:val="center"/>
        <w:rPr>
          <w:szCs w:val="28"/>
        </w:rPr>
      </w:pPr>
    </w:p>
    <w:p w14:paraId="79A60723" w14:textId="77777777" w:rsidR="005F35B5" w:rsidRDefault="005F35B5" w:rsidP="005F35B5">
      <w:pPr>
        <w:jc w:val="center"/>
        <w:rPr>
          <w:szCs w:val="28"/>
        </w:rPr>
      </w:pPr>
    </w:p>
    <w:p w14:paraId="4F16C4E4" w14:textId="77777777" w:rsidR="006975E5" w:rsidRDefault="006975E5" w:rsidP="005F35B5">
      <w:pPr>
        <w:jc w:val="center"/>
        <w:rPr>
          <w:b/>
          <w:bCs/>
          <w:sz w:val="32"/>
          <w:szCs w:val="32"/>
          <w:lang w:val="en-US"/>
        </w:rPr>
      </w:pPr>
      <w:r w:rsidRPr="006975E5">
        <w:rPr>
          <w:b/>
          <w:bCs/>
          <w:sz w:val="32"/>
          <w:szCs w:val="32"/>
          <w:lang w:val="en-US"/>
        </w:rPr>
        <w:t xml:space="preserve">THE ROLE OF THE INSTRUCTIONAL QUESTION </w:t>
      </w:r>
    </w:p>
    <w:p w14:paraId="730CEAD3" w14:textId="54DD7678" w:rsidR="005F35B5" w:rsidRPr="006975E5" w:rsidRDefault="006975E5" w:rsidP="005F35B5">
      <w:pPr>
        <w:jc w:val="center"/>
        <w:rPr>
          <w:b/>
          <w:bCs/>
          <w:sz w:val="32"/>
          <w:szCs w:val="32"/>
        </w:rPr>
      </w:pPr>
      <w:r w:rsidRPr="006975E5">
        <w:rPr>
          <w:b/>
          <w:bCs/>
          <w:sz w:val="32"/>
          <w:szCs w:val="32"/>
          <w:lang w:val="en-US"/>
        </w:rPr>
        <w:t>IN DEVELOPING LITERARY TEXT INTERPRETATION SKILLS IN GRADE 3</w:t>
      </w:r>
      <w:r>
        <w:rPr>
          <w:b/>
          <w:bCs/>
          <w:sz w:val="32"/>
          <w:szCs w:val="32"/>
        </w:rPr>
        <w:t xml:space="preserve"> </w:t>
      </w:r>
    </w:p>
    <w:p w14:paraId="1A8C7BCA" w14:textId="77777777" w:rsidR="00462C68" w:rsidRDefault="00462C68" w:rsidP="005F35B5">
      <w:pPr>
        <w:jc w:val="center"/>
        <w:rPr>
          <w:szCs w:val="28"/>
          <w:lang w:val="en-US"/>
        </w:rPr>
      </w:pPr>
    </w:p>
    <w:p w14:paraId="5199A19A" w14:textId="77777777" w:rsidR="005F35B5" w:rsidRPr="00D940F8" w:rsidRDefault="005F35B5" w:rsidP="005F35B5">
      <w:pPr>
        <w:jc w:val="center"/>
        <w:rPr>
          <w:b/>
          <w:bCs/>
          <w:sz w:val="32"/>
          <w:szCs w:val="32"/>
        </w:rPr>
      </w:pPr>
      <w:r>
        <w:rPr>
          <w:b/>
          <w:bCs/>
          <w:sz w:val="32"/>
          <w:szCs w:val="32"/>
          <w:lang w:val="en-US"/>
        </w:rPr>
        <w:t>Zlatina Dimitrova</w:t>
      </w:r>
    </w:p>
    <w:p w14:paraId="0DD98204" w14:textId="77777777" w:rsidR="005F35B5" w:rsidRDefault="005F35B5" w:rsidP="005F35B5">
      <w:pPr>
        <w:jc w:val="center"/>
        <w:rPr>
          <w:szCs w:val="28"/>
          <w:lang w:val="en-US"/>
        </w:rPr>
      </w:pPr>
    </w:p>
    <w:p w14:paraId="6C5D8A99" w14:textId="77777777" w:rsidR="005F35B5" w:rsidRDefault="005F35B5" w:rsidP="005F35B5">
      <w:pPr>
        <w:jc w:val="center"/>
        <w:rPr>
          <w:szCs w:val="28"/>
          <w:lang w:val="en-US"/>
        </w:rPr>
      </w:pPr>
    </w:p>
    <w:p w14:paraId="48DE4CCE" w14:textId="2B727342" w:rsidR="009D0474" w:rsidRDefault="005F35B5" w:rsidP="005F35B5">
      <w:pPr>
        <w:ind w:firstLine="567"/>
        <w:jc w:val="both"/>
        <w:rPr>
          <w:i/>
          <w:iCs/>
          <w:sz w:val="24"/>
        </w:rPr>
      </w:pPr>
      <w:r>
        <w:rPr>
          <w:b/>
          <w:bCs/>
          <w:i/>
          <w:iCs/>
          <w:sz w:val="24"/>
        </w:rPr>
        <w:t>Резюме:</w:t>
      </w:r>
      <w:r>
        <w:rPr>
          <w:i/>
          <w:iCs/>
          <w:sz w:val="24"/>
        </w:rPr>
        <w:t xml:space="preserve"> </w:t>
      </w:r>
      <w:r w:rsidR="00462C68" w:rsidRPr="00462C68">
        <w:rPr>
          <w:i/>
          <w:iCs/>
          <w:sz w:val="24"/>
        </w:rPr>
        <w:t>Докладът разглежда възможностите на учебните въпроси в читанките за 3. клас да подпомагат интерпретацията на литературен текст. Чрез контент анализ са изследвани 63 въпроса към 12 произведения в три читанки. Приложена е класификация, която разграничава възпроизвеждащи, аналитични и интерпретативно-оценъчни въпроси. Резултатите открояват различия в тяхното съотношение и показват значението на последователността и текстовата аргументация.</w:t>
      </w:r>
    </w:p>
    <w:p w14:paraId="60BC772D" w14:textId="77777777" w:rsidR="00462C68" w:rsidRDefault="00462C68" w:rsidP="005F35B5">
      <w:pPr>
        <w:ind w:firstLine="567"/>
        <w:jc w:val="both"/>
        <w:rPr>
          <w:szCs w:val="28"/>
        </w:rPr>
      </w:pPr>
    </w:p>
    <w:p w14:paraId="11C8DBFA" w14:textId="2905235A" w:rsidR="005F35B5" w:rsidRDefault="005F35B5" w:rsidP="00462C68">
      <w:pPr>
        <w:ind w:firstLine="567"/>
        <w:jc w:val="both"/>
        <w:rPr>
          <w:i/>
          <w:iCs/>
          <w:sz w:val="24"/>
        </w:rPr>
      </w:pPr>
      <w:r>
        <w:rPr>
          <w:b/>
          <w:bCs/>
          <w:i/>
          <w:iCs/>
          <w:sz w:val="24"/>
        </w:rPr>
        <w:t>Ключови думи:</w:t>
      </w:r>
      <w:r>
        <w:rPr>
          <w:i/>
          <w:iCs/>
          <w:sz w:val="24"/>
        </w:rPr>
        <w:t xml:space="preserve"> </w:t>
      </w:r>
      <w:r w:rsidR="00462C68" w:rsidRPr="00462C68">
        <w:rPr>
          <w:i/>
          <w:iCs/>
          <w:sz w:val="24"/>
        </w:rPr>
        <w:t>учебен въпрос, литературен текст, интерпретация, читателски умения, контент анализ.</w:t>
      </w:r>
    </w:p>
    <w:p w14:paraId="4529F46F" w14:textId="77777777" w:rsidR="00462C68" w:rsidRDefault="00462C68" w:rsidP="00462C68">
      <w:pPr>
        <w:ind w:firstLine="567"/>
        <w:jc w:val="both"/>
        <w:rPr>
          <w:szCs w:val="28"/>
        </w:rPr>
      </w:pPr>
    </w:p>
    <w:p w14:paraId="0AD77271" w14:textId="3463292C" w:rsidR="00462C68" w:rsidRDefault="005F35B5" w:rsidP="005F35B5">
      <w:pPr>
        <w:ind w:firstLine="567"/>
        <w:jc w:val="both"/>
        <w:rPr>
          <w:i/>
          <w:iCs/>
          <w:sz w:val="24"/>
          <w:lang w:val="en-US"/>
        </w:rPr>
      </w:pPr>
      <w:r>
        <w:rPr>
          <w:b/>
          <w:bCs/>
          <w:i/>
          <w:iCs/>
          <w:sz w:val="24"/>
          <w:lang w:val="en-US"/>
        </w:rPr>
        <w:t>Abstract:</w:t>
      </w:r>
      <w:r>
        <w:rPr>
          <w:i/>
          <w:iCs/>
          <w:sz w:val="24"/>
          <w:lang w:val="en-US"/>
        </w:rPr>
        <w:t xml:space="preserve"> </w:t>
      </w:r>
      <w:r w:rsidR="006975E5" w:rsidRPr="006975E5">
        <w:rPr>
          <w:i/>
          <w:iCs/>
          <w:sz w:val="24"/>
          <w:lang w:val="en-US"/>
        </w:rPr>
        <w:t>The paper examines the potential of questions in Grade 3 reading textbooks to foster pupils’ literary text interpretation skills. The content analysis covers 63 questions accompanying 12 literary works in three textbooks. The questions are classified as recall-based, analytical, and interpretive-evaluative. The findings reveal differences in their distribution and highlight the importance of question sequencing and requiring pupils to support their responses with evidence from the text.</w:t>
      </w:r>
    </w:p>
    <w:p w14:paraId="5B2F5386" w14:textId="77777777" w:rsidR="006975E5" w:rsidRPr="00274819" w:rsidRDefault="006975E5" w:rsidP="005F35B5">
      <w:pPr>
        <w:ind w:firstLine="567"/>
        <w:jc w:val="both"/>
        <w:rPr>
          <w:szCs w:val="28"/>
          <w:lang w:val="en-US"/>
        </w:rPr>
      </w:pPr>
    </w:p>
    <w:p w14:paraId="44C2571B" w14:textId="21646988" w:rsidR="005F35B5" w:rsidRDefault="005F35B5" w:rsidP="00462C68">
      <w:pPr>
        <w:ind w:firstLine="567"/>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462C68" w:rsidRPr="00462C68">
        <w:rPr>
          <w:i/>
          <w:iCs/>
          <w:sz w:val="24"/>
          <w:lang w:val="en-US"/>
        </w:rPr>
        <w:t>instructional question, literary text, interpretation, reading skills, content analysis.</w:t>
      </w:r>
    </w:p>
    <w:p w14:paraId="24314E1D" w14:textId="481E83C3" w:rsidR="00462C68" w:rsidRDefault="00462C68" w:rsidP="00462C68">
      <w:pPr>
        <w:ind w:firstLine="567"/>
        <w:jc w:val="both"/>
        <w:rPr>
          <w:i/>
          <w:iCs/>
          <w:sz w:val="24"/>
          <w:lang w:val="en-US"/>
        </w:rPr>
      </w:pPr>
    </w:p>
    <w:p w14:paraId="55B1A3D6" w14:textId="77777777" w:rsidR="00462C68" w:rsidRPr="009605D7" w:rsidRDefault="00462C68" w:rsidP="00462C68">
      <w:pPr>
        <w:ind w:firstLine="567"/>
        <w:jc w:val="both"/>
        <w:rPr>
          <w:szCs w:val="28"/>
          <w:lang w:val="ru-RU"/>
        </w:rPr>
      </w:pPr>
    </w:p>
    <w:p w14:paraId="6E947B8D" w14:textId="77777777" w:rsidR="005F35B5" w:rsidRPr="00C16569" w:rsidRDefault="005F35B5" w:rsidP="005F35B5">
      <w:pPr>
        <w:ind w:firstLine="567"/>
        <w:jc w:val="both"/>
        <w:rPr>
          <w:b/>
          <w:bCs/>
          <w:szCs w:val="28"/>
        </w:rPr>
      </w:pPr>
      <w:bookmarkStart w:id="0" w:name="_Hlk239247299"/>
      <w:r w:rsidRPr="00C16569">
        <w:rPr>
          <w:b/>
          <w:bCs/>
          <w:szCs w:val="28"/>
        </w:rPr>
        <w:t>Въведение</w:t>
      </w:r>
    </w:p>
    <w:p w14:paraId="17E916D5" w14:textId="6AD7DFBE" w:rsidR="006450F2" w:rsidRPr="006450F2" w:rsidRDefault="006450F2" w:rsidP="006450F2">
      <w:pPr>
        <w:ind w:firstLine="567"/>
        <w:jc w:val="both"/>
        <w:rPr>
          <w:szCs w:val="28"/>
        </w:rPr>
      </w:pPr>
      <w:r w:rsidRPr="006450F2">
        <w:rPr>
          <w:szCs w:val="28"/>
        </w:rPr>
        <w:t>Работата с литературния текст в начални</w:t>
      </w:r>
      <w:r w:rsidR="002600DA">
        <w:rPr>
          <w:szCs w:val="28"/>
        </w:rPr>
        <w:t>я образователен етап</w:t>
      </w:r>
      <w:r w:rsidRPr="006450F2">
        <w:rPr>
          <w:szCs w:val="28"/>
        </w:rPr>
        <w:t xml:space="preserve"> е насочена не само към овладяване на техниката на четене и възстановяване на съдържанието, но и към постепенното изграждане на умения за осмисляне на художественото произведение. Ученикът трябва да открива връзки между събитията, да обяснява поведението на героите, да разпознава художествено значими детайли, да изразява отношение към прочетеното и да го подкрепя с основания от текста. Преминаването от възприемане и разбиране към интерпретация обаче не настъпва спонтанно. То се нуждае от целенасочена методическа организация, която да насочва вниманието на детето както към представените събития и образи, така и към значенията, които се изграждат чрез тях.</w:t>
      </w:r>
    </w:p>
    <w:p w14:paraId="62AF25D8" w14:textId="77777777" w:rsidR="006450F2" w:rsidRPr="006450F2" w:rsidRDefault="006450F2" w:rsidP="006450F2">
      <w:pPr>
        <w:ind w:firstLine="567"/>
        <w:jc w:val="both"/>
        <w:rPr>
          <w:szCs w:val="28"/>
        </w:rPr>
      </w:pPr>
      <w:r w:rsidRPr="006450F2">
        <w:rPr>
          <w:szCs w:val="28"/>
        </w:rPr>
        <w:lastRenderedPageBreak/>
        <w:t>Съществено място в тази организация заема учебният въпрос. Чрез него се определят посоката на работа с произведението, характерът на очакваната ученическа дейност и равнището, на което се осъществява осмислянето. Един въпрос може да изисква непосредствено извличане или възстановяване на информация, но може и да насочва към установяване на причинно-следствени връзки, разкриване на мотивите за поведението на героите, тълкуване на художествени детайли и аргументиране на читателска позиция. Поради това методическата стойност на въпроса не се определя единствено от неговото наличие или езикова форма, а преди всичко от познавателното действие, което той поражда.</w:t>
      </w:r>
    </w:p>
    <w:p w14:paraId="0CDA6A26" w14:textId="5C6E93B4" w:rsidR="0001575E" w:rsidRDefault="00B90624" w:rsidP="006450F2">
      <w:pPr>
        <w:ind w:firstLine="567"/>
        <w:jc w:val="both"/>
        <w:rPr>
          <w:szCs w:val="28"/>
        </w:rPr>
      </w:pPr>
      <w:r>
        <w:rPr>
          <w:szCs w:val="28"/>
        </w:rPr>
        <w:t>В тази връзка о</w:t>
      </w:r>
      <w:r w:rsidR="0001575E" w:rsidRPr="0001575E">
        <w:rPr>
          <w:szCs w:val="28"/>
        </w:rPr>
        <w:t>собено значение придобива системата от въпроси в читанката, която задава ориентири за възприемането и осмислянето на включените произведения. Самото наличие на въпроси обаче не означава непременно, че те стимулират интерпретация</w:t>
      </w:r>
      <w:r w:rsidR="007C1C88">
        <w:rPr>
          <w:szCs w:val="28"/>
        </w:rPr>
        <w:t>. Р</w:t>
      </w:r>
      <w:r w:rsidR="0001575E" w:rsidRPr="0001575E">
        <w:rPr>
          <w:szCs w:val="28"/>
        </w:rPr>
        <w:t>ешаващи са познавателните действия, които изискват, и последователността, в която са организирани.</w:t>
      </w:r>
    </w:p>
    <w:p w14:paraId="694E9B9F" w14:textId="77777777" w:rsidR="00443A0C" w:rsidRDefault="00680827" w:rsidP="006450F2">
      <w:pPr>
        <w:ind w:firstLine="567"/>
        <w:jc w:val="both"/>
        <w:rPr>
          <w:szCs w:val="28"/>
        </w:rPr>
      </w:pPr>
      <w:r w:rsidRPr="00680827">
        <w:rPr>
          <w:szCs w:val="28"/>
        </w:rPr>
        <w:t xml:space="preserve">В българската методическа литература са изследвани възприемането и осмислянето на художествения текст, функциите на въпроса в литературното обучение и съдържателната организация на алтернативните читанки. </w:t>
      </w:r>
      <w:r w:rsidR="00443A0C" w:rsidRPr="00443A0C">
        <w:rPr>
          <w:szCs w:val="28"/>
        </w:rPr>
        <w:t>По-ограничено е проучено съотношението между въпросите с различна познавателна насоченост в читанките за конкретен клас.</w:t>
      </w:r>
      <w:r w:rsidR="00443A0C">
        <w:rPr>
          <w:szCs w:val="28"/>
        </w:rPr>
        <w:t xml:space="preserve"> </w:t>
      </w:r>
      <w:r w:rsidR="00443A0C" w:rsidRPr="00443A0C">
        <w:rPr>
          <w:szCs w:val="28"/>
        </w:rPr>
        <w:t>Това насочва изследователския интерес към въпроса доколко методическият апарат на читанките създава предпоставки за преминаване от възстановяване на съдържанието към анализ и интерпретация.</w:t>
      </w:r>
    </w:p>
    <w:p w14:paraId="37D4B588" w14:textId="18804ED1" w:rsidR="006450F2" w:rsidRDefault="007C1C88" w:rsidP="006450F2">
      <w:pPr>
        <w:ind w:firstLine="567"/>
        <w:jc w:val="both"/>
        <w:rPr>
          <w:szCs w:val="28"/>
        </w:rPr>
      </w:pPr>
      <w:r w:rsidRPr="007C1C88">
        <w:rPr>
          <w:szCs w:val="28"/>
        </w:rPr>
        <w:t xml:space="preserve">Настоящото изследване е </w:t>
      </w:r>
      <w:r w:rsidR="00B90624">
        <w:rPr>
          <w:szCs w:val="28"/>
        </w:rPr>
        <w:t>свързано с</w:t>
      </w:r>
      <w:r w:rsidRPr="007C1C88">
        <w:rPr>
          <w:szCs w:val="28"/>
        </w:rPr>
        <w:t xml:space="preserve"> възможностите на учебните въпроси в читанките за 3. клас да подпомагат развитието на умения за интерпретация на литературен текст. Целта е чрез контент анализ на въпросите към подбрани произведения да се установят познавателните действия, към които те насочват, и съотношението между отделните категории. Изследването не измерва постигнати от учениците резултати, а оценява възможностите за интерпретативна дейност, заложени в методическия апарат на читанките.</w:t>
      </w:r>
    </w:p>
    <w:p w14:paraId="388BAAB2" w14:textId="77777777" w:rsidR="007C1C88" w:rsidRPr="00682D9F" w:rsidRDefault="007C1C88" w:rsidP="006450F2">
      <w:pPr>
        <w:ind w:firstLine="567"/>
        <w:jc w:val="both"/>
        <w:rPr>
          <w:szCs w:val="28"/>
        </w:rPr>
      </w:pPr>
    </w:p>
    <w:p w14:paraId="4212A546" w14:textId="52316CA9" w:rsidR="000F47C9" w:rsidRDefault="000F47C9" w:rsidP="005F35B5">
      <w:pPr>
        <w:ind w:firstLine="567"/>
        <w:jc w:val="both"/>
        <w:rPr>
          <w:b/>
          <w:bCs/>
          <w:szCs w:val="28"/>
        </w:rPr>
      </w:pPr>
      <w:r w:rsidRPr="000F47C9">
        <w:rPr>
          <w:b/>
          <w:bCs/>
          <w:szCs w:val="28"/>
        </w:rPr>
        <w:t>Учебният въпрос в процеса на интерпретация на литературния текст</w:t>
      </w:r>
    </w:p>
    <w:p w14:paraId="36ABBD09" w14:textId="0D5C62AC" w:rsidR="000F47C9" w:rsidRPr="000F47C9" w:rsidRDefault="000F47C9" w:rsidP="000F47C9">
      <w:pPr>
        <w:ind w:firstLine="567"/>
        <w:jc w:val="both"/>
        <w:rPr>
          <w:szCs w:val="28"/>
        </w:rPr>
      </w:pPr>
      <w:r w:rsidRPr="000F47C9">
        <w:rPr>
          <w:szCs w:val="28"/>
        </w:rPr>
        <w:t xml:space="preserve">Д. Йорданова, М. Гърмидолова и М. </w:t>
      </w:r>
      <w:r w:rsidR="00060B3D">
        <w:rPr>
          <w:szCs w:val="28"/>
        </w:rPr>
        <w:t>Николова</w:t>
      </w:r>
      <w:r w:rsidRPr="000F47C9">
        <w:rPr>
          <w:szCs w:val="28"/>
        </w:rPr>
        <w:t xml:space="preserve"> разглеждат възприемането, разбирането, осмислянето и интерпретирането като взаимносвързани проявления на общуването с художествения текст, които се реализират комплексно в зависимост от жанра, вида и целите на урока </w:t>
      </w:r>
      <w:r w:rsidR="00B429A8">
        <w:rPr>
          <w:rStyle w:val="a4"/>
        </w:rPr>
        <w:t>[1, с. 30–31]</w:t>
      </w:r>
      <w:r w:rsidR="00B429A8">
        <w:t xml:space="preserve">. </w:t>
      </w:r>
      <w:r w:rsidRPr="000F47C9">
        <w:rPr>
          <w:szCs w:val="28"/>
        </w:rPr>
        <w:t>Авторите открояват четири аспекта на разбирането при четене</w:t>
      </w:r>
      <w:r w:rsidR="00540DF9">
        <w:rPr>
          <w:szCs w:val="28"/>
        </w:rPr>
        <w:t xml:space="preserve"> </w:t>
      </w:r>
      <w:r w:rsidR="00540DF9" w:rsidRPr="000F47C9">
        <w:rPr>
          <w:szCs w:val="28"/>
        </w:rPr>
        <w:t>–</w:t>
      </w:r>
      <w:r w:rsidRPr="000F47C9">
        <w:rPr>
          <w:szCs w:val="28"/>
        </w:rPr>
        <w:t xml:space="preserve"> търсене и извличане на конкретна информация; правене на директни умозаключения; интерпретация и обобщаване на факти и идеи; анализ и оценка на съдържанието, езика и структурата на текста </w:t>
      </w:r>
      <w:r w:rsidR="00B429A8">
        <w:rPr>
          <w:rStyle w:val="a4"/>
        </w:rPr>
        <w:t>[2, с. 30]</w:t>
      </w:r>
      <w:r w:rsidR="00B429A8">
        <w:t xml:space="preserve">. </w:t>
      </w:r>
      <w:r w:rsidRPr="000F47C9">
        <w:rPr>
          <w:szCs w:val="28"/>
        </w:rPr>
        <w:t xml:space="preserve">При художествения текст извличането на информация е насочено към пряко представените факти, събития и герои. Директните умозаключения предполагат свързване на информация от различни части на произведението и откриване на отношения между неговите елементи. Интерпретацията и </w:t>
      </w:r>
      <w:r w:rsidRPr="000F47C9">
        <w:rPr>
          <w:szCs w:val="28"/>
        </w:rPr>
        <w:lastRenderedPageBreak/>
        <w:t xml:space="preserve">оценяването включват осмисляне на темата, идеята, героите и художествения език, съотнасяне на прочетеното с читателския опит и аргументиране на отношение към произведението </w:t>
      </w:r>
      <w:r w:rsidR="00B429A8">
        <w:rPr>
          <w:rStyle w:val="a4"/>
        </w:rPr>
        <w:t xml:space="preserve">[3, с. </w:t>
      </w:r>
      <w:r w:rsidR="00B429A8" w:rsidRPr="00B429A8">
        <w:rPr>
          <w:rStyle w:val="a4"/>
        </w:rPr>
        <w:t>32–34</w:t>
      </w:r>
      <w:r w:rsidR="00B429A8">
        <w:rPr>
          <w:rStyle w:val="a4"/>
        </w:rPr>
        <w:t>]</w:t>
      </w:r>
      <w:r w:rsidR="00B429A8">
        <w:t>.</w:t>
      </w:r>
      <w:r w:rsidR="00B429A8" w:rsidRPr="000F47C9">
        <w:rPr>
          <w:szCs w:val="28"/>
        </w:rPr>
        <w:t xml:space="preserve"> </w:t>
      </w:r>
    </w:p>
    <w:p w14:paraId="46933FAE" w14:textId="355D6655" w:rsidR="000F47C9" w:rsidRPr="000F47C9" w:rsidRDefault="000F47C9" w:rsidP="000F47C9">
      <w:pPr>
        <w:ind w:firstLine="567"/>
        <w:jc w:val="both"/>
        <w:rPr>
          <w:szCs w:val="28"/>
        </w:rPr>
      </w:pPr>
      <w:r w:rsidRPr="000F47C9">
        <w:rPr>
          <w:szCs w:val="28"/>
        </w:rPr>
        <w:t xml:space="preserve">Учебният въпрос насочва ученика към определено равнище на тази дейност. В. Колева разграничава въпроси с репродуктивно-мнемическа, репродуктивно-познавателна и продуктивно-познавателна функция. Първите изискват възпроизвеждане на усвоена информация, вторите – прилагане и пренос на налични знания, а третите – достигане до нов познавателен резултат </w:t>
      </w:r>
      <w:r w:rsidR="00B429A8">
        <w:rPr>
          <w:rStyle w:val="a4"/>
        </w:rPr>
        <w:t>[4, с. 194]</w:t>
      </w:r>
      <w:r w:rsidR="00B429A8">
        <w:t>.</w:t>
      </w:r>
      <w:r w:rsidR="00B429A8" w:rsidRPr="000F47C9">
        <w:rPr>
          <w:szCs w:val="28"/>
        </w:rPr>
        <w:t xml:space="preserve"> </w:t>
      </w:r>
      <w:r w:rsidRPr="000F47C9">
        <w:rPr>
          <w:szCs w:val="28"/>
        </w:rPr>
        <w:t xml:space="preserve">Авторката уточнява, че функцията на въпроса може да бъде определена само при отчитане на контекста на учебната ситуация </w:t>
      </w:r>
      <w:r w:rsidR="00B429A8">
        <w:rPr>
          <w:rStyle w:val="a4"/>
        </w:rPr>
        <w:t>[5, с. 195]</w:t>
      </w:r>
      <w:r w:rsidR="00B429A8">
        <w:t>.</w:t>
      </w:r>
      <w:r w:rsidR="00B429A8" w:rsidRPr="000F47C9">
        <w:rPr>
          <w:szCs w:val="28"/>
        </w:rPr>
        <w:t xml:space="preserve"> </w:t>
      </w:r>
      <w:r w:rsidRPr="000F47C9">
        <w:rPr>
          <w:szCs w:val="28"/>
        </w:rPr>
        <w:t>Следователно неговата познавателна стойност не се установява единствено по граматическата форма или въпросителната дума, а според действията, необходими за изграждането на отговора.</w:t>
      </w:r>
    </w:p>
    <w:p w14:paraId="5CFC715D" w14:textId="0CA60030" w:rsidR="000F47C9" w:rsidRPr="000F47C9" w:rsidRDefault="000F47C9" w:rsidP="000F47C9">
      <w:pPr>
        <w:ind w:firstLine="567"/>
        <w:jc w:val="both"/>
        <w:rPr>
          <w:szCs w:val="28"/>
        </w:rPr>
      </w:pPr>
      <w:r w:rsidRPr="000F47C9">
        <w:rPr>
          <w:szCs w:val="28"/>
        </w:rPr>
        <w:t>Значение за интерпретативната дейност има и разграничението между затворени и открити въпроси. При затворените се очаква точен и предварително определим отговор, докато откритите допускат повече от една възможност</w:t>
      </w:r>
      <w:r w:rsidR="00B429A8">
        <w:rPr>
          <w:szCs w:val="28"/>
        </w:rPr>
        <w:t xml:space="preserve"> </w:t>
      </w:r>
      <w:r w:rsidR="00B429A8">
        <w:rPr>
          <w:rStyle w:val="a4"/>
        </w:rPr>
        <w:t>[6, с. 199]</w:t>
      </w:r>
      <w:r w:rsidR="00B429A8">
        <w:t>.</w:t>
      </w:r>
      <w:r w:rsidRPr="000F47C9">
        <w:rPr>
          <w:szCs w:val="28"/>
        </w:rPr>
        <w:t xml:space="preserve"> Откритостта обаче не е достатъчно условие за интерпретация. Въпросът трябва да предоставя свобода за самостоятелно разсъждение, но и да насочва към конкретни отношения и художествени детайли в произведението.</w:t>
      </w:r>
    </w:p>
    <w:p w14:paraId="621A0D61" w14:textId="27E508CF" w:rsidR="007C1C88" w:rsidRDefault="007C1C88" w:rsidP="000F47C9">
      <w:pPr>
        <w:ind w:firstLine="567"/>
        <w:jc w:val="both"/>
        <w:rPr>
          <w:szCs w:val="28"/>
        </w:rPr>
      </w:pPr>
      <w:r w:rsidRPr="007C1C88">
        <w:rPr>
          <w:szCs w:val="28"/>
        </w:rPr>
        <w:t>Въз основа на разгледаните теоретични постановки за целите на изследването са обособени три категории</w:t>
      </w:r>
      <w:r w:rsidR="00540DF9">
        <w:rPr>
          <w:szCs w:val="28"/>
        </w:rPr>
        <w:t xml:space="preserve"> въпроси</w:t>
      </w:r>
      <w:r w:rsidRPr="007C1C88">
        <w:rPr>
          <w:szCs w:val="28"/>
        </w:rPr>
        <w:t xml:space="preserve"> – </w:t>
      </w:r>
      <w:r w:rsidRPr="007C1C88">
        <w:rPr>
          <w:b/>
          <w:bCs/>
          <w:szCs w:val="28"/>
        </w:rPr>
        <w:t>възпроизвеждащи, аналитични и интерпретативно-оценъчни</w:t>
      </w:r>
      <w:r w:rsidR="00443A0C">
        <w:rPr>
          <w:b/>
          <w:bCs/>
          <w:szCs w:val="28"/>
        </w:rPr>
        <w:t>.</w:t>
      </w:r>
      <w:r w:rsidRPr="007C1C88">
        <w:rPr>
          <w:b/>
          <w:bCs/>
          <w:szCs w:val="28"/>
        </w:rPr>
        <w:t xml:space="preserve"> </w:t>
      </w:r>
      <w:r w:rsidRPr="007C1C88">
        <w:rPr>
          <w:szCs w:val="28"/>
        </w:rPr>
        <w:t xml:space="preserve">Възпроизвеждащите въпроси изискват откриване, назоваване или възстановяване на експлицитно представена </w:t>
      </w:r>
      <w:r w:rsidR="00327CD1">
        <w:rPr>
          <w:szCs w:val="28"/>
        </w:rPr>
        <w:t xml:space="preserve">в текста </w:t>
      </w:r>
      <w:r w:rsidRPr="007C1C88">
        <w:rPr>
          <w:szCs w:val="28"/>
        </w:rPr>
        <w:t>информация</w:t>
      </w:r>
      <w:r w:rsidR="00327CD1">
        <w:rPr>
          <w:szCs w:val="28"/>
        </w:rPr>
        <w:t xml:space="preserve"> </w:t>
      </w:r>
      <w:r w:rsidRPr="007C1C88">
        <w:rPr>
          <w:szCs w:val="28"/>
        </w:rPr>
        <w:t xml:space="preserve">за героите, събитията, мястото, последователността и конкретните обстоятелства. Аналитичните насочват към свързване на информация от различни части на произведението, установяване на причинно-следствени отношения, съпоставяне на герои и постъпки и извеждане на характеристики въз основа на текстови данни. Интерпретативно-оценъчните предполагат обясняване на художествени значения и мотиви, извеждане на идеи и послания, оценяване на поведението на героите и аргументиране на читателска позиция. </w:t>
      </w:r>
      <w:r w:rsidR="00443A0C" w:rsidRPr="00443A0C">
        <w:rPr>
          <w:szCs w:val="28"/>
        </w:rPr>
        <w:t>Категориите са разграничени според източника на отговора, необходимите познавателни действия и степента на самостоятелност при неговото конструиране.</w:t>
      </w:r>
    </w:p>
    <w:p w14:paraId="6E6D1F75" w14:textId="77777777" w:rsidR="00443A0C" w:rsidRDefault="00443A0C" w:rsidP="000F47C9">
      <w:pPr>
        <w:ind w:firstLine="567"/>
        <w:jc w:val="both"/>
        <w:rPr>
          <w:szCs w:val="28"/>
        </w:rPr>
      </w:pPr>
    </w:p>
    <w:p w14:paraId="4B7608E4" w14:textId="77777777" w:rsidR="0001575E" w:rsidRPr="0001575E" w:rsidRDefault="0001575E" w:rsidP="0001575E">
      <w:pPr>
        <w:ind w:firstLine="567"/>
        <w:jc w:val="both"/>
        <w:rPr>
          <w:b/>
          <w:bCs/>
          <w:szCs w:val="28"/>
        </w:rPr>
      </w:pPr>
      <w:r w:rsidRPr="0001575E">
        <w:rPr>
          <w:b/>
          <w:bCs/>
          <w:szCs w:val="28"/>
        </w:rPr>
        <w:t>Методология на изследването</w:t>
      </w:r>
    </w:p>
    <w:p w14:paraId="68F58172" w14:textId="136F2DF3" w:rsidR="00CC306B" w:rsidRPr="00CC306B" w:rsidRDefault="00CC306B" w:rsidP="00CC306B">
      <w:pPr>
        <w:ind w:firstLine="567"/>
        <w:jc w:val="both"/>
        <w:rPr>
          <w:szCs w:val="28"/>
        </w:rPr>
      </w:pPr>
      <w:r w:rsidRPr="00CC306B">
        <w:rPr>
          <w:szCs w:val="28"/>
        </w:rPr>
        <w:t>Изследването е проведено чрез контент анализ на учебните въпроси към литературни произведения в три читанки за 3. клас – на Р. Танкова и Ц. Лалев, издателство „Просвета“</w:t>
      </w:r>
      <w:r w:rsidR="00B429A8">
        <w:rPr>
          <w:szCs w:val="28"/>
        </w:rPr>
        <w:t xml:space="preserve"> </w:t>
      </w:r>
      <w:r w:rsidR="00B429A8">
        <w:rPr>
          <w:rStyle w:val="a4"/>
        </w:rPr>
        <w:t>[7]</w:t>
      </w:r>
      <w:r w:rsidRPr="00CC306B">
        <w:rPr>
          <w:szCs w:val="28"/>
        </w:rPr>
        <w:t>; на П. Димитрова, М. Бончева и Н. Петрова, издателство „Просвета Плюс“</w:t>
      </w:r>
      <w:r w:rsidR="00B429A8">
        <w:rPr>
          <w:szCs w:val="28"/>
        </w:rPr>
        <w:t xml:space="preserve"> </w:t>
      </w:r>
      <w:r w:rsidR="00B429A8">
        <w:rPr>
          <w:rStyle w:val="a4"/>
        </w:rPr>
        <w:t>[8]</w:t>
      </w:r>
      <w:r w:rsidRPr="00CC306B">
        <w:rPr>
          <w:szCs w:val="28"/>
        </w:rPr>
        <w:t>; на Ст. Здравкова, Т. Власева, Ю. Спиридонова и В. Славова, издателство „Клет България“</w:t>
      </w:r>
      <w:r w:rsidR="00B429A8">
        <w:rPr>
          <w:szCs w:val="28"/>
        </w:rPr>
        <w:t xml:space="preserve"> </w:t>
      </w:r>
      <w:r w:rsidR="00B429A8">
        <w:rPr>
          <w:rStyle w:val="a4"/>
        </w:rPr>
        <w:t>[9]</w:t>
      </w:r>
      <w:r w:rsidRPr="00CC306B">
        <w:rPr>
          <w:szCs w:val="28"/>
        </w:rPr>
        <w:t>. Контент анализът позволява въпросите да бъдат систематизирани според познавателните действия, които се очаква да извърши ученикът при работа с текста. При изследване на алтернативни читанки за началните класове А. Георгиева също прилага контент и честотен анализ</w:t>
      </w:r>
      <w:r w:rsidR="00327CD1">
        <w:rPr>
          <w:szCs w:val="28"/>
        </w:rPr>
        <w:t>, но</w:t>
      </w:r>
      <w:r w:rsidRPr="00CC306B">
        <w:rPr>
          <w:szCs w:val="28"/>
        </w:rPr>
        <w:t xml:space="preserve"> с цел установяване </w:t>
      </w:r>
      <w:r w:rsidRPr="00CC306B">
        <w:rPr>
          <w:szCs w:val="28"/>
        </w:rPr>
        <w:lastRenderedPageBreak/>
        <w:t xml:space="preserve">на особености и тенденции в организацията на учебното съдържание </w:t>
      </w:r>
      <w:r w:rsidR="00B429A8">
        <w:rPr>
          <w:rStyle w:val="a4"/>
        </w:rPr>
        <w:t>[10, с. 198–199]</w:t>
      </w:r>
      <w:r w:rsidR="00B429A8">
        <w:t>.</w:t>
      </w:r>
      <w:r w:rsidR="00B429A8" w:rsidRPr="00CC306B">
        <w:rPr>
          <w:szCs w:val="28"/>
        </w:rPr>
        <w:t xml:space="preserve"> </w:t>
      </w:r>
    </w:p>
    <w:p w14:paraId="62BB912B" w14:textId="19D5AC7F" w:rsidR="001A72F1" w:rsidRDefault="001A72F1" w:rsidP="00CC306B">
      <w:pPr>
        <w:ind w:firstLine="567"/>
        <w:jc w:val="both"/>
        <w:rPr>
          <w:szCs w:val="28"/>
        </w:rPr>
      </w:pPr>
      <w:r w:rsidRPr="001A72F1">
        <w:rPr>
          <w:szCs w:val="28"/>
        </w:rPr>
        <w:t>Изследваният материал включва 12 целенасочено подбрани литературни произведения – по четири от всяка читанка</w:t>
      </w:r>
      <w:r>
        <w:rPr>
          <w:szCs w:val="28"/>
        </w:rPr>
        <w:t>,</w:t>
      </w:r>
      <w:r w:rsidRPr="001A72F1">
        <w:rPr>
          <w:szCs w:val="28"/>
        </w:rPr>
        <w:t xml:space="preserve"> и общо 63 въпроса към тях. При подбора са приложени три критерия</w:t>
      </w:r>
      <w:r>
        <w:rPr>
          <w:szCs w:val="28"/>
        </w:rPr>
        <w:t xml:space="preserve"> </w:t>
      </w:r>
      <w:r w:rsidR="00443A0C">
        <w:rPr>
          <w:szCs w:val="28"/>
        </w:rPr>
        <w:t>–</w:t>
      </w:r>
      <w:r w:rsidRPr="001A72F1">
        <w:rPr>
          <w:szCs w:val="28"/>
        </w:rPr>
        <w:t xml:space="preserve"> принадлежност към повествователен жанр, наличие на система от въпроси към произведението и възможност за проследяване на различни равнища на познавателна дейност. Подборът не претендира за представителност спрямо цялото съдържание на читанките, а осигурява съпоставим материал за проучване на въпросите към събитията, героите, постъпките и смисловите отношения в текста. Не са включени въпроси от обобщителни уроци и езикови упражнения, както и задачи, които не са непосредствено свързани с работата върху конкретното литературно произведение.</w:t>
      </w:r>
    </w:p>
    <w:p w14:paraId="18835E56" w14:textId="4D814281" w:rsidR="00072248" w:rsidRDefault="00072248" w:rsidP="00CC306B">
      <w:pPr>
        <w:ind w:firstLine="567"/>
        <w:jc w:val="both"/>
        <w:rPr>
          <w:szCs w:val="28"/>
        </w:rPr>
      </w:pPr>
    </w:p>
    <w:p w14:paraId="3384DCDD" w14:textId="23BA5359" w:rsidR="00072248" w:rsidRDefault="00072248" w:rsidP="00072248">
      <w:pPr>
        <w:jc w:val="center"/>
        <w:rPr>
          <w:szCs w:val="28"/>
        </w:rPr>
      </w:pPr>
      <w:r w:rsidRPr="002565CF">
        <w:rPr>
          <w:b/>
          <w:szCs w:val="28"/>
        </w:rPr>
        <w:t>Таблица 1</w:t>
      </w:r>
      <w:r w:rsidRPr="002565CF">
        <w:rPr>
          <w:szCs w:val="28"/>
        </w:rPr>
        <w:t xml:space="preserve"> </w:t>
      </w:r>
      <w:r>
        <w:rPr>
          <w:szCs w:val="28"/>
        </w:rPr>
        <w:t xml:space="preserve">– </w:t>
      </w:r>
      <w:r w:rsidRPr="00072248">
        <w:rPr>
          <w:szCs w:val="28"/>
        </w:rPr>
        <w:t>Състав на изследван</w:t>
      </w:r>
      <w:r w:rsidR="00443A0C">
        <w:rPr>
          <w:szCs w:val="28"/>
        </w:rPr>
        <w:t>ия материал</w:t>
      </w:r>
    </w:p>
    <w:p w14:paraId="79FF052D" w14:textId="77777777" w:rsidR="001A72F1" w:rsidRDefault="001A72F1" w:rsidP="00072248">
      <w:pPr>
        <w:jc w:val="center"/>
        <w:rPr>
          <w:szCs w:val="28"/>
        </w:rPr>
      </w:pPr>
    </w:p>
    <w:tbl>
      <w:tblPr>
        <w:tblStyle w:val="a6"/>
        <w:tblW w:w="9209" w:type="dxa"/>
        <w:tblLook w:val="04A0" w:firstRow="1" w:lastRow="0" w:firstColumn="1" w:lastColumn="0" w:noHBand="0" w:noVBand="1"/>
      </w:tblPr>
      <w:tblGrid>
        <w:gridCol w:w="2263"/>
        <w:gridCol w:w="6946"/>
      </w:tblGrid>
      <w:tr w:rsidR="00072248" w14:paraId="36D9A0D6" w14:textId="77777777" w:rsidTr="001A72F1">
        <w:tc>
          <w:tcPr>
            <w:tcW w:w="2263" w:type="dxa"/>
            <w:shd w:val="clear" w:color="auto" w:fill="F2F2F2" w:themeFill="background1" w:themeFillShade="F2"/>
          </w:tcPr>
          <w:p w14:paraId="0B19DFDB" w14:textId="77777777" w:rsidR="00072248" w:rsidRPr="001A72F1" w:rsidRDefault="00072248" w:rsidP="003456BC">
            <w:pPr>
              <w:pStyle w:val="a3"/>
              <w:spacing w:before="0" w:beforeAutospacing="0"/>
              <w:jc w:val="center"/>
              <w:rPr>
                <w:b/>
                <w:bCs/>
                <w:sz w:val="28"/>
                <w:szCs w:val="28"/>
              </w:rPr>
            </w:pPr>
            <w:r w:rsidRPr="001A72F1">
              <w:rPr>
                <w:b/>
                <w:bCs/>
                <w:sz w:val="28"/>
                <w:szCs w:val="28"/>
              </w:rPr>
              <w:t>Читанка</w:t>
            </w:r>
          </w:p>
        </w:tc>
        <w:tc>
          <w:tcPr>
            <w:tcW w:w="6946" w:type="dxa"/>
            <w:shd w:val="clear" w:color="auto" w:fill="F2F2F2" w:themeFill="background1" w:themeFillShade="F2"/>
          </w:tcPr>
          <w:p w14:paraId="7AAD98AA" w14:textId="0E329978" w:rsidR="00072248" w:rsidRPr="001A72F1" w:rsidRDefault="001A72F1" w:rsidP="003456BC">
            <w:pPr>
              <w:pStyle w:val="a3"/>
              <w:spacing w:before="0" w:beforeAutospacing="0"/>
              <w:jc w:val="center"/>
              <w:rPr>
                <w:b/>
                <w:bCs/>
                <w:sz w:val="28"/>
                <w:szCs w:val="28"/>
              </w:rPr>
            </w:pPr>
            <w:r w:rsidRPr="001A72F1">
              <w:rPr>
                <w:b/>
                <w:bCs/>
                <w:sz w:val="28"/>
                <w:szCs w:val="28"/>
              </w:rPr>
              <w:t>Анализирани произведения</w:t>
            </w:r>
          </w:p>
        </w:tc>
      </w:tr>
      <w:tr w:rsidR="00072248" w14:paraId="63DF7DD0" w14:textId="77777777" w:rsidTr="001A72F1">
        <w:tc>
          <w:tcPr>
            <w:tcW w:w="2263" w:type="dxa"/>
          </w:tcPr>
          <w:p w14:paraId="55FBF075" w14:textId="77777777" w:rsidR="00072248" w:rsidRPr="00A24394" w:rsidRDefault="00072248" w:rsidP="003456BC">
            <w:pPr>
              <w:pStyle w:val="a3"/>
              <w:spacing w:before="0" w:beforeAutospacing="0"/>
              <w:jc w:val="both"/>
              <w:rPr>
                <w:sz w:val="28"/>
                <w:szCs w:val="28"/>
              </w:rPr>
            </w:pPr>
            <w:r w:rsidRPr="00A24394">
              <w:rPr>
                <w:sz w:val="28"/>
                <w:szCs w:val="28"/>
              </w:rPr>
              <w:t>„Просвета“</w:t>
            </w:r>
          </w:p>
        </w:tc>
        <w:tc>
          <w:tcPr>
            <w:tcW w:w="6946" w:type="dxa"/>
          </w:tcPr>
          <w:p w14:paraId="3D44939E" w14:textId="501F8814" w:rsidR="00072248" w:rsidRPr="00A24394" w:rsidRDefault="001A72F1" w:rsidP="001A72F1">
            <w:pPr>
              <w:pStyle w:val="a3"/>
              <w:spacing w:before="0" w:beforeAutospacing="0"/>
              <w:rPr>
                <w:sz w:val="28"/>
                <w:szCs w:val="28"/>
              </w:rPr>
            </w:pPr>
            <w:r w:rsidRPr="001A72F1">
              <w:rPr>
                <w:sz w:val="28"/>
                <w:szCs w:val="28"/>
              </w:rPr>
              <w:t>„Гузен негонен бяга“; „Сърната и лозата“; „Петлето, котаракът и мишлето“; „Орел, рак и щука“</w:t>
            </w:r>
            <w:r w:rsidR="00744130">
              <w:rPr>
                <w:sz w:val="28"/>
                <w:szCs w:val="28"/>
              </w:rPr>
              <w:t>.</w:t>
            </w:r>
          </w:p>
        </w:tc>
      </w:tr>
      <w:tr w:rsidR="00072248" w14:paraId="7B55C21B" w14:textId="77777777" w:rsidTr="001A72F1">
        <w:tc>
          <w:tcPr>
            <w:tcW w:w="2263" w:type="dxa"/>
          </w:tcPr>
          <w:p w14:paraId="0FEA81E3" w14:textId="77777777" w:rsidR="00072248" w:rsidRPr="00A24394" w:rsidRDefault="00072248" w:rsidP="003456BC">
            <w:pPr>
              <w:pStyle w:val="a3"/>
              <w:spacing w:before="0" w:beforeAutospacing="0"/>
              <w:jc w:val="both"/>
              <w:rPr>
                <w:sz w:val="28"/>
                <w:szCs w:val="28"/>
              </w:rPr>
            </w:pPr>
            <w:r w:rsidRPr="00A24394">
              <w:rPr>
                <w:sz w:val="28"/>
                <w:szCs w:val="28"/>
              </w:rPr>
              <w:t>„Просвета Плюс“</w:t>
            </w:r>
          </w:p>
        </w:tc>
        <w:tc>
          <w:tcPr>
            <w:tcW w:w="6946" w:type="dxa"/>
          </w:tcPr>
          <w:p w14:paraId="32859577" w14:textId="64B45063" w:rsidR="00072248" w:rsidRPr="00A24394" w:rsidRDefault="001A72F1" w:rsidP="001A72F1">
            <w:pPr>
              <w:pStyle w:val="a3"/>
              <w:spacing w:before="0" w:beforeAutospacing="0"/>
              <w:rPr>
                <w:sz w:val="28"/>
                <w:szCs w:val="28"/>
              </w:rPr>
            </w:pPr>
            <w:r w:rsidRPr="001A72F1">
              <w:rPr>
                <w:sz w:val="28"/>
                <w:szCs w:val="28"/>
              </w:rPr>
              <w:t>„Дърварят и лисицата“; „Мечката и лошата дума“; „Как се съдили язовецът и бялката“; „Упоритото слонче“</w:t>
            </w:r>
            <w:r w:rsidR="00744130">
              <w:rPr>
                <w:sz w:val="28"/>
                <w:szCs w:val="28"/>
              </w:rPr>
              <w:t>.</w:t>
            </w:r>
          </w:p>
        </w:tc>
      </w:tr>
      <w:tr w:rsidR="00072248" w14:paraId="32A4029F" w14:textId="77777777" w:rsidTr="001A72F1">
        <w:tc>
          <w:tcPr>
            <w:tcW w:w="2263" w:type="dxa"/>
          </w:tcPr>
          <w:p w14:paraId="24048856" w14:textId="77777777" w:rsidR="00072248" w:rsidRPr="00A24394" w:rsidRDefault="00072248" w:rsidP="003456BC">
            <w:pPr>
              <w:pStyle w:val="a3"/>
              <w:spacing w:before="0" w:beforeAutospacing="0"/>
              <w:jc w:val="both"/>
              <w:rPr>
                <w:sz w:val="28"/>
                <w:szCs w:val="28"/>
              </w:rPr>
            </w:pPr>
            <w:r w:rsidRPr="00A24394">
              <w:rPr>
                <w:sz w:val="28"/>
                <w:szCs w:val="28"/>
              </w:rPr>
              <w:t>„Клет България“</w:t>
            </w:r>
          </w:p>
        </w:tc>
        <w:tc>
          <w:tcPr>
            <w:tcW w:w="6946" w:type="dxa"/>
          </w:tcPr>
          <w:p w14:paraId="5CEF0EE7" w14:textId="747CE018" w:rsidR="00072248" w:rsidRPr="00A24394" w:rsidRDefault="001A72F1" w:rsidP="001A72F1">
            <w:pPr>
              <w:pStyle w:val="a3"/>
              <w:spacing w:before="0" w:beforeAutospacing="0"/>
              <w:rPr>
                <w:sz w:val="28"/>
                <w:szCs w:val="28"/>
              </w:rPr>
            </w:pPr>
            <w:r w:rsidRPr="001A72F1">
              <w:rPr>
                <w:sz w:val="28"/>
                <w:szCs w:val="28"/>
              </w:rPr>
              <w:t>„Вълк и вълче“; „Двама братя“; „Богатият мравей“; „Най-хубавите ръце“</w:t>
            </w:r>
            <w:r w:rsidR="00744130">
              <w:rPr>
                <w:sz w:val="28"/>
                <w:szCs w:val="28"/>
              </w:rPr>
              <w:t>.</w:t>
            </w:r>
          </w:p>
        </w:tc>
      </w:tr>
    </w:tbl>
    <w:p w14:paraId="3D5E307B" w14:textId="77777777" w:rsidR="00072248" w:rsidRDefault="00072248" w:rsidP="00CC306B">
      <w:pPr>
        <w:ind w:firstLine="567"/>
        <w:jc w:val="both"/>
      </w:pPr>
    </w:p>
    <w:p w14:paraId="1E125AA0" w14:textId="77777777" w:rsidR="001A72F1" w:rsidRDefault="001A72F1" w:rsidP="001A72F1">
      <w:pPr>
        <w:ind w:firstLine="567"/>
        <w:jc w:val="both"/>
      </w:pPr>
      <w:r>
        <w:t>Единица на анализа е отделният въпрос. Когато към него е добавено указание за обяснение или обосноваване, цялата формулировка е разглеждана като една единица. Няколко граматически обособени въпроса са кодирани поотделно, ако всеки от тях предполага самостоятелен отговор. Свързаните подвъпроси, насочващи към изграждането на общ отговор, са разглеждани като една единица и са отнасяни към категорията, съответстваща на най-високото необходимо познавателно равнище.</w:t>
      </w:r>
    </w:p>
    <w:p w14:paraId="3AF086BC" w14:textId="7FEC5BC2" w:rsidR="001A72F1" w:rsidRDefault="001A72F1" w:rsidP="001A72F1">
      <w:pPr>
        <w:ind w:firstLine="567"/>
        <w:jc w:val="both"/>
      </w:pPr>
      <w:r>
        <w:t>Кодирането е извършено въз основа на обособените в теоретичната част три категории</w:t>
      </w:r>
      <w:r w:rsidR="00744130">
        <w:t xml:space="preserve"> въпроси</w:t>
      </w:r>
      <w:r>
        <w:t xml:space="preserve"> – възпроизвеждащи, аналитични и интерпретативно-оценъчни. Определящо за класифицирането е познавателното действие, необходимо за достигане до отговора, а не въпросителната дума или формалната конструкция. Отчитана е и връзката между въпроса и съдържанието на произведението, тъй като една и съща езикова формулировка може да изисква различни действия в зависимост от това дали отговорът е пряко представен, или трябва да бъде изведен чрез свързване и тълкуване на текстови сведения.</w:t>
      </w:r>
    </w:p>
    <w:p w14:paraId="62BE7EBB" w14:textId="77777777" w:rsidR="001A72F1" w:rsidRDefault="001A72F1" w:rsidP="001A72F1">
      <w:pPr>
        <w:ind w:firstLine="567"/>
        <w:jc w:val="both"/>
      </w:pPr>
      <w:r>
        <w:t xml:space="preserve">След кодирането е извършен честотен анализ на разпределението на въпросите по категории за всяка читанка и за извадката като цяло. Количествените данни са допълнени с качествен анализ на характерни примери, чрез който се проследява как формулировката и последователността на въпросите подпомагат или ограничават </w:t>
      </w:r>
      <w:r>
        <w:lastRenderedPageBreak/>
        <w:t>преминаването от възстановяване на съдържанието към анализ и интерпретация.</w:t>
      </w:r>
    </w:p>
    <w:p w14:paraId="7D50D095" w14:textId="5E21FAF5" w:rsidR="00A24394" w:rsidRDefault="001A72F1" w:rsidP="001A72F1">
      <w:pPr>
        <w:ind w:firstLine="567"/>
        <w:jc w:val="both"/>
      </w:pPr>
      <w:r>
        <w:t xml:space="preserve">Изследването има проучвателен характер и резултатите му се отнасят единствено до подбраните произведения. </w:t>
      </w:r>
      <w:r w:rsidR="00443A0C" w:rsidRPr="00443A0C">
        <w:t>Те не показват действително постигнатото равнище на ученическите умения, а позволяват да се оцени потенциалът за интерпретативна дейност, заложен във въпросите към подбраните произведения.</w:t>
      </w:r>
    </w:p>
    <w:p w14:paraId="5E0A84E4" w14:textId="77777777" w:rsidR="001A72F1" w:rsidRDefault="001A72F1" w:rsidP="001A72F1">
      <w:pPr>
        <w:ind w:firstLine="567"/>
        <w:jc w:val="both"/>
        <w:rPr>
          <w:szCs w:val="28"/>
        </w:rPr>
      </w:pPr>
    </w:p>
    <w:p w14:paraId="0A76CC23" w14:textId="5741C197" w:rsidR="00A24394" w:rsidRPr="00A24394" w:rsidRDefault="00A24394" w:rsidP="00A24394">
      <w:pPr>
        <w:pStyle w:val="2"/>
        <w:spacing w:before="0"/>
        <w:rPr>
          <w:rFonts w:ascii="Times New Roman" w:hAnsi="Times New Roman" w:cs="Times New Roman"/>
          <w:b/>
          <w:bCs/>
          <w:color w:val="auto"/>
          <w:sz w:val="28"/>
          <w:szCs w:val="28"/>
        </w:rPr>
      </w:pPr>
      <w:r>
        <w:rPr>
          <w:rFonts w:ascii="Times New Roman" w:hAnsi="Times New Roman" w:cs="Times New Roman"/>
          <w:b/>
          <w:bCs/>
          <w:color w:val="auto"/>
          <w:sz w:val="28"/>
          <w:szCs w:val="28"/>
        </w:rPr>
        <w:tab/>
      </w:r>
      <w:r w:rsidRPr="00A24394">
        <w:rPr>
          <w:rFonts w:ascii="Times New Roman" w:hAnsi="Times New Roman" w:cs="Times New Roman"/>
          <w:b/>
          <w:bCs/>
          <w:color w:val="auto"/>
          <w:sz w:val="28"/>
          <w:szCs w:val="28"/>
        </w:rPr>
        <w:t>Резултати и сравнителен анализ</w:t>
      </w:r>
    </w:p>
    <w:p w14:paraId="0D57CFD0" w14:textId="056000D0" w:rsidR="00B316B5" w:rsidRDefault="00A24394" w:rsidP="00A24394">
      <w:pPr>
        <w:pStyle w:val="a3"/>
        <w:spacing w:before="0" w:beforeAutospacing="0"/>
        <w:jc w:val="both"/>
        <w:rPr>
          <w:sz w:val="28"/>
          <w:szCs w:val="28"/>
        </w:rPr>
      </w:pPr>
      <w:r>
        <w:rPr>
          <w:sz w:val="28"/>
          <w:szCs w:val="28"/>
        </w:rPr>
        <w:tab/>
      </w:r>
      <w:r w:rsidR="00DF2128" w:rsidRPr="00DF2128">
        <w:rPr>
          <w:sz w:val="28"/>
          <w:szCs w:val="28"/>
        </w:rPr>
        <w:t xml:space="preserve">Контент анализът обхваща 63 въпроса към 12 литературни произведения. От тях 33 (52,4%) са възпроизвеждащи, 15 (23,8%) – аналитични, и 15 (23,8%) – интерпретативно-оценъчни. </w:t>
      </w:r>
      <w:r w:rsidR="00DF2128">
        <w:rPr>
          <w:sz w:val="28"/>
          <w:szCs w:val="28"/>
        </w:rPr>
        <w:t>Данните показват, че</w:t>
      </w:r>
      <w:r w:rsidR="00DF2128" w:rsidRPr="00DF2128">
        <w:rPr>
          <w:sz w:val="28"/>
          <w:szCs w:val="28"/>
        </w:rPr>
        <w:t xml:space="preserve"> преобладават въпросите за откриване и възстановяване на експлицитно представена информация. Аналитичните и интерпретативно-оценъчните въпроси заедно представляват 47,6% от всички </w:t>
      </w:r>
      <w:r w:rsidR="00B316B5">
        <w:rPr>
          <w:sz w:val="28"/>
          <w:szCs w:val="28"/>
        </w:rPr>
        <w:t>обхванати</w:t>
      </w:r>
      <w:r w:rsidR="00DF2128" w:rsidRPr="00DF2128">
        <w:rPr>
          <w:sz w:val="28"/>
          <w:szCs w:val="28"/>
        </w:rPr>
        <w:t xml:space="preserve"> единици</w:t>
      </w:r>
      <w:r w:rsidR="00B316B5">
        <w:rPr>
          <w:sz w:val="28"/>
          <w:szCs w:val="28"/>
        </w:rPr>
        <w:t xml:space="preserve">. </w:t>
      </w:r>
      <w:r w:rsidR="0066451A" w:rsidRPr="0066451A">
        <w:rPr>
          <w:sz w:val="28"/>
          <w:szCs w:val="28"/>
        </w:rPr>
        <w:t>Следователно наред с проверката на непосредственото разбиране методическият апарат създава възможности и за установяване на връзки, обясняване и оценяване.</w:t>
      </w:r>
      <w:r w:rsidR="00B316B5">
        <w:rPr>
          <w:sz w:val="28"/>
          <w:szCs w:val="28"/>
        </w:rPr>
        <w:t xml:space="preserve"> </w:t>
      </w:r>
    </w:p>
    <w:p w14:paraId="591D02D4" w14:textId="4F0BE7F4" w:rsidR="00A24394" w:rsidRDefault="00A24394" w:rsidP="00A24394">
      <w:pPr>
        <w:jc w:val="center"/>
        <w:rPr>
          <w:szCs w:val="28"/>
        </w:rPr>
      </w:pPr>
      <w:r w:rsidRPr="002565CF">
        <w:rPr>
          <w:b/>
          <w:szCs w:val="28"/>
        </w:rPr>
        <w:t xml:space="preserve">Таблица </w:t>
      </w:r>
      <w:r w:rsidR="00923135">
        <w:rPr>
          <w:b/>
          <w:szCs w:val="28"/>
        </w:rPr>
        <w:t>2</w:t>
      </w:r>
      <w:r w:rsidRPr="002565CF">
        <w:rPr>
          <w:szCs w:val="28"/>
        </w:rPr>
        <w:t xml:space="preserve"> </w:t>
      </w:r>
      <w:r>
        <w:rPr>
          <w:szCs w:val="28"/>
        </w:rPr>
        <w:t xml:space="preserve">– </w:t>
      </w:r>
      <w:r w:rsidRPr="00A24394">
        <w:rPr>
          <w:szCs w:val="28"/>
        </w:rPr>
        <w:t>Разпределение на анализираните въпроси</w:t>
      </w:r>
      <w:r w:rsidR="00923135">
        <w:rPr>
          <w:szCs w:val="28"/>
        </w:rPr>
        <w:t xml:space="preserve"> </w:t>
      </w:r>
      <w:r w:rsidRPr="00A24394">
        <w:rPr>
          <w:szCs w:val="28"/>
        </w:rPr>
        <w:t xml:space="preserve">по категории </w:t>
      </w:r>
    </w:p>
    <w:p w14:paraId="16CE64EB" w14:textId="77777777" w:rsidR="0066451A" w:rsidRDefault="0066451A" w:rsidP="00A24394">
      <w:pPr>
        <w:jc w:val="center"/>
        <w:rPr>
          <w:szCs w:val="28"/>
        </w:rPr>
      </w:pPr>
    </w:p>
    <w:tbl>
      <w:tblPr>
        <w:tblStyle w:val="a6"/>
        <w:tblW w:w="0" w:type="auto"/>
        <w:tblLook w:val="04A0" w:firstRow="1" w:lastRow="0" w:firstColumn="1" w:lastColumn="0" w:noHBand="0" w:noVBand="1"/>
      </w:tblPr>
      <w:tblGrid>
        <w:gridCol w:w="1577"/>
        <w:gridCol w:w="2431"/>
        <w:gridCol w:w="1696"/>
        <w:gridCol w:w="2403"/>
        <w:gridCol w:w="954"/>
      </w:tblGrid>
      <w:tr w:rsidR="00A24394" w14:paraId="4966DBAC" w14:textId="77777777" w:rsidTr="00A24394">
        <w:tc>
          <w:tcPr>
            <w:tcW w:w="1602" w:type="dxa"/>
            <w:shd w:val="clear" w:color="auto" w:fill="F2F2F2" w:themeFill="background1" w:themeFillShade="F2"/>
          </w:tcPr>
          <w:p w14:paraId="5D0D0B4C" w14:textId="4895E735" w:rsidR="00A24394" w:rsidRPr="00A24394" w:rsidRDefault="00A24394" w:rsidP="00A24394">
            <w:pPr>
              <w:pStyle w:val="a3"/>
              <w:spacing w:before="0" w:beforeAutospacing="0"/>
              <w:jc w:val="center"/>
              <w:rPr>
                <w:sz w:val="28"/>
                <w:szCs w:val="28"/>
              </w:rPr>
            </w:pPr>
            <w:r w:rsidRPr="00A24394">
              <w:rPr>
                <w:sz w:val="28"/>
                <w:szCs w:val="28"/>
              </w:rPr>
              <w:t>Читанка</w:t>
            </w:r>
          </w:p>
        </w:tc>
        <w:tc>
          <w:tcPr>
            <w:tcW w:w="2115" w:type="dxa"/>
            <w:shd w:val="clear" w:color="auto" w:fill="F2F2F2" w:themeFill="background1" w:themeFillShade="F2"/>
          </w:tcPr>
          <w:p w14:paraId="58775BFE" w14:textId="39D3BA84" w:rsidR="00A24394" w:rsidRPr="00A24394" w:rsidRDefault="00A24394" w:rsidP="00A24394">
            <w:pPr>
              <w:pStyle w:val="a3"/>
              <w:spacing w:before="0" w:beforeAutospacing="0"/>
              <w:jc w:val="center"/>
              <w:rPr>
                <w:sz w:val="28"/>
                <w:szCs w:val="28"/>
              </w:rPr>
            </w:pPr>
            <w:r w:rsidRPr="00A24394">
              <w:rPr>
                <w:sz w:val="28"/>
                <w:szCs w:val="28"/>
              </w:rPr>
              <w:t>Възпроизвеждащи</w:t>
            </w:r>
          </w:p>
        </w:tc>
        <w:tc>
          <w:tcPr>
            <w:tcW w:w="1720" w:type="dxa"/>
            <w:shd w:val="clear" w:color="auto" w:fill="F2F2F2" w:themeFill="background1" w:themeFillShade="F2"/>
          </w:tcPr>
          <w:p w14:paraId="76110300" w14:textId="0AA720C4" w:rsidR="00A24394" w:rsidRPr="00A24394" w:rsidRDefault="00A24394" w:rsidP="00A24394">
            <w:pPr>
              <w:pStyle w:val="a3"/>
              <w:spacing w:before="0" w:beforeAutospacing="0"/>
              <w:jc w:val="center"/>
              <w:rPr>
                <w:sz w:val="28"/>
                <w:szCs w:val="28"/>
              </w:rPr>
            </w:pPr>
            <w:r w:rsidRPr="00A24394">
              <w:rPr>
                <w:sz w:val="28"/>
                <w:szCs w:val="28"/>
              </w:rPr>
              <w:t>Аналитични</w:t>
            </w:r>
          </w:p>
        </w:tc>
        <w:tc>
          <w:tcPr>
            <w:tcW w:w="2091" w:type="dxa"/>
            <w:shd w:val="clear" w:color="auto" w:fill="F2F2F2" w:themeFill="background1" w:themeFillShade="F2"/>
          </w:tcPr>
          <w:p w14:paraId="05AD0E24" w14:textId="48A0A544" w:rsidR="00A24394" w:rsidRPr="00A24394" w:rsidRDefault="00A24394" w:rsidP="00A24394">
            <w:pPr>
              <w:pStyle w:val="a3"/>
              <w:spacing w:before="0" w:beforeAutospacing="0"/>
              <w:jc w:val="center"/>
              <w:rPr>
                <w:sz w:val="28"/>
                <w:szCs w:val="28"/>
              </w:rPr>
            </w:pPr>
            <w:r w:rsidRPr="00A24394">
              <w:rPr>
                <w:sz w:val="28"/>
                <w:szCs w:val="28"/>
              </w:rPr>
              <w:t>Интерпретативно-оценъчни</w:t>
            </w:r>
          </w:p>
        </w:tc>
        <w:tc>
          <w:tcPr>
            <w:tcW w:w="1533" w:type="dxa"/>
            <w:shd w:val="clear" w:color="auto" w:fill="F2F2F2" w:themeFill="background1" w:themeFillShade="F2"/>
          </w:tcPr>
          <w:p w14:paraId="5B04275C" w14:textId="55F10608" w:rsidR="00A24394" w:rsidRPr="00A24394" w:rsidRDefault="00A24394" w:rsidP="00A24394">
            <w:pPr>
              <w:pStyle w:val="a3"/>
              <w:spacing w:before="0" w:beforeAutospacing="0"/>
              <w:jc w:val="center"/>
              <w:rPr>
                <w:sz w:val="28"/>
                <w:szCs w:val="28"/>
              </w:rPr>
            </w:pPr>
            <w:r w:rsidRPr="00A24394">
              <w:rPr>
                <w:sz w:val="28"/>
                <w:szCs w:val="28"/>
              </w:rPr>
              <w:t>Общо</w:t>
            </w:r>
          </w:p>
        </w:tc>
      </w:tr>
      <w:tr w:rsidR="00A24394" w14:paraId="4B2AE7E2" w14:textId="77777777" w:rsidTr="00A24394">
        <w:tc>
          <w:tcPr>
            <w:tcW w:w="1602" w:type="dxa"/>
          </w:tcPr>
          <w:p w14:paraId="1F4F7E51" w14:textId="3FB2A75E" w:rsidR="00A24394" w:rsidRPr="00A24394" w:rsidRDefault="00A24394" w:rsidP="00A24394">
            <w:pPr>
              <w:pStyle w:val="a3"/>
              <w:spacing w:before="0" w:beforeAutospacing="0"/>
              <w:jc w:val="both"/>
              <w:rPr>
                <w:sz w:val="28"/>
                <w:szCs w:val="28"/>
              </w:rPr>
            </w:pPr>
            <w:r w:rsidRPr="00A24394">
              <w:rPr>
                <w:sz w:val="28"/>
                <w:szCs w:val="28"/>
              </w:rPr>
              <w:t>„Просвета“</w:t>
            </w:r>
          </w:p>
        </w:tc>
        <w:tc>
          <w:tcPr>
            <w:tcW w:w="2115" w:type="dxa"/>
          </w:tcPr>
          <w:p w14:paraId="47ADAFEF" w14:textId="43CB9E6F" w:rsidR="00A24394" w:rsidRPr="00A24394" w:rsidRDefault="00A24394" w:rsidP="00A24394">
            <w:pPr>
              <w:pStyle w:val="a3"/>
              <w:spacing w:before="0" w:beforeAutospacing="0"/>
              <w:jc w:val="center"/>
              <w:rPr>
                <w:sz w:val="28"/>
                <w:szCs w:val="28"/>
              </w:rPr>
            </w:pPr>
            <w:r w:rsidRPr="00A24394">
              <w:rPr>
                <w:sz w:val="28"/>
                <w:szCs w:val="28"/>
              </w:rPr>
              <w:t>14 (60,9%)</w:t>
            </w:r>
          </w:p>
        </w:tc>
        <w:tc>
          <w:tcPr>
            <w:tcW w:w="1720" w:type="dxa"/>
          </w:tcPr>
          <w:p w14:paraId="6D433ABD" w14:textId="7589E7A1" w:rsidR="00A24394" w:rsidRPr="00A24394" w:rsidRDefault="00A24394" w:rsidP="00A24394">
            <w:pPr>
              <w:pStyle w:val="a3"/>
              <w:spacing w:before="0" w:beforeAutospacing="0"/>
              <w:jc w:val="center"/>
              <w:rPr>
                <w:sz w:val="28"/>
                <w:szCs w:val="28"/>
              </w:rPr>
            </w:pPr>
            <w:r w:rsidRPr="00A24394">
              <w:rPr>
                <w:sz w:val="28"/>
                <w:szCs w:val="28"/>
              </w:rPr>
              <w:t>6 (26,1%)</w:t>
            </w:r>
          </w:p>
        </w:tc>
        <w:tc>
          <w:tcPr>
            <w:tcW w:w="2091" w:type="dxa"/>
          </w:tcPr>
          <w:p w14:paraId="47315979" w14:textId="46880D7D" w:rsidR="00A24394" w:rsidRPr="00A24394" w:rsidRDefault="00A24394" w:rsidP="00A24394">
            <w:pPr>
              <w:pStyle w:val="a3"/>
              <w:spacing w:before="0" w:beforeAutospacing="0"/>
              <w:jc w:val="center"/>
              <w:rPr>
                <w:sz w:val="28"/>
                <w:szCs w:val="28"/>
              </w:rPr>
            </w:pPr>
            <w:r w:rsidRPr="00A24394">
              <w:rPr>
                <w:sz w:val="28"/>
                <w:szCs w:val="28"/>
              </w:rPr>
              <w:t>3 (13,0%)</w:t>
            </w:r>
          </w:p>
        </w:tc>
        <w:tc>
          <w:tcPr>
            <w:tcW w:w="1533" w:type="dxa"/>
          </w:tcPr>
          <w:p w14:paraId="4B4257B0" w14:textId="6C7A53F1" w:rsidR="00A24394" w:rsidRPr="00A24394" w:rsidRDefault="00A24394" w:rsidP="00A24394">
            <w:pPr>
              <w:pStyle w:val="a3"/>
              <w:spacing w:before="0" w:beforeAutospacing="0"/>
              <w:jc w:val="center"/>
              <w:rPr>
                <w:sz w:val="28"/>
                <w:szCs w:val="28"/>
              </w:rPr>
            </w:pPr>
            <w:r w:rsidRPr="00A24394">
              <w:rPr>
                <w:sz w:val="28"/>
                <w:szCs w:val="28"/>
              </w:rPr>
              <w:t>23</w:t>
            </w:r>
          </w:p>
        </w:tc>
      </w:tr>
      <w:tr w:rsidR="00A24394" w14:paraId="7CB07C27" w14:textId="77777777" w:rsidTr="00A24394">
        <w:tc>
          <w:tcPr>
            <w:tcW w:w="1602" w:type="dxa"/>
          </w:tcPr>
          <w:p w14:paraId="7738511A" w14:textId="7347FB0E" w:rsidR="00A24394" w:rsidRPr="00A24394" w:rsidRDefault="00A24394" w:rsidP="00A24394">
            <w:pPr>
              <w:pStyle w:val="a3"/>
              <w:spacing w:before="0" w:beforeAutospacing="0"/>
              <w:jc w:val="both"/>
              <w:rPr>
                <w:sz w:val="28"/>
                <w:szCs w:val="28"/>
              </w:rPr>
            </w:pPr>
            <w:r w:rsidRPr="00A24394">
              <w:rPr>
                <w:sz w:val="28"/>
                <w:szCs w:val="28"/>
              </w:rPr>
              <w:t>„Просвета Плюс“</w:t>
            </w:r>
          </w:p>
        </w:tc>
        <w:tc>
          <w:tcPr>
            <w:tcW w:w="2115" w:type="dxa"/>
          </w:tcPr>
          <w:p w14:paraId="468C5A11" w14:textId="2B772EE4" w:rsidR="00A24394" w:rsidRPr="00A24394" w:rsidRDefault="00A24394" w:rsidP="00A24394">
            <w:pPr>
              <w:pStyle w:val="a3"/>
              <w:spacing w:before="0" w:beforeAutospacing="0"/>
              <w:jc w:val="center"/>
              <w:rPr>
                <w:sz w:val="28"/>
                <w:szCs w:val="28"/>
              </w:rPr>
            </w:pPr>
            <w:r w:rsidRPr="00A24394">
              <w:rPr>
                <w:sz w:val="28"/>
                <w:szCs w:val="28"/>
              </w:rPr>
              <w:t>8 (42,1%)</w:t>
            </w:r>
          </w:p>
        </w:tc>
        <w:tc>
          <w:tcPr>
            <w:tcW w:w="1720" w:type="dxa"/>
          </w:tcPr>
          <w:p w14:paraId="11680F54" w14:textId="164E9C66" w:rsidR="00A24394" w:rsidRPr="00A24394" w:rsidRDefault="00A24394" w:rsidP="00A24394">
            <w:pPr>
              <w:pStyle w:val="a3"/>
              <w:spacing w:before="0" w:beforeAutospacing="0"/>
              <w:jc w:val="center"/>
              <w:rPr>
                <w:sz w:val="28"/>
                <w:szCs w:val="28"/>
              </w:rPr>
            </w:pPr>
            <w:r w:rsidRPr="00A24394">
              <w:rPr>
                <w:sz w:val="28"/>
                <w:szCs w:val="28"/>
              </w:rPr>
              <w:t>3 (15,8%)</w:t>
            </w:r>
          </w:p>
        </w:tc>
        <w:tc>
          <w:tcPr>
            <w:tcW w:w="2091" w:type="dxa"/>
          </w:tcPr>
          <w:p w14:paraId="6020B220" w14:textId="60D2B80A" w:rsidR="00A24394" w:rsidRPr="00A24394" w:rsidRDefault="00A24394" w:rsidP="00A24394">
            <w:pPr>
              <w:pStyle w:val="a3"/>
              <w:spacing w:before="0" w:beforeAutospacing="0"/>
              <w:jc w:val="center"/>
              <w:rPr>
                <w:sz w:val="28"/>
                <w:szCs w:val="28"/>
              </w:rPr>
            </w:pPr>
            <w:r w:rsidRPr="00A24394">
              <w:rPr>
                <w:sz w:val="28"/>
                <w:szCs w:val="28"/>
              </w:rPr>
              <w:t>8 (42,1%)</w:t>
            </w:r>
          </w:p>
        </w:tc>
        <w:tc>
          <w:tcPr>
            <w:tcW w:w="1533" w:type="dxa"/>
          </w:tcPr>
          <w:p w14:paraId="615E60B2" w14:textId="0EEB4050" w:rsidR="00A24394" w:rsidRPr="00A24394" w:rsidRDefault="00A24394" w:rsidP="00A24394">
            <w:pPr>
              <w:pStyle w:val="a3"/>
              <w:spacing w:before="0" w:beforeAutospacing="0"/>
              <w:jc w:val="center"/>
              <w:rPr>
                <w:sz w:val="28"/>
                <w:szCs w:val="28"/>
              </w:rPr>
            </w:pPr>
            <w:r w:rsidRPr="00A24394">
              <w:rPr>
                <w:sz w:val="28"/>
                <w:szCs w:val="28"/>
              </w:rPr>
              <w:t>19</w:t>
            </w:r>
          </w:p>
        </w:tc>
      </w:tr>
      <w:tr w:rsidR="00A24394" w14:paraId="510E49B6" w14:textId="77777777" w:rsidTr="00A24394">
        <w:tc>
          <w:tcPr>
            <w:tcW w:w="1602" w:type="dxa"/>
          </w:tcPr>
          <w:p w14:paraId="0EF572C9" w14:textId="2F72EA0B" w:rsidR="00A24394" w:rsidRPr="00A24394" w:rsidRDefault="00A24394" w:rsidP="00A24394">
            <w:pPr>
              <w:pStyle w:val="a3"/>
              <w:spacing w:before="0" w:beforeAutospacing="0"/>
              <w:jc w:val="both"/>
              <w:rPr>
                <w:sz w:val="28"/>
                <w:szCs w:val="28"/>
              </w:rPr>
            </w:pPr>
            <w:r w:rsidRPr="00A24394">
              <w:rPr>
                <w:sz w:val="28"/>
                <w:szCs w:val="28"/>
              </w:rPr>
              <w:t>„Клет България“</w:t>
            </w:r>
          </w:p>
        </w:tc>
        <w:tc>
          <w:tcPr>
            <w:tcW w:w="2115" w:type="dxa"/>
          </w:tcPr>
          <w:p w14:paraId="79413ED1" w14:textId="6689850E" w:rsidR="00A24394" w:rsidRPr="00A24394" w:rsidRDefault="00A24394" w:rsidP="00A24394">
            <w:pPr>
              <w:pStyle w:val="a3"/>
              <w:spacing w:before="0" w:beforeAutospacing="0"/>
              <w:jc w:val="center"/>
              <w:rPr>
                <w:sz w:val="28"/>
                <w:szCs w:val="28"/>
              </w:rPr>
            </w:pPr>
            <w:r w:rsidRPr="00A24394">
              <w:rPr>
                <w:sz w:val="28"/>
                <w:szCs w:val="28"/>
              </w:rPr>
              <w:t>11 (52,4%)</w:t>
            </w:r>
          </w:p>
        </w:tc>
        <w:tc>
          <w:tcPr>
            <w:tcW w:w="1720" w:type="dxa"/>
          </w:tcPr>
          <w:p w14:paraId="5713C1CC" w14:textId="44C25ADA" w:rsidR="00A24394" w:rsidRPr="00A24394" w:rsidRDefault="00A24394" w:rsidP="00A24394">
            <w:pPr>
              <w:pStyle w:val="a3"/>
              <w:spacing w:before="0" w:beforeAutospacing="0"/>
              <w:jc w:val="center"/>
              <w:rPr>
                <w:sz w:val="28"/>
                <w:szCs w:val="28"/>
              </w:rPr>
            </w:pPr>
            <w:r w:rsidRPr="00A24394">
              <w:rPr>
                <w:sz w:val="28"/>
                <w:szCs w:val="28"/>
              </w:rPr>
              <w:t>6 (28,6%)</w:t>
            </w:r>
          </w:p>
        </w:tc>
        <w:tc>
          <w:tcPr>
            <w:tcW w:w="2091" w:type="dxa"/>
          </w:tcPr>
          <w:p w14:paraId="2BFEA247" w14:textId="6F244531" w:rsidR="00A24394" w:rsidRPr="00A24394" w:rsidRDefault="00A24394" w:rsidP="00A24394">
            <w:pPr>
              <w:pStyle w:val="a3"/>
              <w:spacing w:before="0" w:beforeAutospacing="0"/>
              <w:jc w:val="center"/>
              <w:rPr>
                <w:sz w:val="28"/>
                <w:szCs w:val="28"/>
              </w:rPr>
            </w:pPr>
            <w:r w:rsidRPr="00A24394">
              <w:rPr>
                <w:sz w:val="28"/>
                <w:szCs w:val="28"/>
              </w:rPr>
              <w:t>4 (19,0%)</w:t>
            </w:r>
          </w:p>
        </w:tc>
        <w:tc>
          <w:tcPr>
            <w:tcW w:w="1533" w:type="dxa"/>
          </w:tcPr>
          <w:p w14:paraId="62A4383C" w14:textId="5D7F6D7F" w:rsidR="00A24394" w:rsidRPr="00A24394" w:rsidRDefault="00A24394" w:rsidP="00A24394">
            <w:pPr>
              <w:pStyle w:val="a3"/>
              <w:spacing w:before="0" w:beforeAutospacing="0"/>
              <w:jc w:val="center"/>
              <w:rPr>
                <w:sz w:val="28"/>
                <w:szCs w:val="28"/>
              </w:rPr>
            </w:pPr>
            <w:r w:rsidRPr="00A24394">
              <w:rPr>
                <w:sz w:val="28"/>
                <w:szCs w:val="28"/>
              </w:rPr>
              <w:t>21</w:t>
            </w:r>
          </w:p>
        </w:tc>
      </w:tr>
      <w:tr w:rsidR="00A24394" w14:paraId="21037564" w14:textId="77777777" w:rsidTr="00A24394">
        <w:tc>
          <w:tcPr>
            <w:tcW w:w="1602" w:type="dxa"/>
          </w:tcPr>
          <w:p w14:paraId="10CE54EB" w14:textId="0ABC18E8" w:rsidR="00A24394" w:rsidRPr="00A24394" w:rsidRDefault="00A24394" w:rsidP="00A24394">
            <w:pPr>
              <w:pStyle w:val="a3"/>
              <w:spacing w:before="0" w:beforeAutospacing="0"/>
              <w:jc w:val="both"/>
              <w:rPr>
                <w:sz w:val="28"/>
                <w:szCs w:val="28"/>
              </w:rPr>
            </w:pPr>
            <w:r w:rsidRPr="00A24394">
              <w:rPr>
                <w:sz w:val="28"/>
                <w:szCs w:val="28"/>
              </w:rPr>
              <w:t>Общо</w:t>
            </w:r>
          </w:p>
        </w:tc>
        <w:tc>
          <w:tcPr>
            <w:tcW w:w="2115" w:type="dxa"/>
          </w:tcPr>
          <w:p w14:paraId="569C7404" w14:textId="6D142198" w:rsidR="00A24394" w:rsidRPr="00A24394" w:rsidRDefault="00A24394" w:rsidP="00A24394">
            <w:pPr>
              <w:pStyle w:val="a3"/>
              <w:spacing w:before="0" w:beforeAutospacing="0"/>
              <w:jc w:val="center"/>
              <w:rPr>
                <w:sz w:val="28"/>
                <w:szCs w:val="28"/>
              </w:rPr>
            </w:pPr>
            <w:r w:rsidRPr="00A24394">
              <w:rPr>
                <w:sz w:val="28"/>
                <w:szCs w:val="28"/>
              </w:rPr>
              <w:t>33 (52,4%)</w:t>
            </w:r>
          </w:p>
        </w:tc>
        <w:tc>
          <w:tcPr>
            <w:tcW w:w="1720" w:type="dxa"/>
          </w:tcPr>
          <w:p w14:paraId="4B1BAF15" w14:textId="3859AF97" w:rsidR="00A24394" w:rsidRPr="00A24394" w:rsidRDefault="00A24394" w:rsidP="00A24394">
            <w:pPr>
              <w:pStyle w:val="a3"/>
              <w:spacing w:before="0" w:beforeAutospacing="0"/>
              <w:jc w:val="center"/>
              <w:rPr>
                <w:sz w:val="28"/>
                <w:szCs w:val="28"/>
              </w:rPr>
            </w:pPr>
            <w:r w:rsidRPr="00A24394">
              <w:rPr>
                <w:sz w:val="28"/>
                <w:szCs w:val="28"/>
              </w:rPr>
              <w:t>15 (23,8%)</w:t>
            </w:r>
          </w:p>
        </w:tc>
        <w:tc>
          <w:tcPr>
            <w:tcW w:w="2091" w:type="dxa"/>
          </w:tcPr>
          <w:p w14:paraId="001890E6" w14:textId="63B218EF" w:rsidR="00A24394" w:rsidRPr="00A24394" w:rsidRDefault="00A24394" w:rsidP="00A24394">
            <w:pPr>
              <w:pStyle w:val="a3"/>
              <w:spacing w:before="0" w:beforeAutospacing="0"/>
              <w:jc w:val="center"/>
              <w:rPr>
                <w:sz w:val="28"/>
                <w:szCs w:val="28"/>
              </w:rPr>
            </w:pPr>
            <w:r w:rsidRPr="00A24394">
              <w:rPr>
                <w:sz w:val="28"/>
                <w:szCs w:val="28"/>
              </w:rPr>
              <w:t>15 (23,8%)</w:t>
            </w:r>
          </w:p>
        </w:tc>
        <w:tc>
          <w:tcPr>
            <w:tcW w:w="1533" w:type="dxa"/>
          </w:tcPr>
          <w:p w14:paraId="497B79FB" w14:textId="427363F0" w:rsidR="00A24394" w:rsidRPr="00A24394" w:rsidRDefault="00A24394" w:rsidP="00A24394">
            <w:pPr>
              <w:pStyle w:val="a3"/>
              <w:spacing w:before="0" w:beforeAutospacing="0"/>
              <w:jc w:val="center"/>
              <w:rPr>
                <w:sz w:val="28"/>
                <w:szCs w:val="28"/>
              </w:rPr>
            </w:pPr>
            <w:r w:rsidRPr="00A24394">
              <w:rPr>
                <w:sz w:val="28"/>
                <w:szCs w:val="28"/>
              </w:rPr>
              <w:t>63</w:t>
            </w:r>
          </w:p>
        </w:tc>
      </w:tr>
    </w:tbl>
    <w:p w14:paraId="14DAECB7" w14:textId="77777777" w:rsidR="00B316B5" w:rsidRDefault="00B316B5" w:rsidP="00B316B5">
      <w:pPr>
        <w:pStyle w:val="a3"/>
        <w:spacing w:before="0" w:beforeAutospacing="0" w:after="0" w:afterAutospacing="0"/>
        <w:jc w:val="both"/>
        <w:rPr>
          <w:sz w:val="28"/>
          <w:szCs w:val="28"/>
        </w:rPr>
      </w:pPr>
      <w:r>
        <w:rPr>
          <w:sz w:val="28"/>
          <w:szCs w:val="28"/>
        </w:rPr>
        <w:tab/>
      </w:r>
    </w:p>
    <w:p w14:paraId="7886DE56" w14:textId="101E5BD3" w:rsidR="00072248" w:rsidRPr="00072248" w:rsidRDefault="00B316B5" w:rsidP="00072248">
      <w:pPr>
        <w:pStyle w:val="a3"/>
        <w:spacing w:before="0" w:beforeAutospacing="0" w:after="0" w:afterAutospacing="0"/>
        <w:jc w:val="both"/>
        <w:rPr>
          <w:sz w:val="28"/>
          <w:szCs w:val="28"/>
        </w:rPr>
      </w:pPr>
      <w:r>
        <w:rPr>
          <w:sz w:val="28"/>
          <w:szCs w:val="28"/>
        </w:rPr>
        <w:tab/>
      </w:r>
      <w:r w:rsidR="00072248" w:rsidRPr="00072248">
        <w:rPr>
          <w:sz w:val="28"/>
          <w:szCs w:val="28"/>
        </w:rPr>
        <w:t xml:space="preserve">В читанката на „Просвета“ възпроизвеждащите въпроси имат най-висок относителен дял – 60,9%. Те насочват към възстановяване на случката, назоваване на героите и откриване на пряко представени обстоятелства. Така например към </w:t>
      </w:r>
      <w:r w:rsidR="0066451A" w:rsidRPr="0066451A">
        <w:rPr>
          <w:sz w:val="28"/>
          <w:szCs w:val="28"/>
        </w:rPr>
        <w:t xml:space="preserve">краткия текст </w:t>
      </w:r>
      <w:r w:rsidR="00072248" w:rsidRPr="00072248">
        <w:rPr>
          <w:sz w:val="28"/>
          <w:szCs w:val="28"/>
        </w:rPr>
        <w:t>„Гузен негонен бяга“ е поставен въпросът „Какво се случило в селото?“, към баснята „Сърната и лозата“ – „Къде се скрила?“, а към „Орел, рак и щука“ – „Кои са героите в баснята</w:t>
      </w:r>
      <w:r w:rsidR="00072248" w:rsidRPr="009D0474">
        <w:rPr>
          <w:b/>
          <w:bCs/>
          <w:sz w:val="28"/>
          <w:szCs w:val="28"/>
        </w:rPr>
        <w:t>?“</w:t>
      </w:r>
      <w:r w:rsidR="009D0474" w:rsidRPr="009D0474">
        <w:rPr>
          <w:b/>
          <w:bCs/>
          <w:sz w:val="28"/>
          <w:szCs w:val="28"/>
        </w:rPr>
        <w:t xml:space="preserve"> [11, с. 12, 30]</w:t>
      </w:r>
      <w:r w:rsidR="00072248" w:rsidRPr="00072248">
        <w:rPr>
          <w:sz w:val="28"/>
          <w:szCs w:val="28"/>
        </w:rPr>
        <w:t>. Отговорите могат да бъдат намерени непосредствено в съответния текст, поради което тези формулировки служат преди всичко за проверка на разбирането на съдържанието.</w:t>
      </w:r>
    </w:p>
    <w:p w14:paraId="5E1FE17D" w14:textId="60A5FF33" w:rsidR="0066451A" w:rsidRDefault="00072248" w:rsidP="00072248">
      <w:pPr>
        <w:pStyle w:val="a3"/>
        <w:spacing w:before="0" w:beforeAutospacing="0" w:after="0" w:afterAutospacing="0"/>
        <w:jc w:val="both"/>
        <w:rPr>
          <w:sz w:val="28"/>
          <w:szCs w:val="28"/>
        </w:rPr>
      </w:pPr>
      <w:r>
        <w:rPr>
          <w:sz w:val="28"/>
          <w:szCs w:val="28"/>
        </w:rPr>
        <w:tab/>
      </w:r>
      <w:r w:rsidRPr="00072248">
        <w:rPr>
          <w:sz w:val="28"/>
          <w:szCs w:val="28"/>
        </w:rPr>
        <w:t xml:space="preserve">Аналитичните въпроси са 26,1%. Въпросът „Защо не успяла да се спаси?“ към „Сърната и лозата“ изисква свързване на постъпката на героинята с последиците от нея. В </w:t>
      </w:r>
      <w:r>
        <w:rPr>
          <w:sz w:val="28"/>
          <w:szCs w:val="28"/>
        </w:rPr>
        <w:t xml:space="preserve">баснята </w:t>
      </w:r>
      <w:r w:rsidRPr="00072248">
        <w:rPr>
          <w:sz w:val="28"/>
          <w:szCs w:val="28"/>
        </w:rPr>
        <w:t>„Орел, рак и щука“ въпросът „Защо не могат да издърпат колата?“ насочва към установяване на причината за неуспеха на героите въз основа на описаните действия</w:t>
      </w:r>
      <w:r w:rsidR="009D0474">
        <w:rPr>
          <w:sz w:val="28"/>
          <w:szCs w:val="28"/>
        </w:rPr>
        <w:t xml:space="preserve"> </w:t>
      </w:r>
      <w:r w:rsidR="009D0474" w:rsidRPr="009D0474">
        <w:rPr>
          <w:rStyle w:val="a4"/>
          <w:sz w:val="28"/>
          <w:szCs w:val="28"/>
        </w:rPr>
        <w:t>[12, с. 12, 30]</w:t>
      </w:r>
      <w:r w:rsidRPr="00072248">
        <w:rPr>
          <w:sz w:val="28"/>
          <w:szCs w:val="28"/>
        </w:rPr>
        <w:t xml:space="preserve">. И в двата случая отговорът е очертан от съдържанието, но предполага съотнасяне и обобщаване на отделни текстови сведения. </w:t>
      </w:r>
      <w:r w:rsidRPr="00072248">
        <w:rPr>
          <w:sz w:val="28"/>
          <w:szCs w:val="28"/>
        </w:rPr>
        <w:lastRenderedPageBreak/>
        <w:t>Интерпретативно-оценъчните въпроси имат най-малък дял – 13%</w:t>
      </w:r>
      <w:r w:rsidR="00327CD1">
        <w:rPr>
          <w:sz w:val="28"/>
          <w:szCs w:val="28"/>
        </w:rPr>
        <w:t>,</w:t>
      </w:r>
      <w:r w:rsidRPr="00072248">
        <w:rPr>
          <w:sz w:val="28"/>
          <w:szCs w:val="28"/>
        </w:rPr>
        <w:t xml:space="preserve"> и са насочени главно към осмисляне на поуката или оценяване на поведението на героите. </w:t>
      </w:r>
      <w:r w:rsidR="0066451A" w:rsidRPr="0066451A">
        <w:rPr>
          <w:sz w:val="28"/>
          <w:szCs w:val="28"/>
        </w:rPr>
        <w:t>В анализираните произведения са включени и въпроси, насочени към интерпретация, но техният брой е ограничен.</w:t>
      </w:r>
    </w:p>
    <w:p w14:paraId="588CCB37" w14:textId="0983BA84" w:rsidR="0066451A" w:rsidRDefault="00072248" w:rsidP="00072248">
      <w:pPr>
        <w:pStyle w:val="a3"/>
        <w:spacing w:before="0" w:beforeAutospacing="0" w:after="0" w:afterAutospacing="0"/>
        <w:jc w:val="both"/>
        <w:rPr>
          <w:sz w:val="28"/>
          <w:szCs w:val="28"/>
        </w:rPr>
      </w:pPr>
      <w:r>
        <w:rPr>
          <w:sz w:val="28"/>
          <w:szCs w:val="28"/>
        </w:rPr>
        <w:tab/>
      </w:r>
      <w:r w:rsidR="00B316B5" w:rsidRPr="00B316B5">
        <w:rPr>
          <w:sz w:val="28"/>
          <w:szCs w:val="28"/>
        </w:rPr>
        <w:t xml:space="preserve">При „Просвета Плюс“ се установява различно съотношение. Възпроизвеждащите и интерпретативно-оценъчните въпроси имат еднакъв относителен дял – по 42,1%, докато аналитичните са 15,8%. </w:t>
      </w:r>
      <w:r w:rsidR="0066451A" w:rsidRPr="0066451A">
        <w:rPr>
          <w:sz w:val="28"/>
          <w:szCs w:val="28"/>
        </w:rPr>
        <w:t xml:space="preserve">В сравнение с останалите две извадки тук най-висок </w:t>
      </w:r>
      <w:r w:rsidR="00566EFB">
        <w:rPr>
          <w:sz w:val="28"/>
          <w:szCs w:val="28"/>
        </w:rPr>
        <w:t xml:space="preserve">е </w:t>
      </w:r>
      <w:r w:rsidR="0066451A" w:rsidRPr="0066451A">
        <w:rPr>
          <w:sz w:val="28"/>
          <w:szCs w:val="28"/>
        </w:rPr>
        <w:t>относителният дял на въпросите, насочени към интерпретация, оценяване и изразяване на читателска позиция.</w:t>
      </w:r>
    </w:p>
    <w:p w14:paraId="29909FE6" w14:textId="7471F24A" w:rsidR="00B316B5" w:rsidRDefault="00B316B5" w:rsidP="00072248">
      <w:pPr>
        <w:pStyle w:val="a3"/>
        <w:spacing w:before="0" w:beforeAutospacing="0" w:after="0" w:afterAutospacing="0"/>
        <w:jc w:val="both"/>
        <w:rPr>
          <w:sz w:val="28"/>
          <w:szCs w:val="28"/>
        </w:rPr>
      </w:pPr>
      <w:r>
        <w:rPr>
          <w:sz w:val="28"/>
          <w:szCs w:val="28"/>
        </w:rPr>
        <w:tab/>
      </w:r>
      <w:r w:rsidRPr="00B316B5">
        <w:rPr>
          <w:sz w:val="28"/>
          <w:szCs w:val="28"/>
        </w:rPr>
        <w:t>Характерен пример е поредицата към баснята „Дърварят и лисицата“</w:t>
      </w:r>
      <w:r w:rsidR="009D0474">
        <w:rPr>
          <w:sz w:val="28"/>
          <w:szCs w:val="28"/>
        </w:rPr>
        <w:t xml:space="preserve">. </w:t>
      </w:r>
      <w:r w:rsidRPr="00B316B5">
        <w:rPr>
          <w:sz w:val="28"/>
          <w:szCs w:val="28"/>
        </w:rPr>
        <w:t>Въпросът „Към кого се обърнала за помощ лисицата?“ изисква възстановяване на пряко представена информация. Следващият – „Какво казал дърварят на ловеца, а какво вършел през това време?“</w:t>
      </w:r>
      <w:r w:rsidR="00566EFB">
        <w:rPr>
          <w:sz w:val="28"/>
          <w:szCs w:val="28"/>
        </w:rPr>
        <w:t>,</w:t>
      </w:r>
      <w:r w:rsidRPr="00B316B5">
        <w:rPr>
          <w:sz w:val="28"/>
          <w:szCs w:val="28"/>
        </w:rPr>
        <w:t xml:space="preserve"> насочва към съпоставяне между думите и действията на героя. Поредицата завършва с въпроса „Ще се съгласиш ли с думите на лисицата в края на баснята? Защо?“, който предполага изразяване и обосноваване на читателска позиция. В този случай въпросите последователно насочват от установяването на фактите към разкриването на противоречието в поведението на героя и осмислянето на поуката</w:t>
      </w:r>
      <w:r w:rsidR="009D0474">
        <w:rPr>
          <w:sz w:val="28"/>
          <w:szCs w:val="28"/>
        </w:rPr>
        <w:t xml:space="preserve"> </w:t>
      </w:r>
      <w:r w:rsidR="009D0474" w:rsidRPr="009D0474">
        <w:rPr>
          <w:rStyle w:val="a4"/>
          <w:sz w:val="28"/>
          <w:szCs w:val="28"/>
        </w:rPr>
        <w:t>[13, с. 15]</w:t>
      </w:r>
      <w:r w:rsidR="009D0474" w:rsidRPr="009D0474">
        <w:rPr>
          <w:sz w:val="28"/>
          <w:szCs w:val="28"/>
        </w:rPr>
        <w:t>.</w:t>
      </w:r>
    </w:p>
    <w:p w14:paraId="02DD6E9E" w14:textId="58AB783B" w:rsidR="0066451A" w:rsidRDefault="0066451A" w:rsidP="00072248">
      <w:pPr>
        <w:pStyle w:val="a3"/>
        <w:spacing w:before="0" w:beforeAutospacing="0" w:after="0" w:afterAutospacing="0"/>
        <w:jc w:val="both"/>
        <w:rPr>
          <w:sz w:val="28"/>
          <w:szCs w:val="28"/>
        </w:rPr>
      </w:pPr>
      <w:r>
        <w:rPr>
          <w:sz w:val="28"/>
          <w:szCs w:val="28"/>
        </w:rPr>
        <w:tab/>
      </w:r>
      <w:r w:rsidRPr="0066451A">
        <w:rPr>
          <w:sz w:val="28"/>
          <w:szCs w:val="28"/>
        </w:rPr>
        <w:t>Поредицата към „Дърварят и лисицата“ обаче не може да се приеме като обща характеристика на всички подбрани произведения. Аналитичните въпроси имат най-нисък относителен дял именно в тази извадка. Това показва, че методическата стойност на интерпретативно-оценъчните въпроси зависи не само от техния брой, но и от наличието на предходна работа върху конкретни думи, постъпки и отношения в текста.</w:t>
      </w:r>
    </w:p>
    <w:p w14:paraId="1F10134F" w14:textId="77777777" w:rsidR="0066451A" w:rsidRDefault="00072248" w:rsidP="00072248">
      <w:pPr>
        <w:pStyle w:val="a3"/>
        <w:spacing w:before="0" w:beforeAutospacing="0" w:after="0" w:afterAutospacing="0"/>
        <w:jc w:val="both"/>
        <w:rPr>
          <w:sz w:val="28"/>
          <w:szCs w:val="28"/>
        </w:rPr>
      </w:pPr>
      <w:r>
        <w:rPr>
          <w:sz w:val="28"/>
          <w:szCs w:val="28"/>
        </w:rPr>
        <w:tab/>
      </w:r>
      <w:r w:rsidRPr="00072248">
        <w:rPr>
          <w:sz w:val="28"/>
          <w:szCs w:val="28"/>
        </w:rPr>
        <w:t xml:space="preserve">В читанката на „Клет България“ възпроизвеждащите въпроси също преобладават – 52,4%, но делът им е по-нисък от установения при „Просвета“. Аналитичните представляват 28,6% и имат най-висок относителен дял сред трите анализирани извадки. Интерпретативно-оценъчните въпроси са 19%. </w:t>
      </w:r>
      <w:r w:rsidR="0066451A" w:rsidRPr="0066451A">
        <w:rPr>
          <w:sz w:val="28"/>
          <w:szCs w:val="28"/>
        </w:rPr>
        <w:t>Това съотношение откроява по-силното присъствие на въпроси, изискващи свързване на текстови сведения и обясняване на поведението на героите.</w:t>
      </w:r>
    </w:p>
    <w:p w14:paraId="247339BC" w14:textId="4DD86D15" w:rsidR="00072248" w:rsidRPr="00072248" w:rsidRDefault="00072248" w:rsidP="00072248">
      <w:pPr>
        <w:pStyle w:val="a3"/>
        <w:spacing w:before="0" w:beforeAutospacing="0" w:after="0" w:afterAutospacing="0"/>
        <w:jc w:val="both"/>
        <w:rPr>
          <w:sz w:val="28"/>
          <w:szCs w:val="28"/>
        </w:rPr>
      </w:pPr>
      <w:r>
        <w:rPr>
          <w:sz w:val="28"/>
          <w:szCs w:val="28"/>
        </w:rPr>
        <w:tab/>
      </w:r>
      <w:r w:rsidRPr="00072248">
        <w:rPr>
          <w:sz w:val="28"/>
          <w:szCs w:val="28"/>
        </w:rPr>
        <w:t>Това се откроява във въпросите към баснята „Вълк и вълче</w:t>
      </w:r>
      <w:r w:rsidRPr="009D0474">
        <w:rPr>
          <w:sz w:val="28"/>
          <w:szCs w:val="28"/>
        </w:rPr>
        <w:t>“</w:t>
      </w:r>
      <w:r w:rsidR="009D0474">
        <w:rPr>
          <w:sz w:val="28"/>
          <w:szCs w:val="28"/>
        </w:rPr>
        <w:t xml:space="preserve">. </w:t>
      </w:r>
      <w:r w:rsidRPr="00072248">
        <w:rPr>
          <w:sz w:val="28"/>
          <w:szCs w:val="28"/>
        </w:rPr>
        <w:t>След установяването къде вълкът изпраща вълчето вниманието се насочва към начина, по който героят преценява къде може да намери храна и на какво обръща внимание. Отговорът изисква свързване на наблюденията върху овцете, кучетата и овчарите с направения от вълка извод. Въпросите „Според теб какво означава да си опитен?“ и „Какъв е урокът за неопитното вълче?“ насочват към обобщаване на поведението на героите и осмисляне на поуката. Поредицата преминава от възстановяване на обстоятелствата през анализ на разсъжденията на героя към извеждане на значението на опита</w:t>
      </w:r>
      <w:r w:rsidR="009D0474">
        <w:rPr>
          <w:sz w:val="28"/>
          <w:szCs w:val="28"/>
        </w:rPr>
        <w:t xml:space="preserve"> </w:t>
      </w:r>
      <w:r w:rsidR="009D0474" w:rsidRPr="009D0474">
        <w:rPr>
          <w:rStyle w:val="a4"/>
          <w:sz w:val="28"/>
          <w:szCs w:val="28"/>
        </w:rPr>
        <w:t>[14, с. 11]</w:t>
      </w:r>
      <w:r w:rsidR="009D0474" w:rsidRPr="009D0474">
        <w:rPr>
          <w:sz w:val="28"/>
          <w:szCs w:val="28"/>
        </w:rPr>
        <w:t>.</w:t>
      </w:r>
    </w:p>
    <w:p w14:paraId="40C42070" w14:textId="5FED4FF6" w:rsidR="00072248" w:rsidRPr="00072248" w:rsidRDefault="00072248" w:rsidP="00072248">
      <w:pPr>
        <w:pStyle w:val="a3"/>
        <w:spacing w:before="0" w:beforeAutospacing="0" w:after="0" w:afterAutospacing="0"/>
        <w:jc w:val="both"/>
        <w:rPr>
          <w:sz w:val="28"/>
          <w:szCs w:val="28"/>
        </w:rPr>
      </w:pPr>
      <w:r>
        <w:rPr>
          <w:sz w:val="28"/>
          <w:szCs w:val="28"/>
        </w:rPr>
        <w:tab/>
      </w:r>
      <w:r w:rsidRPr="00072248">
        <w:rPr>
          <w:sz w:val="28"/>
          <w:szCs w:val="28"/>
        </w:rPr>
        <w:t xml:space="preserve">Въпросите към „Най-хубавите ръце“ показват защо при кодирането трябва да се отчита контекстът на произведението. Формулировката „Кое според приказката прави човешките ръце красиви – начинът, по който </w:t>
      </w:r>
      <w:r w:rsidRPr="00072248">
        <w:rPr>
          <w:sz w:val="28"/>
          <w:szCs w:val="28"/>
        </w:rPr>
        <w:lastRenderedPageBreak/>
        <w:t xml:space="preserve">изглеждат, или онова, което правят?“ на пръв поглед създава впечатление за оценяване. Отговорът обаче е пряко заявен във финала на приказката: „Най-хубави са ръцете, които се трудят.“ Затова въпросът е определен като възпроизвеждащ. Този пример потвърждава, че познавателната функция не се извежда само от езиковата форма на въпроса, а от действията, необходими за достигане до </w:t>
      </w:r>
      <w:r w:rsidRPr="009D0474">
        <w:rPr>
          <w:sz w:val="28"/>
          <w:szCs w:val="28"/>
        </w:rPr>
        <w:t>отговора</w:t>
      </w:r>
      <w:r w:rsidR="009D0474" w:rsidRPr="009D0474">
        <w:rPr>
          <w:sz w:val="28"/>
          <w:szCs w:val="28"/>
        </w:rPr>
        <w:t xml:space="preserve"> </w:t>
      </w:r>
      <w:r w:rsidR="009D0474" w:rsidRPr="009D0474">
        <w:rPr>
          <w:rStyle w:val="a4"/>
          <w:sz w:val="28"/>
          <w:szCs w:val="28"/>
        </w:rPr>
        <w:t>[15, с. 92]</w:t>
      </w:r>
      <w:r w:rsidR="009D0474" w:rsidRPr="009D0474">
        <w:rPr>
          <w:sz w:val="28"/>
          <w:szCs w:val="28"/>
        </w:rPr>
        <w:t>.</w:t>
      </w:r>
    </w:p>
    <w:p w14:paraId="60B08529" w14:textId="602722C3" w:rsidR="00072248" w:rsidRPr="00072248" w:rsidRDefault="00072248" w:rsidP="00072248">
      <w:pPr>
        <w:pStyle w:val="a3"/>
        <w:spacing w:before="0" w:beforeAutospacing="0" w:after="0" w:afterAutospacing="0"/>
        <w:jc w:val="both"/>
        <w:rPr>
          <w:sz w:val="28"/>
          <w:szCs w:val="28"/>
        </w:rPr>
      </w:pPr>
      <w:r>
        <w:rPr>
          <w:sz w:val="28"/>
          <w:szCs w:val="28"/>
        </w:rPr>
        <w:tab/>
      </w:r>
      <w:r w:rsidRPr="00072248">
        <w:rPr>
          <w:sz w:val="28"/>
          <w:szCs w:val="28"/>
        </w:rPr>
        <w:t>Съпоставката очертава различия както в относителния дял на категориите, така и в последователността на въпросите. При „Просвета“ най-силно е представена проверката на непосредственото разбиране, а интерпретативно-оценъчните въпроси имат ограничено присъствие. При „Просвета Плюс“ се установява най-висок дял на интерпретативно-оценъчните въпроси, но аналитичното равнище е по-слабо представено. При „Клет България“ аналитичните въпроси заемат най-голям относителен дял, макар че възпроизвеждащите продължават да преобладават.</w:t>
      </w:r>
    </w:p>
    <w:p w14:paraId="2BDAD2DD" w14:textId="0ED11979" w:rsidR="00072248" w:rsidRDefault="00072248" w:rsidP="00540DF9">
      <w:pPr>
        <w:pStyle w:val="a3"/>
        <w:spacing w:before="0" w:beforeAutospacing="0" w:after="0" w:afterAutospacing="0"/>
        <w:jc w:val="both"/>
        <w:rPr>
          <w:sz w:val="28"/>
          <w:szCs w:val="28"/>
        </w:rPr>
      </w:pPr>
      <w:r>
        <w:rPr>
          <w:sz w:val="28"/>
          <w:szCs w:val="28"/>
        </w:rPr>
        <w:tab/>
      </w:r>
      <w:r w:rsidR="00540DF9" w:rsidRPr="00540DF9">
        <w:rPr>
          <w:sz w:val="28"/>
          <w:szCs w:val="28"/>
        </w:rPr>
        <w:t>Установените различия се отнасят единствено до подбраните произведения и не представляват цялостна оценка на читанките или класация на издателствата. В границите на изследваната извадка данните показват различно съотношение между трите категории въпроси.</w:t>
      </w:r>
    </w:p>
    <w:p w14:paraId="06CAE7E4" w14:textId="77777777" w:rsidR="00540DF9" w:rsidRDefault="00540DF9" w:rsidP="00540DF9">
      <w:pPr>
        <w:pStyle w:val="a3"/>
        <w:spacing w:before="0" w:beforeAutospacing="0" w:after="0" w:afterAutospacing="0"/>
        <w:jc w:val="both"/>
        <w:rPr>
          <w:sz w:val="28"/>
          <w:szCs w:val="28"/>
        </w:rPr>
      </w:pPr>
    </w:p>
    <w:p w14:paraId="5CDB35FF" w14:textId="215BBA8F" w:rsidR="000B6A5E" w:rsidRPr="000B6A5E" w:rsidRDefault="000B6A5E" w:rsidP="000B6A5E">
      <w:pPr>
        <w:ind w:firstLine="567"/>
        <w:jc w:val="both"/>
        <w:rPr>
          <w:b/>
          <w:bCs/>
          <w:szCs w:val="28"/>
        </w:rPr>
      </w:pPr>
      <w:r w:rsidRPr="000B6A5E">
        <w:rPr>
          <w:b/>
          <w:bCs/>
          <w:szCs w:val="28"/>
        </w:rPr>
        <w:t>Дискусия</w:t>
      </w:r>
    </w:p>
    <w:p w14:paraId="7F25DE2D" w14:textId="77777777" w:rsidR="00540DF9" w:rsidRPr="00540DF9" w:rsidRDefault="00540DF9" w:rsidP="00540DF9">
      <w:pPr>
        <w:ind w:firstLine="567"/>
        <w:jc w:val="both"/>
        <w:rPr>
          <w:szCs w:val="28"/>
        </w:rPr>
      </w:pPr>
      <w:r w:rsidRPr="00540DF9">
        <w:rPr>
          <w:szCs w:val="28"/>
        </w:rPr>
        <w:t>Количественото разпределение по категории не е достатъчно, за да се оцени методическият потенциал на учебните въпроси. Значение има и последователността, в която те насочват работата с конкретното произведение. Възпроизвеждащите въпроси осигуряват първоначалната ориентация в съдържанието, а аналитичните свързват разбирането на случката с нейното по-задълбочено осмисляне. Чрез съпоставяне на думите и постъпките на героите, установяване на причините за поведението им и свързване на отделни моменти от текста се откриват основанията за последващо тълкуване и оценяване. При недостатъчно представена аналитична работа съществува риск ученикът да премине от възстановяване на съдържанието към оценка, която не е убедително обоснована чрез произведението.</w:t>
      </w:r>
    </w:p>
    <w:p w14:paraId="48ADC337" w14:textId="77777777" w:rsidR="00540DF9" w:rsidRPr="00540DF9" w:rsidRDefault="00540DF9" w:rsidP="00540DF9">
      <w:pPr>
        <w:ind w:firstLine="567"/>
        <w:jc w:val="both"/>
        <w:rPr>
          <w:szCs w:val="28"/>
        </w:rPr>
      </w:pPr>
      <w:r w:rsidRPr="00540DF9">
        <w:rPr>
          <w:szCs w:val="28"/>
        </w:rPr>
        <w:t>Високият дял на интерпретативно-оценъчните въпроси също не е сам по себе си доказателство за по-големи възможности за интерпретация. Съществено е дали ученикът трябва да подкрепи своята позиция с конкретни думи, постъпки и отношения в текста. Въпрос, който изисква единствено лично мнение, може да стимулира участието, но не води непременно до осмисляне на художественото произведение. Интерпретативна функция придобиват формулировките, които допускат самостоятелност на отговора и едновременно с това изискват текстова аргументация.</w:t>
      </w:r>
    </w:p>
    <w:p w14:paraId="6C9B9DD1" w14:textId="3C55DE7D" w:rsidR="00540DF9" w:rsidRPr="00540DF9" w:rsidRDefault="00540DF9" w:rsidP="00540DF9">
      <w:pPr>
        <w:ind w:firstLine="567"/>
        <w:jc w:val="both"/>
        <w:rPr>
          <w:szCs w:val="28"/>
        </w:rPr>
      </w:pPr>
      <w:r w:rsidRPr="00540DF9">
        <w:rPr>
          <w:szCs w:val="28"/>
        </w:rPr>
        <w:t xml:space="preserve">Резултатите потвърждават и необходимостта познавателната функция на въпроса да се определя в контекста на произведението. Формулировката към „Най-хубавите ръце“ изглежда оценъчна, но очакваният отговор е пряко заявен във финала на приказката. </w:t>
      </w:r>
      <w:r w:rsidR="000C3065">
        <w:rPr>
          <w:szCs w:val="28"/>
        </w:rPr>
        <w:t>И о</w:t>
      </w:r>
      <w:r w:rsidRPr="00540DF9">
        <w:rPr>
          <w:szCs w:val="28"/>
        </w:rPr>
        <w:t xml:space="preserve">братно, въпрос с обичайна конструкция може да има аналитичен характер, когато изисква свързване на сведения от </w:t>
      </w:r>
      <w:r w:rsidRPr="00540DF9">
        <w:rPr>
          <w:szCs w:val="28"/>
        </w:rPr>
        <w:lastRenderedPageBreak/>
        <w:t>различни части на текста. Следователно въпросителната дума и изрази като „според теб“ не са достатъчни показатели за равнището на познавателната дейност.</w:t>
      </w:r>
    </w:p>
    <w:p w14:paraId="584CAB4E" w14:textId="77777777" w:rsidR="00540DF9" w:rsidRPr="00540DF9" w:rsidRDefault="00540DF9" w:rsidP="00540DF9">
      <w:pPr>
        <w:ind w:firstLine="567"/>
        <w:jc w:val="both"/>
        <w:rPr>
          <w:szCs w:val="28"/>
        </w:rPr>
      </w:pPr>
      <w:r w:rsidRPr="00540DF9">
        <w:rPr>
          <w:szCs w:val="28"/>
        </w:rPr>
        <w:t>Въпросите в читанката задават методически ориентири, но не представляват завършен сценарий на урока. Учителят може да ги допълва според особеностите на произведението и отговорите на учениците. При преобладаване на възпроизвеждащи формулировки са необходими въпроси, които насочват към причините и отношенията в текста. Когато се изисква оценка без достатъчна подготовка, междинните въпроси могат да помогнат на учениците да открият основания за своята позиция.</w:t>
      </w:r>
    </w:p>
    <w:p w14:paraId="503C273F" w14:textId="327773BC" w:rsidR="001A72F1" w:rsidRDefault="00540DF9" w:rsidP="00540DF9">
      <w:pPr>
        <w:ind w:firstLine="567"/>
        <w:jc w:val="both"/>
        <w:rPr>
          <w:szCs w:val="28"/>
        </w:rPr>
      </w:pPr>
      <w:r w:rsidRPr="00540DF9">
        <w:rPr>
          <w:szCs w:val="28"/>
        </w:rPr>
        <w:t>Не е необходимо да се търси механично равенство между трите категории. Тяхното съотношение следва да бъде съобразено с жанра, композицията и смисловата сложност на произведението. По-съществено е системата от въпроси да създава условия за преминаване от разбиране на представеното към обясняване и аргументирано тълкуване. Контент анализът позволява да се установят заложените в читанките предпоставки за такава дейност, но не и действителният им ефект върху интерпретативните умения на учениците.</w:t>
      </w:r>
    </w:p>
    <w:p w14:paraId="2B9FBDB4" w14:textId="77777777" w:rsidR="00540DF9" w:rsidRDefault="00540DF9" w:rsidP="00540DF9">
      <w:pPr>
        <w:ind w:firstLine="567"/>
        <w:jc w:val="both"/>
        <w:rPr>
          <w:szCs w:val="28"/>
        </w:rPr>
      </w:pPr>
    </w:p>
    <w:p w14:paraId="41A64948" w14:textId="77777777" w:rsidR="000B6A5E" w:rsidRPr="000B6A5E" w:rsidRDefault="000B6A5E" w:rsidP="000B6A5E">
      <w:pPr>
        <w:ind w:firstLine="567"/>
        <w:jc w:val="both"/>
        <w:rPr>
          <w:b/>
          <w:bCs/>
          <w:szCs w:val="28"/>
        </w:rPr>
      </w:pPr>
      <w:r w:rsidRPr="000B6A5E">
        <w:rPr>
          <w:b/>
          <w:bCs/>
          <w:szCs w:val="28"/>
        </w:rPr>
        <w:t>Изводи и заключение</w:t>
      </w:r>
    </w:p>
    <w:p w14:paraId="18229291" w14:textId="2A3D6408" w:rsidR="001A72F1" w:rsidRDefault="001A72F1" w:rsidP="001A72F1">
      <w:pPr>
        <w:ind w:firstLine="567"/>
        <w:jc w:val="both"/>
        <w:rPr>
          <w:szCs w:val="28"/>
        </w:rPr>
      </w:pPr>
      <w:r w:rsidRPr="001A72F1">
        <w:rPr>
          <w:szCs w:val="28"/>
        </w:rPr>
        <w:t>Проведеният контент анализ позволява да се формулират следните изводи:</w:t>
      </w:r>
    </w:p>
    <w:p w14:paraId="733CF1EC" w14:textId="77777777" w:rsidR="00540DF9" w:rsidRDefault="00923135" w:rsidP="001A72F1">
      <w:pPr>
        <w:ind w:firstLine="567"/>
        <w:jc w:val="both"/>
        <w:rPr>
          <w:szCs w:val="28"/>
        </w:rPr>
      </w:pPr>
      <w:r w:rsidRPr="00923135">
        <w:rPr>
          <w:szCs w:val="28"/>
        </w:rPr>
        <w:t>1.</w:t>
      </w:r>
      <w:r>
        <w:rPr>
          <w:szCs w:val="28"/>
        </w:rPr>
        <w:t xml:space="preserve"> </w:t>
      </w:r>
      <w:r w:rsidR="001A72F1" w:rsidRPr="00923135">
        <w:rPr>
          <w:szCs w:val="28"/>
        </w:rPr>
        <w:t xml:space="preserve">В изследваната извадка преобладават възпроизвеждащите въпроси – 52,4%, </w:t>
      </w:r>
      <w:r w:rsidR="00540DF9" w:rsidRPr="00540DF9">
        <w:rPr>
          <w:szCs w:val="28"/>
        </w:rPr>
        <w:t>докато аналитичните и интерпретативно-оценъчните заедно представляват 47,6% от всички единици.</w:t>
      </w:r>
    </w:p>
    <w:p w14:paraId="0D25573C" w14:textId="674423C7" w:rsidR="001A72F1" w:rsidRPr="001A72F1" w:rsidRDefault="00923135" w:rsidP="001A72F1">
      <w:pPr>
        <w:ind w:firstLine="567"/>
        <w:jc w:val="both"/>
        <w:rPr>
          <w:szCs w:val="28"/>
        </w:rPr>
      </w:pPr>
      <w:r>
        <w:rPr>
          <w:szCs w:val="28"/>
        </w:rPr>
        <w:t xml:space="preserve">2. </w:t>
      </w:r>
      <w:r w:rsidR="00540DF9" w:rsidRPr="00540DF9">
        <w:rPr>
          <w:szCs w:val="28"/>
        </w:rPr>
        <w:t>Съотношението между трите категории се различава в отделните извадки, като различия се установяват и в последователността на въпросите към конкретните произведения.</w:t>
      </w:r>
    </w:p>
    <w:p w14:paraId="6C9042D4" w14:textId="20F6CB86" w:rsidR="001A72F1" w:rsidRPr="001A72F1" w:rsidRDefault="00923135" w:rsidP="001A72F1">
      <w:pPr>
        <w:ind w:firstLine="567"/>
        <w:jc w:val="both"/>
        <w:rPr>
          <w:szCs w:val="28"/>
        </w:rPr>
      </w:pPr>
      <w:r>
        <w:rPr>
          <w:szCs w:val="28"/>
        </w:rPr>
        <w:t xml:space="preserve">3. </w:t>
      </w:r>
      <w:r w:rsidR="00540DF9" w:rsidRPr="00540DF9">
        <w:rPr>
          <w:szCs w:val="28"/>
        </w:rPr>
        <w:t>Познавателната функция на въпроса зависи не само от езиковата му форма, а и от отношението между формулировката и информацията, представена в текста.</w:t>
      </w:r>
    </w:p>
    <w:p w14:paraId="1B01FF9D" w14:textId="0C7A0B31" w:rsidR="001A72F1" w:rsidRPr="001A72F1" w:rsidRDefault="00923135" w:rsidP="00540DF9">
      <w:pPr>
        <w:ind w:firstLine="567"/>
        <w:jc w:val="both"/>
        <w:rPr>
          <w:szCs w:val="28"/>
        </w:rPr>
      </w:pPr>
      <w:r>
        <w:rPr>
          <w:szCs w:val="28"/>
        </w:rPr>
        <w:t xml:space="preserve">4. </w:t>
      </w:r>
      <w:r w:rsidR="00540DF9" w:rsidRPr="00540DF9">
        <w:rPr>
          <w:szCs w:val="28"/>
        </w:rPr>
        <w:t>Възможностите за интерпретация са по-ясно изразени, когато въпросите насочват към текстови основания за обясняване и аргументиране на читателската позиция.</w:t>
      </w:r>
    </w:p>
    <w:p w14:paraId="2C7629E0" w14:textId="09C789CE" w:rsidR="00B03BEA" w:rsidRDefault="00540DF9" w:rsidP="001A72F1">
      <w:pPr>
        <w:ind w:firstLine="567"/>
        <w:jc w:val="both"/>
        <w:rPr>
          <w:szCs w:val="28"/>
        </w:rPr>
      </w:pPr>
      <w:r w:rsidRPr="00540DF9">
        <w:rPr>
          <w:szCs w:val="28"/>
        </w:rPr>
        <w:t>Методическият потенциал на учебния въпрос не се определя единствено от относителния дял на отделните категории. Значение имат последователността на въпросите и връзката им с конкретното произведение. Поради ограничения обхват резултатите не представляват цялостна оценка на читанките и не показват действителното равнище на ученическите умения. Те дават основание да се заключи, че учебният въпрос може да подпомага интерпретативната дейност, когато насочва ученика отвъд възстановяването на съдържанието и изисква обяснение, обобщаване и аргументиране чрез текста.</w:t>
      </w:r>
    </w:p>
    <w:p w14:paraId="46FE6CF7" w14:textId="77777777" w:rsidR="00540DF9" w:rsidRDefault="00540DF9" w:rsidP="001A72F1">
      <w:pPr>
        <w:ind w:firstLine="567"/>
        <w:jc w:val="both"/>
        <w:rPr>
          <w:szCs w:val="28"/>
        </w:rPr>
      </w:pPr>
    </w:p>
    <w:p w14:paraId="5282363F" w14:textId="77777777" w:rsidR="00B429A8" w:rsidRPr="00B429A8" w:rsidRDefault="00B429A8" w:rsidP="00B429A8">
      <w:pPr>
        <w:pStyle w:val="2"/>
        <w:spacing w:before="0"/>
        <w:jc w:val="both"/>
        <w:rPr>
          <w:rFonts w:ascii="Times New Roman" w:hAnsi="Times New Roman" w:cs="Times New Roman"/>
          <w:b/>
          <w:bCs/>
          <w:color w:val="auto"/>
          <w:sz w:val="28"/>
          <w:szCs w:val="28"/>
        </w:rPr>
      </w:pPr>
      <w:r w:rsidRPr="00B429A8">
        <w:rPr>
          <w:rFonts w:ascii="Times New Roman" w:hAnsi="Times New Roman" w:cs="Times New Roman"/>
          <w:b/>
          <w:bCs/>
          <w:color w:val="auto"/>
          <w:sz w:val="28"/>
          <w:szCs w:val="28"/>
        </w:rPr>
        <w:lastRenderedPageBreak/>
        <w:t>БЕЛЕЖКИ</w:t>
      </w:r>
    </w:p>
    <w:p w14:paraId="6867FF80"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 xml:space="preserve">[1] ЙОРДАНОВА, Даниела, Мариана ГЪРМИДОЛОВА и Марта НИКОЛОВА. Интерактивните методи за възприемане, разбиране, осмисляне и интерпретиране на художествен текст чрез обучението по литература и изобразително изкуство (1.–4. клас). В: Даниела ЙОРДАНОВА, съст. и ред. </w:t>
      </w:r>
      <w:r w:rsidRPr="00B429A8">
        <w:rPr>
          <w:rStyle w:val="a5"/>
          <w:sz w:val="28"/>
          <w:szCs w:val="28"/>
        </w:rPr>
        <w:t>Развитие на четивна грамотност на ученици чрез работа с художествен текст</w:t>
      </w:r>
      <w:r w:rsidRPr="00B429A8">
        <w:rPr>
          <w:sz w:val="28"/>
          <w:szCs w:val="28"/>
        </w:rPr>
        <w:t>, с. 27–43. Велико Търново: Еклибрис студио, 2018.</w:t>
      </w:r>
    </w:p>
    <w:p w14:paraId="78C1D1ED"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[2] ЙОРДАНОВА, ГЪРМИДОЛОВА и НИКОЛОВА, бел. 1, с. 30.</w:t>
      </w:r>
    </w:p>
    <w:p w14:paraId="3E9F57AD"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[3] ЙОРДАНОВА, ГЪРМИДОЛОВА и НИКОЛОВА, бел. 1, с. 32–34.</w:t>
      </w:r>
    </w:p>
    <w:p w14:paraId="01F354F4"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 xml:space="preserve">[4] КОЛЕВА, Вероника. Въпросът в литературното обучение. </w:t>
      </w:r>
      <w:r w:rsidRPr="00B429A8">
        <w:rPr>
          <w:rStyle w:val="a5"/>
          <w:sz w:val="28"/>
          <w:szCs w:val="28"/>
        </w:rPr>
        <w:t>Проглас</w:t>
      </w:r>
      <w:r w:rsidRPr="00B429A8">
        <w:rPr>
          <w:sz w:val="28"/>
          <w:szCs w:val="28"/>
        </w:rPr>
        <w:t>, 1997, № 3–4, с. 192–208.</w:t>
      </w:r>
    </w:p>
    <w:p w14:paraId="6F0EC498"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[5] КОЛЕВА, бел. 4, с. 195.</w:t>
      </w:r>
    </w:p>
    <w:p w14:paraId="2498DEA7"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[6] КОЛЕВА, бел. 4, с. 199.</w:t>
      </w:r>
    </w:p>
    <w:p w14:paraId="17A27893"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 xml:space="preserve">[7] ТАНКОВА, Румяна и Цанко ЛАЛЕВ. </w:t>
      </w:r>
      <w:r w:rsidRPr="00B429A8">
        <w:rPr>
          <w:rStyle w:val="a5"/>
          <w:sz w:val="28"/>
          <w:szCs w:val="28"/>
        </w:rPr>
        <w:t>Читанка за 3. клас</w:t>
      </w:r>
      <w:r w:rsidRPr="00B429A8">
        <w:rPr>
          <w:sz w:val="28"/>
          <w:szCs w:val="28"/>
        </w:rPr>
        <w:t>. София: Просвета, 2018. ISBN 978-954-01-3568-7.</w:t>
      </w:r>
    </w:p>
    <w:p w14:paraId="4EF852F4"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 xml:space="preserve">[8] ДИМИТРОВА, Пенка, Мария БОНЧЕВА и Невена ПЕТРОВА. </w:t>
      </w:r>
      <w:r w:rsidRPr="00B429A8">
        <w:rPr>
          <w:rStyle w:val="a5"/>
          <w:sz w:val="28"/>
          <w:szCs w:val="28"/>
        </w:rPr>
        <w:t>Читанка за 3. клас</w:t>
      </w:r>
      <w:r w:rsidRPr="00B429A8">
        <w:rPr>
          <w:sz w:val="28"/>
          <w:szCs w:val="28"/>
        </w:rPr>
        <w:t>. София: Просвета Плюс, 2018. ISBN 978-619-222-193-5.</w:t>
      </w:r>
    </w:p>
    <w:p w14:paraId="27933348"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 xml:space="preserve">[9] ЗДРАВКОВА, Стойка, Теодора ВЛАСЕВА, Юлия СПИРИДОНОВА и Велка СЛАВОВА. </w:t>
      </w:r>
      <w:r w:rsidRPr="00B429A8">
        <w:rPr>
          <w:rStyle w:val="a5"/>
          <w:sz w:val="28"/>
          <w:szCs w:val="28"/>
        </w:rPr>
        <w:t>Читанка за 3. клас</w:t>
      </w:r>
      <w:r w:rsidRPr="00B429A8">
        <w:rPr>
          <w:sz w:val="28"/>
          <w:szCs w:val="28"/>
        </w:rPr>
        <w:t>. София: Клет България, 2018. ISBN 978-619-215-185-0.</w:t>
      </w:r>
    </w:p>
    <w:p w14:paraId="5523266C"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 xml:space="preserve">[10] ГЕОРГИЕВА, Анна. Сравнителен методически анализ на алтернативните читанки от първи до четвърти клас (с първи тираж през 2016–2019 г.). </w:t>
      </w:r>
      <w:r w:rsidRPr="00B429A8">
        <w:rPr>
          <w:rStyle w:val="a5"/>
          <w:sz w:val="28"/>
          <w:szCs w:val="28"/>
        </w:rPr>
        <w:t>Годишник на Софийския университет „Св. Климент Охридски“, Факултет по науки за образованието и изкуствата. Книга Педагогически науки</w:t>
      </w:r>
      <w:r w:rsidRPr="00B429A8">
        <w:rPr>
          <w:sz w:val="28"/>
          <w:szCs w:val="28"/>
        </w:rPr>
        <w:t>, т. 113, с. 194–217. София: Университетско издателство „Св. Климент Охридски“, 2020.</w:t>
      </w:r>
    </w:p>
    <w:p w14:paraId="4085F233"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[11] ТАНКОВА и ЛАЛЕВ, бел. 7, с. 12, 30.</w:t>
      </w:r>
    </w:p>
    <w:p w14:paraId="6DA956C1"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[12] ТАНКОВА и ЛАЛЕВ, бел. 7, с. 12, 30.</w:t>
      </w:r>
    </w:p>
    <w:p w14:paraId="14722E37"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[13] ДИМИТРОВА, БОНЧЕВА и ПЕТРОВА, бел. 8, с. 15.</w:t>
      </w:r>
    </w:p>
    <w:p w14:paraId="7B63B072"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[14] ЗДРАВКОВА, ВЛАСЕВА, СПИРИДОНОВА и СЛАВОВА, бел. 9, с. 11.</w:t>
      </w:r>
    </w:p>
    <w:p w14:paraId="3A74F5A8" w14:textId="77777777" w:rsidR="00B429A8" w:rsidRPr="00B429A8" w:rsidRDefault="00B429A8" w:rsidP="00B429A8">
      <w:pPr>
        <w:pStyle w:val="a3"/>
        <w:spacing w:before="0" w:beforeAutospacing="0" w:after="0" w:afterAutospacing="0"/>
        <w:jc w:val="both"/>
        <w:rPr>
          <w:sz w:val="28"/>
          <w:szCs w:val="28"/>
        </w:rPr>
      </w:pPr>
      <w:r w:rsidRPr="00B429A8">
        <w:rPr>
          <w:sz w:val="28"/>
          <w:szCs w:val="28"/>
        </w:rPr>
        <w:t>[15] ЗДРАВКОВА, ВЛАСЕВА, СПИРИДОНОВА и СЛАВОВА, бел. 9, с. 92.</w:t>
      </w:r>
    </w:p>
    <w:p w14:paraId="1727AA76" w14:textId="77777777" w:rsidR="00B03BEA" w:rsidRPr="00A24394" w:rsidRDefault="00B03BEA" w:rsidP="001A72F1">
      <w:pPr>
        <w:ind w:firstLine="567"/>
        <w:jc w:val="both"/>
        <w:rPr>
          <w:szCs w:val="28"/>
        </w:rPr>
      </w:pPr>
    </w:p>
    <w:p w14:paraId="28D39FAA" w14:textId="11963A45" w:rsidR="008465EB" w:rsidRDefault="008465EB" w:rsidP="00CC306B">
      <w:pPr>
        <w:ind w:firstLine="567"/>
        <w:jc w:val="both"/>
        <w:rPr>
          <w:szCs w:val="28"/>
        </w:rPr>
      </w:pPr>
    </w:p>
    <w:bookmarkEnd w:id="0"/>
    <w:p w14:paraId="00C6E690" w14:textId="185E8BF3" w:rsidR="005F35B5" w:rsidRDefault="005F35B5" w:rsidP="005F35B5">
      <w:pPr>
        <w:ind w:firstLine="567"/>
        <w:jc w:val="both"/>
        <w:rPr>
          <w:b/>
          <w:szCs w:val="28"/>
        </w:rPr>
      </w:pPr>
      <w:r w:rsidRPr="0022685B">
        <w:rPr>
          <w:b/>
          <w:szCs w:val="28"/>
        </w:rPr>
        <w:t>ЛИТЕРАТУРА:</w:t>
      </w:r>
    </w:p>
    <w:p w14:paraId="57DD994C" w14:textId="2353D71B" w:rsidR="00F77E21" w:rsidRDefault="00060B3D" w:rsidP="00060B3D">
      <w:pPr>
        <w:pStyle w:val="pdq2pgselectionanchorcontainer"/>
        <w:spacing w:before="0" w:beforeAutospacing="0" w:after="0" w:afterAutospacing="0"/>
        <w:jc w:val="both"/>
        <w:rPr>
          <w:sz w:val="28"/>
          <w:szCs w:val="28"/>
        </w:rPr>
      </w:pPr>
      <w:r w:rsidRPr="00060B3D">
        <w:rPr>
          <w:sz w:val="28"/>
          <w:szCs w:val="28"/>
        </w:rPr>
        <w:tab/>
        <w:t>1</w:t>
      </w:r>
      <w:r>
        <w:rPr>
          <w:sz w:val="28"/>
          <w:szCs w:val="28"/>
        </w:rPr>
        <w:t xml:space="preserve">. </w:t>
      </w:r>
      <w:r w:rsidR="00F77E21" w:rsidRPr="00F77E21">
        <w:rPr>
          <w:sz w:val="28"/>
          <w:szCs w:val="28"/>
        </w:rPr>
        <w:t xml:space="preserve">ГЕОРГИЕВА, Анна. Сравнителен методически анализ на алтернативните читанки от първи до четвърти клас (с първи тираж през 2016–2019 г.). В: </w:t>
      </w:r>
      <w:r w:rsidR="00F77E21" w:rsidRPr="00F77E21">
        <w:rPr>
          <w:rStyle w:val="a5"/>
          <w:sz w:val="28"/>
          <w:szCs w:val="28"/>
        </w:rPr>
        <w:t>Годишник на Софийския университет „Св. Климент Охридски“, Факултет по науки за образованието и изкуствата. Книга Педагогически науки</w:t>
      </w:r>
      <w:r w:rsidR="00F77E21" w:rsidRPr="00F77E21">
        <w:rPr>
          <w:sz w:val="28"/>
          <w:szCs w:val="28"/>
        </w:rPr>
        <w:t>. 2020, т. 113, с. 194–217.</w:t>
      </w:r>
    </w:p>
    <w:p w14:paraId="59DB1CFD" w14:textId="42927CD0" w:rsidR="00060B3D" w:rsidRPr="00F77E21" w:rsidRDefault="00060B3D" w:rsidP="00060B3D">
      <w:pPr>
        <w:pStyle w:val="a3"/>
        <w:spacing w:before="0" w:beforeAutospacing="0" w:after="0" w:afterAutospacing="0"/>
        <w:jc w:val="both"/>
        <w:rPr>
          <w:sz w:val="28"/>
          <w:szCs w:val="28"/>
        </w:rPr>
      </w:pPr>
      <w:r>
        <w:rPr>
          <w:sz w:val="28"/>
          <w:szCs w:val="28"/>
        </w:rPr>
        <w:tab/>
        <w:t xml:space="preserve">2. </w:t>
      </w:r>
      <w:r w:rsidRPr="00F77E21">
        <w:rPr>
          <w:sz w:val="28"/>
          <w:szCs w:val="28"/>
        </w:rPr>
        <w:t xml:space="preserve">ДИМИТРОВА, Пенка, Мария БОНЧЕВА и Невена ПЕТРОВА. </w:t>
      </w:r>
      <w:r w:rsidRPr="00F77E21">
        <w:rPr>
          <w:rStyle w:val="a5"/>
          <w:sz w:val="28"/>
          <w:szCs w:val="28"/>
        </w:rPr>
        <w:t>Читанка за 3. клас</w:t>
      </w:r>
      <w:r w:rsidRPr="00F77E21">
        <w:rPr>
          <w:sz w:val="28"/>
          <w:szCs w:val="28"/>
        </w:rPr>
        <w:t>. София: Просвета Плюс, 2018. ISBN 978-619-222-193-5.</w:t>
      </w:r>
    </w:p>
    <w:p w14:paraId="7CE16BF8" w14:textId="701CDCF6" w:rsidR="00060B3D" w:rsidRPr="00F77E21" w:rsidRDefault="00060B3D" w:rsidP="00060B3D">
      <w:pPr>
        <w:pStyle w:val="a3"/>
        <w:spacing w:before="0" w:beforeAutospacing="0" w:after="0" w:afterAutospacing="0"/>
        <w:jc w:val="both"/>
        <w:rPr>
          <w:sz w:val="28"/>
          <w:szCs w:val="28"/>
        </w:rPr>
      </w:pPr>
      <w:r>
        <w:rPr>
          <w:sz w:val="28"/>
          <w:szCs w:val="28"/>
        </w:rPr>
        <w:tab/>
        <w:t xml:space="preserve">3. </w:t>
      </w:r>
      <w:r w:rsidRPr="00F77E21">
        <w:rPr>
          <w:sz w:val="28"/>
          <w:szCs w:val="28"/>
        </w:rPr>
        <w:t xml:space="preserve">ЗДРАВКОВА, Стойка, Теодора ВЛАСЕВА, Юлия СПИРИДОНОВА и Велка СЛАВОВА. </w:t>
      </w:r>
      <w:r w:rsidRPr="00F77E21">
        <w:rPr>
          <w:rStyle w:val="a5"/>
          <w:sz w:val="28"/>
          <w:szCs w:val="28"/>
        </w:rPr>
        <w:t>Читанка за 3. клас</w:t>
      </w:r>
      <w:r w:rsidRPr="00F77E21">
        <w:rPr>
          <w:sz w:val="28"/>
          <w:szCs w:val="28"/>
        </w:rPr>
        <w:t>. София: Клет България, 20</w:t>
      </w:r>
      <w:r>
        <w:rPr>
          <w:sz w:val="28"/>
          <w:szCs w:val="28"/>
        </w:rPr>
        <w:t>18</w:t>
      </w:r>
      <w:r w:rsidRPr="00F77E21">
        <w:rPr>
          <w:sz w:val="28"/>
          <w:szCs w:val="28"/>
        </w:rPr>
        <w:t xml:space="preserve">. ISBN </w:t>
      </w:r>
      <w:r w:rsidRPr="00BA1CB6">
        <w:rPr>
          <w:sz w:val="28"/>
          <w:szCs w:val="28"/>
        </w:rPr>
        <w:t>978-619-215-</w:t>
      </w:r>
      <w:r>
        <w:rPr>
          <w:sz w:val="28"/>
          <w:szCs w:val="28"/>
        </w:rPr>
        <w:t>185-0</w:t>
      </w:r>
      <w:r w:rsidRPr="00F77E21">
        <w:rPr>
          <w:sz w:val="28"/>
          <w:szCs w:val="28"/>
        </w:rPr>
        <w:t>.</w:t>
      </w:r>
    </w:p>
    <w:p w14:paraId="6B4ED2E5" w14:textId="73C17AE6" w:rsidR="00F77E21" w:rsidRPr="00F77E21" w:rsidRDefault="00F77E21" w:rsidP="00BA1CB6">
      <w:pPr>
        <w:pStyle w:val="a3"/>
        <w:spacing w:before="0" w:beforeAutospacing="0" w:after="0" w:afterAutospacing="0"/>
        <w:jc w:val="both"/>
        <w:rPr>
          <w:sz w:val="28"/>
          <w:szCs w:val="28"/>
        </w:rPr>
      </w:pPr>
      <w:r>
        <w:rPr>
          <w:sz w:val="28"/>
          <w:szCs w:val="28"/>
        </w:rPr>
        <w:lastRenderedPageBreak/>
        <w:tab/>
      </w:r>
      <w:r w:rsidR="00060B3D">
        <w:rPr>
          <w:sz w:val="28"/>
          <w:szCs w:val="28"/>
        </w:rPr>
        <w:t>4</w:t>
      </w:r>
      <w:r>
        <w:rPr>
          <w:sz w:val="28"/>
          <w:szCs w:val="28"/>
        </w:rPr>
        <w:t xml:space="preserve">. </w:t>
      </w:r>
      <w:r w:rsidRPr="00F77E21">
        <w:rPr>
          <w:sz w:val="28"/>
          <w:szCs w:val="28"/>
        </w:rPr>
        <w:t xml:space="preserve">ЙОРДАНОВА, Даниела, Мариана ГЪРМИДОЛОВА и Марта НИКОЛОВА. Интерактивните методи за възприемане, разбиране, осмисляне и интерпретиране на художествен текст чрез обучението по литература и изобразително изкуство (1.–4. клас). В: Даниела ЙОРДАНОВА, съст. и ред. </w:t>
      </w:r>
      <w:r w:rsidRPr="00F77E21">
        <w:rPr>
          <w:rStyle w:val="a5"/>
          <w:sz w:val="28"/>
          <w:szCs w:val="28"/>
        </w:rPr>
        <w:t>Развитие на четивна грамотност на ученици чрез работа с художествен текст</w:t>
      </w:r>
      <w:r w:rsidRPr="00F77E21">
        <w:rPr>
          <w:sz w:val="28"/>
          <w:szCs w:val="28"/>
        </w:rPr>
        <w:t>. Велико Търново: Еклибрис студио, 2018, с. 27–43.</w:t>
      </w:r>
    </w:p>
    <w:p w14:paraId="49FD96AC" w14:textId="643E657D" w:rsidR="00F77E21" w:rsidRDefault="00BA1CB6" w:rsidP="00BA1CB6">
      <w:pPr>
        <w:pStyle w:val="a3"/>
        <w:spacing w:before="0" w:beforeAutospacing="0" w:after="0" w:afterAutospacing="0"/>
        <w:jc w:val="both"/>
        <w:rPr>
          <w:sz w:val="28"/>
          <w:szCs w:val="28"/>
        </w:rPr>
      </w:pPr>
      <w:r>
        <w:rPr>
          <w:sz w:val="28"/>
          <w:szCs w:val="28"/>
        </w:rPr>
        <w:tab/>
      </w:r>
      <w:r w:rsidR="00B429A8">
        <w:rPr>
          <w:sz w:val="28"/>
          <w:szCs w:val="28"/>
        </w:rPr>
        <w:t>5</w:t>
      </w:r>
      <w:r w:rsidR="00F77E21">
        <w:rPr>
          <w:sz w:val="28"/>
          <w:szCs w:val="28"/>
        </w:rPr>
        <w:t xml:space="preserve">. </w:t>
      </w:r>
      <w:r w:rsidR="00F77E21" w:rsidRPr="00F77E21">
        <w:rPr>
          <w:sz w:val="28"/>
          <w:szCs w:val="28"/>
        </w:rPr>
        <w:t xml:space="preserve">КОЛЕВА, Вероника. Въпросът в литературното обучение. </w:t>
      </w:r>
      <w:r w:rsidR="00F77E21" w:rsidRPr="00F77E21">
        <w:rPr>
          <w:rStyle w:val="a5"/>
          <w:sz w:val="28"/>
          <w:szCs w:val="28"/>
        </w:rPr>
        <w:t>Проглас</w:t>
      </w:r>
      <w:r w:rsidR="00F77E21" w:rsidRPr="00F77E21">
        <w:rPr>
          <w:sz w:val="28"/>
          <w:szCs w:val="28"/>
        </w:rPr>
        <w:t>. 1997, № 3–4, с. 192–208.</w:t>
      </w:r>
    </w:p>
    <w:p w14:paraId="329FF0CD" w14:textId="17A2C300" w:rsidR="00060B3D" w:rsidRDefault="00060B3D" w:rsidP="00060B3D">
      <w:pPr>
        <w:pStyle w:val="a3"/>
        <w:spacing w:before="0" w:beforeAutospacing="0" w:after="0" w:afterAutospacing="0"/>
        <w:jc w:val="both"/>
        <w:rPr>
          <w:sz w:val="28"/>
          <w:szCs w:val="28"/>
        </w:rPr>
      </w:pPr>
      <w:r>
        <w:rPr>
          <w:sz w:val="28"/>
          <w:szCs w:val="28"/>
        </w:rPr>
        <w:tab/>
      </w:r>
      <w:r w:rsidR="00B429A8">
        <w:rPr>
          <w:sz w:val="28"/>
          <w:szCs w:val="28"/>
        </w:rPr>
        <w:t xml:space="preserve">6. </w:t>
      </w:r>
      <w:r w:rsidRPr="00F77E21">
        <w:rPr>
          <w:sz w:val="28"/>
          <w:szCs w:val="28"/>
        </w:rPr>
        <w:t xml:space="preserve">ТАНКОВА, Румяна и Цанко ЛАЛЕВ. </w:t>
      </w:r>
      <w:r w:rsidRPr="00F77E21">
        <w:rPr>
          <w:rStyle w:val="a5"/>
          <w:sz w:val="28"/>
          <w:szCs w:val="28"/>
        </w:rPr>
        <w:t>Читанка за 3. клас</w:t>
      </w:r>
      <w:r w:rsidRPr="00F77E21">
        <w:rPr>
          <w:sz w:val="28"/>
          <w:szCs w:val="28"/>
        </w:rPr>
        <w:t>. София: Просвета, 2018. ISBN 978-954-01-3568-7.</w:t>
      </w:r>
    </w:p>
    <w:p w14:paraId="0CF874A7" w14:textId="77777777" w:rsidR="00060B3D" w:rsidRDefault="00060B3D" w:rsidP="00BA1CB6">
      <w:pPr>
        <w:pStyle w:val="a3"/>
        <w:spacing w:before="0" w:beforeAutospacing="0" w:after="0" w:afterAutospacing="0"/>
        <w:jc w:val="both"/>
        <w:rPr>
          <w:sz w:val="28"/>
          <w:szCs w:val="28"/>
        </w:rPr>
      </w:pPr>
    </w:p>
    <w:p w14:paraId="7F51C04A" w14:textId="3DF38B54" w:rsidR="00F77E21" w:rsidRPr="00F77E21" w:rsidRDefault="00BA1CB6" w:rsidP="00B03BEA">
      <w:pPr>
        <w:pStyle w:val="2"/>
        <w:spacing w:before="0"/>
        <w:rPr>
          <w:rFonts w:ascii="Times New Roman" w:hAnsi="Times New Roman" w:cs="Times New Roman"/>
          <w:color w:val="auto"/>
          <w:sz w:val="28"/>
          <w:szCs w:val="28"/>
        </w:rPr>
      </w:pPr>
      <w:r>
        <w:rPr>
          <w:rFonts w:ascii="Times New Roman" w:hAnsi="Times New Roman" w:cs="Times New Roman"/>
          <w:color w:val="auto"/>
          <w:sz w:val="28"/>
          <w:szCs w:val="28"/>
        </w:rPr>
        <w:tab/>
      </w:r>
    </w:p>
    <w:p w14:paraId="2E3F90E7" w14:textId="77777777" w:rsidR="005F35B5" w:rsidRDefault="005F35B5" w:rsidP="005F35B5">
      <w:pPr>
        <w:ind w:firstLine="567"/>
        <w:jc w:val="both"/>
        <w:rPr>
          <w:i/>
          <w:iCs/>
          <w:sz w:val="24"/>
        </w:rPr>
      </w:pPr>
      <w:r>
        <w:rPr>
          <w:i/>
          <w:iCs/>
          <w:sz w:val="24"/>
        </w:rPr>
        <w:t>доц. д-р Златина Георгиева Димитрова</w:t>
      </w:r>
    </w:p>
    <w:p w14:paraId="57A6B865" w14:textId="77777777" w:rsidR="005F35B5" w:rsidRDefault="005F35B5" w:rsidP="005F35B5">
      <w:pPr>
        <w:ind w:firstLine="567"/>
        <w:jc w:val="both"/>
        <w:rPr>
          <w:i/>
          <w:iCs/>
          <w:sz w:val="24"/>
        </w:rPr>
      </w:pPr>
      <w:r>
        <w:rPr>
          <w:i/>
          <w:iCs/>
          <w:sz w:val="24"/>
        </w:rPr>
        <w:t>Бургаски свободен университет</w:t>
      </w:r>
    </w:p>
    <w:p w14:paraId="31FCE9A9" w14:textId="77777777" w:rsidR="005F35B5" w:rsidRDefault="005F35B5" w:rsidP="005F35B5">
      <w:pPr>
        <w:ind w:firstLine="567"/>
        <w:jc w:val="both"/>
        <w:rPr>
          <w:i/>
          <w:iCs/>
          <w:sz w:val="24"/>
        </w:rPr>
      </w:pPr>
      <w:r>
        <w:rPr>
          <w:i/>
          <w:iCs/>
          <w:sz w:val="24"/>
        </w:rPr>
        <w:t>Велико Търново</w:t>
      </w:r>
      <w:r w:rsidRPr="007B5909">
        <w:rPr>
          <w:i/>
          <w:iCs/>
          <w:sz w:val="24"/>
        </w:rPr>
        <w:t>,</w:t>
      </w:r>
      <w:r>
        <w:rPr>
          <w:i/>
          <w:iCs/>
          <w:sz w:val="24"/>
        </w:rPr>
        <w:t xml:space="preserve"> ул. „Плиска“ 3, вх. В, ап. 4; 0887428903; </w:t>
      </w:r>
      <w:r>
        <w:rPr>
          <w:i/>
          <w:iCs/>
          <w:sz w:val="24"/>
          <w:lang w:val="en-US"/>
        </w:rPr>
        <w:t>zl.dimitrova@bfu.bg</w:t>
      </w:r>
    </w:p>
    <w:p w14:paraId="4E9CD29C" w14:textId="77777777" w:rsidR="005F35B5" w:rsidRPr="00D1767C" w:rsidRDefault="005F35B5" w:rsidP="005F35B5">
      <w:pPr>
        <w:ind w:firstLine="567"/>
        <w:jc w:val="both"/>
        <w:rPr>
          <w:szCs w:val="28"/>
        </w:rPr>
      </w:pPr>
    </w:p>
    <w:p w14:paraId="23EA7B39" w14:textId="77777777" w:rsidR="00A16B47" w:rsidRPr="005F35B5" w:rsidRDefault="00A16B47" w:rsidP="005F35B5"/>
    <w:sectPr w:rsidR="00A16B47" w:rsidRPr="005F35B5" w:rsidSect="009605D7">
      <w:footnotePr>
        <w:numRestart w:val="eachSect"/>
      </w:footnotePr>
      <w:pgSz w:w="11906" w:h="16838"/>
      <w:pgMar w:top="1134" w:right="1134" w:bottom="851" w:left="1701" w:header="709" w:footer="709" w:gutter="0"/>
      <w:cols w:space="708"/>
      <w:docGrid w:linePitch="360"/>
      <w15:footnoteColumns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311D8"/>
    <w:multiLevelType w:val="multilevel"/>
    <w:tmpl w:val="611CF1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673715"/>
    <w:multiLevelType w:val="hybridMultilevel"/>
    <w:tmpl w:val="072214AC"/>
    <w:lvl w:ilvl="0" w:tplc="1AC686A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2D65494A"/>
    <w:multiLevelType w:val="hybridMultilevel"/>
    <w:tmpl w:val="1C2E98C2"/>
    <w:lvl w:ilvl="0" w:tplc="B33EE97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407871A2"/>
    <w:multiLevelType w:val="hybridMultilevel"/>
    <w:tmpl w:val="10B8C902"/>
    <w:lvl w:ilvl="0" w:tplc="486CA41A">
      <w:start w:val="1"/>
      <w:numFmt w:val="decimal"/>
      <w:lvlText w:val="%1."/>
      <w:lvlJc w:val="left"/>
      <w:pPr>
        <w:ind w:left="1188" w:hanging="48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429E6234"/>
    <w:multiLevelType w:val="hybridMultilevel"/>
    <w:tmpl w:val="763AFA58"/>
    <w:lvl w:ilvl="0" w:tplc="C8CA6F5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 w15:restartNumberingAfterBreak="0">
    <w:nsid w:val="5AC915A6"/>
    <w:multiLevelType w:val="hybridMultilevel"/>
    <w:tmpl w:val="DCB82D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A71317C"/>
    <w:multiLevelType w:val="hybridMultilevel"/>
    <w:tmpl w:val="A726E036"/>
    <w:lvl w:ilvl="0" w:tplc="4CFCF2F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0"/>
  </w:num>
  <w:num w:numId="2">
    <w:abstractNumId w:val="4"/>
  </w:num>
  <w:num w:numId="3">
    <w:abstractNumId w:val="6"/>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47"/>
    <w:rsid w:val="0001575E"/>
    <w:rsid w:val="00060B3D"/>
    <w:rsid w:val="00072248"/>
    <w:rsid w:val="000B6A5E"/>
    <w:rsid w:val="000C3065"/>
    <w:rsid w:val="000F47C9"/>
    <w:rsid w:val="001A72F1"/>
    <w:rsid w:val="002600DA"/>
    <w:rsid w:val="002916F5"/>
    <w:rsid w:val="00327CD1"/>
    <w:rsid w:val="00443A0C"/>
    <w:rsid w:val="00462C68"/>
    <w:rsid w:val="00540DF9"/>
    <w:rsid w:val="00543C59"/>
    <w:rsid w:val="00566EFB"/>
    <w:rsid w:val="005F35B5"/>
    <w:rsid w:val="006450F2"/>
    <w:rsid w:val="0066451A"/>
    <w:rsid w:val="00680827"/>
    <w:rsid w:val="006975E5"/>
    <w:rsid w:val="00744130"/>
    <w:rsid w:val="007C1C88"/>
    <w:rsid w:val="008465EB"/>
    <w:rsid w:val="00923135"/>
    <w:rsid w:val="009D0474"/>
    <w:rsid w:val="00A16B47"/>
    <w:rsid w:val="00A24394"/>
    <w:rsid w:val="00A64E83"/>
    <w:rsid w:val="00B03BEA"/>
    <w:rsid w:val="00B316B5"/>
    <w:rsid w:val="00B429A8"/>
    <w:rsid w:val="00B90624"/>
    <w:rsid w:val="00BA07DC"/>
    <w:rsid w:val="00BA1CB6"/>
    <w:rsid w:val="00C26D87"/>
    <w:rsid w:val="00CC306B"/>
    <w:rsid w:val="00D8367E"/>
    <w:rsid w:val="00DF2128"/>
    <w:rsid w:val="00F77E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6B79D"/>
  <w15:chartTrackingRefBased/>
  <w15:docId w15:val="{C21A33BD-CBA2-416D-A57E-7125BA08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5B5"/>
    <w:pPr>
      <w:spacing w:after="0" w:line="240" w:lineRule="auto"/>
    </w:pPr>
    <w:rPr>
      <w:rFonts w:ascii="Times New Roman" w:eastAsia="Times New Roman" w:hAnsi="Times New Roman" w:cs="Times New Roman"/>
      <w:sz w:val="28"/>
      <w:szCs w:val="24"/>
      <w:lang w:eastAsia="bg-BG"/>
    </w:rPr>
  </w:style>
  <w:style w:type="paragraph" w:styleId="2">
    <w:name w:val="heading 2"/>
    <w:basedOn w:val="a"/>
    <w:next w:val="a"/>
    <w:link w:val="20"/>
    <w:uiPriority w:val="9"/>
    <w:unhideWhenUsed/>
    <w:qFormat/>
    <w:rsid w:val="00A243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5F35B5"/>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6B47"/>
    <w:pPr>
      <w:spacing w:before="100" w:beforeAutospacing="1" w:after="100" w:afterAutospacing="1"/>
    </w:pPr>
    <w:rPr>
      <w:sz w:val="24"/>
    </w:rPr>
  </w:style>
  <w:style w:type="character" w:styleId="a4">
    <w:name w:val="Strong"/>
    <w:basedOn w:val="a0"/>
    <w:uiPriority w:val="22"/>
    <w:qFormat/>
    <w:rsid w:val="00A16B47"/>
    <w:rPr>
      <w:b/>
      <w:bCs/>
    </w:rPr>
  </w:style>
  <w:style w:type="character" w:styleId="a5">
    <w:name w:val="Emphasis"/>
    <w:basedOn w:val="a0"/>
    <w:uiPriority w:val="20"/>
    <w:qFormat/>
    <w:rsid w:val="00A16B47"/>
    <w:rPr>
      <w:i/>
      <w:iCs/>
    </w:rPr>
  </w:style>
  <w:style w:type="character" w:customStyle="1" w:styleId="30">
    <w:name w:val="Заглавие 3 Знак"/>
    <w:basedOn w:val="a0"/>
    <w:link w:val="3"/>
    <w:uiPriority w:val="9"/>
    <w:rsid w:val="005F35B5"/>
    <w:rPr>
      <w:rFonts w:asciiTheme="majorHAnsi" w:eastAsiaTheme="majorEastAsia" w:hAnsiTheme="majorHAnsi" w:cstheme="majorBidi"/>
      <w:color w:val="1F3763" w:themeColor="accent1" w:themeShade="7F"/>
      <w:sz w:val="24"/>
      <w:szCs w:val="24"/>
      <w:lang w:eastAsia="bg-BG"/>
    </w:rPr>
  </w:style>
  <w:style w:type="table" w:styleId="a6">
    <w:name w:val="Table Grid"/>
    <w:basedOn w:val="a1"/>
    <w:uiPriority w:val="39"/>
    <w:rsid w:val="005F35B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basedOn w:val="a0"/>
    <w:link w:val="2"/>
    <w:uiPriority w:val="9"/>
    <w:rsid w:val="00A24394"/>
    <w:rPr>
      <w:rFonts w:asciiTheme="majorHAnsi" w:eastAsiaTheme="majorEastAsia" w:hAnsiTheme="majorHAnsi" w:cstheme="majorBidi"/>
      <w:color w:val="2F5496" w:themeColor="accent1" w:themeShade="BF"/>
      <w:sz w:val="26"/>
      <w:szCs w:val="26"/>
      <w:lang w:eastAsia="bg-BG"/>
    </w:rPr>
  </w:style>
  <w:style w:type="paragraph" w:styleId="a7">
    <w:name w:val="List Paragraph"/>
    <w:basedOn w:val="a"/>
    <w:uiPriority w:val="34"/>
    <w:qFormat/>
    <w:rsid w:val="000B6A5E"/>
    <w:pPr>
      <w:ind w:left="720"/>
      <w:contextualSpacing/>
    </w:pPr>
  </w:style>
  <w:style w:type="paragraph" w:customStyle="1" w:styleId="pdq2pgselectionanchorcontainer">
    <w:name w:val="pdq2pg_selectionanchorcontainer"/>
    <w:basedOn w:val="a"/>
    <w:rsid w:val="00F77E21"/>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459061">
      <w:bodyDiv w:val="1"/>
      <w:marLeft w:val="0"/>
      <w:marRight w:val="0"/>
      <w:marTop w:val="0"/>
      <w:marBottom w:val="0"/>
      <w:divBdr>
        <w:top w:val="none" w:sz="0" w:space="0" w:color="auto"/>
        <w:left w:val="none" w:sz="0" w:space="0" w:color="auto"/>
        <w:bottom w:val="none" w:sz="0" w:space="0" w:color="auto"/>
        <w:right w:val="none" w:sz="0" w:space="0" w:color="auto"/>
      </w:divBdr>
    </w:div>
    <w:div w:id="682169690">
      <w:bodyDiv w:val="1"/>
      <w:marLeft w:val="0"/>
      <w:marRight w:val="0"/>
      <w:marTop w:val="0"/>
      <w:marBottom w:val="0"/>
      <w:divBdr>
        <w:top w:val="none" w:sz="0" w:space="0" w:color="auto"/>
        <w:left w:val="none" w:sz="0" w:space="0" w:color="auto"/>
        <w:bottom w:val="none" w:sz="0" w:space="0" w:color="auto"/>
        <w:right w:val="none" w:sz="0" w:space="0" w:color="auto"/>
      </w:divBdr>
    </w:div>
    <w:div w:id="818497978">
      <w:bodyDiv w:val="1"/>
      <w:marLeft w:val="0"/>
      <w:marRight w:val="0"/>
      <w:marTop w:val="0"/>
      <w:marBottom w:val="0"/>
      <w:divBdr>
        <w:top w:val="none" w:sz="0" w:space="0" w:color="auto"/>
        <w:left w:val="none" w:sz="0" w:space="0" w:color="auto"/>
        <w:bottom w:val="none" w:sz="0" w:space="0" w:color="auto"/>
        <w:right w:val="none" w:sz="0" w:space="0" w:color="auto"/>
      </w:divBdr>
    </w:div>
    <w:div w:id="925377934">
      <w:bodyDiv w:val="1"/>
      <w:marLeft w:val="0"/>
      <w:marRight w:val="0"/>
      <w:marTop w:val="0"/>
      <w:marBottom w:val="0"/>
      <w:divBdr>
        <w:top w:val="none" w:sz="0" w:space="0" w:color="auto"/>
        <w:left w:val="none" w:sz="0" w:space="0" w:color="auto"/>
        <w:bottom w:val="none" w:sz="0" w:space="0" w:color="auto"/>
        <w:right w:val="none" w:sz="0" w:space="0" w:color="auto"/>
      </w:divBdr>
    </w:div>
    <w:div w:id="1214317675">
      <w:bodyDiv w:val="1"/>
      <w:marLeft w:val="0"/>
      <w:marRight w:val="0"/>
      <w:marTop w:val="0"/>
      <w:marBottom w:val="0"/>
      <w:divBdr>
        <w:top w:val="none" w:sz="0" w:space="0" w:color="auto"/>
        <w:left w:val="none" w:sz="0" w:space="0" w:color="auto"/>
        <w:bottom w:val="none" w:sz="0" w:space="0" w:color="auto"/>
        <w:right w:val="none" w:sz="0" w:space="0" w:color="auto"/>
      </w:divBdr>
      <w:divsChild>
        <w:div w:id="1045181589">
          <w:marLeft w:val="0"/>
          <w:marRight w:val="0"/>
          <w:marTop w:val="0"/>
          <w:marBottom w:val="0"/>
          <w:divBdr>
            <w:top w:val="none" w:sz="0" w:space="0" w:color="auto"/>
            <w:left w:val="none" w:sz="0" w:space="0" w:color="auto"/>
            <w:bottom w:val="none" w:sz="0" w:space="0" w:color="auto"/>
            <w:right w:val="none" w:sz="0" w:space="0" w:color="auto"/>
          </w:divBdr>
          <w:divsChild>
            <w:div w:id="1870336440">
              <w:marLeft w:val="0"/>
              <w:marRight w:val="0"/>
              <w:marTop w:val="0"/>
              <w:marBottom w:val="0"/>
              <w:divBdr>
                <w:top w:val="none" w:sz="0" w:space="0" w:color="auto"/>
                <w:left w:val="none" w:sz="0" w:space="0" w:color="auto"/>
                <w:bottom w:val="none" w:sz="0" w:space="0" w:color="auto"/>
                <w:right w:val="none" w:sz="0" w:space="0" w:color="auto"/>
              </w:divBdr>
              <w:divsChild>
                <w:div w:id="1353456308">
                  <w:marLeft w:val="0"/>
                  <w:marRight w:val="0"/>
                  <w:marTop w:val="0"/>
                  <w:marBottom w:val="0"/>
                  <w:divBdr>
                    <w:top w:val="none" w:sz="0" w:space="0" w:color="auto"/>
                    <w:left w:val="none" w:sz="0" w:space="0" w:color="auto"/>
                    <w:bottom w:val="none" w:sz="0" w:space="0" w:color="auto"/>
                    <w:right w:val="none" w:sz="0" w:space="0" w:color="auto"/>
                  </w:divBdr>
                  <w:divsChild>
                    <w:div w:id="88887934">
                      <w:marLeft w:val="0"/>
                      <w:marRight w:val="0"/>
                      <w:marTop w:val="0"/>
                      <w:marBottom w:val="0"/>
                      <w:divBdr>
                        <w:top w:val="none" w:sz="0" w:space="0" w:color="auto"/>
                        <w:left w:val="none" w:sz="0" w:space="0" w:color="auto"/>
                        <w:bottom w:val="none" w:sz="0" w:space="0" w:color="auto"/>
                        <w:right w:val="none" w:sz="0" w:space="0" w:color="auto"/>
                      </w:divBdr>
                      <w:divsChild>
                        <w:div w:id="567763097">
                          <w:marLeft w:val="0"/>
                          <w:marRight w:val="0"/>
                          <w:marTop w:val="0"/>
                          <w:marBottom w:val="0"/>
                          <w:divBdr>
                            <w:top w:val="none" w:sz="0" w:space="0" w:color="auto"/>
                            <w:left w:val="none" w:sz="0" w:space="0" w:color="auto"/>
                            <w:bottom w:val="none" w:sz="0" w:space="0" w:color="auto"/>
                            <w:right w:val="none" w:sz="0" w:space="0" w:color="auto"/>
                          </w:divBdr>
                          <w:divsChild>
                            <w:div w:id="30362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85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3135</TotalTime>
  <Pages>10</Pages>
  <Words>3574</Words>
  <Characters>20374</Characters>
  <Application>Microsoft Office Word</Application>
  <DocSecurity>0</DocSecurity>
  <Lines>169</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Златина Димитрова</dc:creator>
  <cp:keywords/>
  <dc:description/>
  <cp:lastModifiedBy>Златина Димитрова</cp:lastModifiedBy>
  <cp:revision>26</cp:revision>
  <dcterms:created xsi:type="dcterms:W3CDTF">2026-09-03T13:01:00Z</dcterms:created>
  <dcterms:modified xsi:type="dcterms:W3CDTF">2026-09-10T04:40:00Z</dcterms:modified>
</cp:coreProperties>
</file>